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047" w:rsidRDefault="00355FE6">
      <w:pPr>
        <w:spacing w:before="200" w:after="60"/>
      </w:pPr>
      <w:r>
        <w:rPr>
          <w:b/>
          <w:bCs/>
          <w:color w:val="1B3A6B"/>
          <w:sz w:val="40"/>
          <w:szCs w:val="40"/>
        </w:rPr>
        <w:t>HEALTHBRIDGE OCCUPATIONAL HEALTH LTD</w:t>
      </w:r>
    </w:p>
    <w:p w:rsidR="00315047" w:rsidRDefault="00355FE6">
      <w:pPr>
        <w:spacing w:after="80"/>
      </w:pPr>
      <w:r>
        <w:rPr>
          <w:b/>
          <w:bCs/>
          <w:color w:val="1B3A6B"/>
          <w:sz w:val="28"/>
          <w:szCs w:val="28"/>
        </w:rPr>
        <w:t>Complaints Policy</w:t>
      </w:r>
    </w:p>
    <w:p w:rsidR="00315047" w:rsidRDefault="00355FE6">
      <w:pPr>
        <w:pBdr>
          <w:bottom w:val="thick" w:sz="12" w:space="3" w:color="1B3A6B"/>
        </w:pBdr>
        <w:spacing w:after="240"/>
      </w:pPr>
      <w:r>
        <w:rPr>
          <w:i/>
          <w:iCs/>
          <w:color w:val="6B7280"/>
          <w:sz w:val="19"/>
          <w:szCs w:val="19"/>
        </w:rPr>
        <w:t>GP-Led Occupational Health Services   |   Version 2.0   |   Effective 13 June 2026</w:t>
      </w:r>
    </w:p>
    <w:p w:rsidR="00315047" w:rsidRDefault="00315047">
      <w:pPr>
        <w:spacing w:before="80"/>
      </w:pPr>
    </w:p>
    <w:p w:rsidR="00315047" w:rsidRDefault="00355FE6">
      <w:pPr>
        <w:spacing w:before="400" w:after="120"/>
      </w:pPr>
      <w:r>
        <w:rPr>
          <w:b/>
          <w:bCs/>
          <w:color w:val="1B3A6B"/>
          <w:sz w:val="28"/>
          <w:szCs w:val="28"/>
        </w:rPr>
        <w:t>1.  Purpose and Commitment</w:t>
      </w:r>
    </w:p>
    <w:p w:rsidR="00315047" w:rsidRDefault="00315047">
      <w:pPr>
        <w:pBdr>
          <w:bottom w:val="single" w:sz="6" w:space="1" w:color="1B3A6B"/>
        </w:pBdr>
        <w:spacing w:before="60" w:after="200"/>
      </w:pPr>
    </w:p>
    <w:p w:rsidR="00315047" w:rsidRDefault="00355FE6">
      <w:pPr>
        <w:spacing w:before="60" w:after="100"/>
      </w:pPr>
      <w:r>
        <w:rPr>
          <w:color w:val="1A1A2E"/>
        </w:rPr>
        <w:t>HealthBridge Occupational Health Ltd is committed to handling all complaints promptly, fairly, and transparently. We view complaints as a valuable source of learning and a driver of continuous service improvement.</w:t>
      </w:r>
    </w:p>
    <w:p w:rsidR="00315047" w:rsidRDefault="00315047">
      <w:pPr>
        <w:spacing w:before="60"/>
      </w:pPr>
    </w:p>
    <w:p w:rsidR="00315047" w:rsidRDefault="00355FE6">
      <w:pPr>
        <w:spacing w:before="60" w:after="100"/>
      </w:pPr>
      <w:r>
        <w:rPr>
          <w:color w:val="1A1A2E"/>
        </w:rPr>
        <w:t>This policy ensures:</w:t>
      </w:r>
    </w:p>
    <w:p w:rsidR="00315047" w:rsidRDefault="00355FE6">
      <w:pPr>
        <w:pStyle w:val="ListParagraph"/>
        <w:numPr>
          <w:ilvl w:val="0"/>
          <w:numId w:val="2"/>
        </w:numPr>
        <w:spacing w:before="40" w:after="40"/>
      </w:pPr>
      <w:r>
        <w:t>A clear, accessible,</w:t>
      </w:r>
      <w:r>
        <w:t xml:space="preserve"> and fair process for raising and resolving complaints about our services, clinical outputs, or communications</w:t>
      </w:r>
    </w:p>
    <w:p w:rsidR="00315047" w:rsidRDefault="00355FE6">
      <w:pPr>
        <w:pStyle w:val="ListParagraph"/>
        <w:numPr>
          <w:ilvl w:val="0"/>
          <w:numId w:val="2"/>
        </w:numPr>
        <w:spacing w:before="40" w:after="40"/>
      </w:pPr>
      <w:r>
        <w:t>Compliance with GMC Good Medical Practice (duties of candour, openness, and accountability), UK GDPR / Data Protection Act 2018, Access to Medica</w:t>
      </w:r>
      <w:r>
        <w:t>l Reports Act 1988, and Equality Act 2010</w:t>
      </w:r>
    </w:p>
    <w:p w:rsidR="00315047" w:rsidRDefault="00355FE6">
      <w:pPr>
        <w:pStyle w:val="ListParagraph"/>
        <w:numPr>
          <w:ilvl w:val="0"/>
          <w:numId w:val="2"/>
        </w:numPr>
        <w:spacing w:before="40" w:after="40"/>
      </w:pPr>
      <w:r>
        <w:t>Alignment with ISO 9001 quality management principles — documented processes, corrective actions, and continuous improvement cycles</w:t>
      </w:r>
    </w:p>
    <w:p w:rsidR="00315047" w:rsidRDefault="00355FE6">
      <w:pPr>
        <w:pStyle w:val="ListParagraph"/>
        <w:numPr>
          <w:ilvl w:val="0"/>
          <w:numId w:val="2"/>
        </w:numPr>
        <w:spacing w:before="40" w:after="40"/>
      </w:pPr>
      <w:r>
        <w:t>Appropriate protection for complainants and for HealthBridge, including timely MPS</w:t>
      </w:r>
      <w:r>
        <w:t xml:space="preserve"> notification where clinical complaints have potential medico-legal implications</w:t>
      </w:r>
    </w:p>
    <w:p w:rsidR="00315047" w:rsidRDefault="00315047">
      <w:pPr>
        <w:spacing w:before="6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315047">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315047" w:rsidRDefault="00355FE6">
            <w:r>
              <w:rPr>
                <w:i/>
                <w:iCs/>
                <w:color w:val="1B3A6B"/>
                <w:sz w:val="19"/>
                <w:szCs w:val="19"/>
              </w:rPr>
              <w:t>HealthBridge is not currently registered with the Care Quality Commission (CQC). Remote advisory occupational health services of this nature do not constitute a CQC-regulated</w:t>
            </w:r>
            <w:r>
              <w:rPr>
                <w:i/>
                <w:iCs/>
                <w:color w:val="1B3A6B"/>
                <w:sz w:val="19"/>
                <w:szCs w:val="19"/>
              </w:rPr>
              <w:t xml:space="preserve"> activity. This policy is therefore not subject to CQC oversight, but is held to the standards of GMC Good Medical Practice throughout.</w:t>
            </w:r>
          </w:p>
        </w:tc>
      </w:tr>
    </w:tbl>
    <w:p w:rsidR="00315047" w:rsidRDefault="00315047">
      <w:pPr>
        <w:spacing w:before="80"/>
      </w:pPr>
    </w:p>
    <w:p w:rsidR="00315047" w:rsidRDefault="00355FE6">
      <w:pPr>
        <w:spacing w:before="400" w:after="120"/>
      </w:pPr>
      <w:r>
        <w:rPr>
          <w:b/>
          <w:bCs/>
          <w:color w:val="1B3A6B"/>
          <w:sz w:val="28"/>
          <w:szCs w:val="28"/>
        </w:rPr>
        <w:t>2.  What Constitutes a Complaint?</w:t>
      </w:r>
    </w:p>
    <w:p w:rsidR="00315047" w:rsidRDefault="00315047">
      <w:pPr>
        <w:pBdr>
          <w:bottom w:val="single" w:sz="6" w:space="1" w:color="1B3A6B"/>
        </w:pBdr>
        <w:spacing w:before="60" w:after="200"/>
      </w:pPr>
    </w:p>
    <w:p w:rsidR="00315047" w:rsidRDefault="00355FE6">
      <w:pPr>
        <w:spacing w:before="60" w:after="100"/>
      </w:pPr>
      <w:r>
        <w:rPr>
          <w:color w:val="1A1A2E"/>
        </w:rPr>
        <w:t>A formal complaint is any expression of dissatisfaction — written or verbal — about HealthBridge services, clinical outputs, or conduct that the complainant wishes to have formally recorded and addressed. This includes:</w:t>
      </w:r>
    </w:p>
    <w:p w:rsidR="00315047" w:rsidRDefault="00355FE6">
      <w:pPr>
        <w:pStyle w:val="ListParagraph"/>
        <w:numPr>
          <w:ilvl w:val="0"/>
          <w:numId w:val="2"/>
        </w:numPr>
        <w:spacing w:before="40" w:after="40"/>
      </w:pPr>
      <w:r>
        <w:t>The content, accuracy, or fairness o</w:t>
      </w:r>
      <w:r>
        <w:t>f an OH report or clinical opinion</w:t>
      </w:r>
    </w:p>
    <w:p w:rsidR="00315047" w:rsidRDefault="00355FE6">
      <w:pPr>
        <w:pStyle w:val="ListParagraph"/>
        <w:numPr>
          <w:ilvl w:val="0"/>
          <w:numId w:val="2"/>
        </w:numPr>
        <w:spacing w:before="40" w:after="40"/>
      </w:pPr>
      <w:r>
        <w:t>The handling of employee consent or the release of a report without proper consent</w:t>
      </w:r>
    </w:p>
    <w:p w:rsidR="00315047" w:rsidRDefault="00355FE6">
      <w:pPr>
        <w:pStyle w:val="ListParagraph"/>
        <w:numPr>
          <w:ilvl w:val="0"/>
          <w:numId w:val="2"/>
        </w:numPr>
        <w:spacing w:before="40" w:after="40"/>
      </w:pPr>
      <w:r>
        <w:t>Perceived breach of confidentiality or inappropriate disclosure of medical information</w:t>
      </w:r>
    </w:p>
    <w:p w:rsidR="00315047" w:rsidRDefault="00355FE6">
      <w:pPr>
        <w:pStyle w:val="ListParagraph"/>
        <w:numPr>
          <w:ilvl w:val="0"/>
          <w:numId w:val="2"/>
        </w:numPr>
        <w:spacing w:before="40" w:after="40"/>
      </w:pPr>
      <w:r>
        <w:t>Conduct, tone, or professionalism of communications</w:t>
      </w:r>
      <w:r>
        <w:t xml:space="preserve"> from HealthBridge</w:t>
      </w:r>
    </w:p>
    <w:p w:rsidR="00315047" w:rsidRDefault="00355FE6">
      <w:pPr>
        <w:pStyle w:val="ListParagraph"/>
        <w:numPr>
          <w:ilvl w:val="0"/>
          <w:numId w:val="2"/>
        </w:numPr>
        <w:spacing w:before="40" w:after="40"/>
      </w:pPr>
      <w:r>
        <w:t>Delays in service delivery or report turnaround</w:t>
      </w:r>
    </w:p>
    <w:p w:rsidR="00315047" w:rsidRDefault="00355FE6">
      <w:pPr>
        <w:pStyle w:val="ListParagraph"/>
        <w:numPr>
          <w:ilvl w:val="0"/>
          <w:numId w:val="2"/>
        </w:numPr>
        <w:spacing w:before="40" w:after="40"/>
      </w:pPr>
      <w:r>
        <w:t>Data handling concerns or potential breaches of UK GDPR</w:t>
      </w:r>
    </w:p>
    <w:p w:rsidR="00315047" w:rsidRDefault="00355FE6">
      <w:pPr>
        <w:pStyle w:val="ListParagraph"/>
        <w:numPr>
          <w:ilvl w:val="0"/>
          <w:numId w:val="2"/>
        </w:numPr>
        <w:spacing w:before="40" w:after="40"/>
      </w:pPr>
      <w:r>
        <w:t>Billing or fee disputes</w:t>
      </w:r>
    </w:p>
    <w:p w:rsidR="00315047" w:rsidRDefault="00355FE6">
      <w:pPr>
        <w:pStyle w:val="ListParagraph"/>
        <w:numPr>
          <w:ilvl w:val="0"/>
          <w:numId w:val="2"/>
        </w:numPr>
        <w:spacing w:before="40" w:after="40"/>
      </w:pPr>
      <w:r>
        <w:t>Any other matter causing dissatisfaction with HealthBridge services</w:t>
      </w:r>
    </w:p>
    <w:p w:rsidR="00315047" w:rsidRDefault="00315047">
      <w:pPr>
        <w:spacing w:before="80"/>
      </w:pPr>
    </w:p>
    <w:p w:rsidR="00315047" w:rsidRDefault="00355FE6">
      <w:pPr>
        <w:spacing w:before="280" w:after="100"/>
      </w:pPr>
      <w:r>
        <w:rPr>
          <w:b/>
          <w:bCs/>
          <w:color w:val="1B3A6B"/>
          <w:sz w:val="22"/>
          <w:szCs w:val="22"/>
        </w:rPr>
        <w:t>2.1  Informal Concerns</w:t>
      </w:r>
    </w:p>
    <w:p w:rsidR="00315047" w:rsidRDefault="00355FE6">
      <w:pPr>
        <w:spacing w:before="60" w:after="100"/>
      </w:pPr>
      <w:r>
        <w:rPr>
          <w:color w:val="1A1A2E"/>
        </w:rPr>
        <w:lastRenderedPageBreak/>
        <w:t>Minor concerns that are raised directly and resolved to the complainant's satisfaction within 2 working days are recorded as informal concerns rather than formal complaints. A brief record is maintained for quality monitoring purposes. If the complainant r</w:t>
      </w:r>
      <w:r>
        <w:rPr>
          <w:color w:val="1A1A2E"/>
        </w:rPr>
        <w:t>emains dissatisfied after an informal response, the matter is automatically elevated to the formal complaints process.</w:t>
      </w:r>
    </w:p>
    <w:p w:rsidR="00315047" w:rsidRDefault="00315047">
      <w:pPr>
        <w:spacing w:before="80"/>
      </w:pPr>
    </w:p>
    <w:p w:rsidR="00315047" w:rsidRDefault="00355FE6">
      <w:pPr>
        <w:spacing w:before="280" w:after="100"/>
      </w:pPr>
      <w:r>
        <w:rPr>
          <w:b/>
          <w:bCs/>
          <w:color w:val="1B3A6B"/>
          <w:sz w:val="22"/>
          <w:szCs w:val="22"/>
        </w:rPr>
        <w:t>2.2  OH Report Disputes (Access to Medical Reports Act 1988)</w:t>
      </w:r>
    </w:p>
    <w:p w:rsidR="00315047" w:rsidRDefault="00355FE6">
      <w:pPr>
        <w:spacing w:before="60" w:after="100"/>
      </w:pPr>
      <w:r>
        <w:rPr>
          <w:color w:val="1A1A2E"/>
        </w:rPr>
        <w:t>Disputes about the clinical content of an OH report are a specific and dist</w:t>
      </w:r>
      <w:r>
        <w:rPr>
          <w:color w:val="1A1A2E"/>
        </w:rPr>
        <w:t>inct category. Employees have statutory rights under the Access to Medical Reports Act 1988 to review and request amendment of their report before it is released to the employer. Where an employee raises a report content dispute:</w:t>
      </w:r>
    </w:p>
    <w:p w:rsidR="00315047" w:rsidRDefault="00355FE6">
      <w:pPr>
        <w:pStyle w:val="ListParagraph"/>
        <w:numPr>
          <w:ilvl w:val="0"/>
          <w:numId w:val="2"/>
        </w:numPr>
        <w:spacing w:before="40" w:after="40"/>
      </w:pPr>
      <w:r>
        <w:t>This is treated as a prior</w:t>
      </w:r>
      <w:r>
        <w:t>ity complaint and acknowledged within 2 working days.</w:t>
      </w:r>
    </w:p>
    <w:p w:rsidR="00315047" w:rsidRDefault="00355FE6">
      <w:pPr>
        <w:pStyle w:val="ListParagraph"/>
        <w:numPr>
          <w:ilvl w:val="0"/>
          <w:numId w:val="2"/>
        </w:numPr>
        <w:spacing w:before="40" w:after="40"/>
      </w:pPr>
      <w:r>
        <w:t>The 7-day employee review window (from report completion) is suspended pending resolution.</w:t>
      </w:r>
    </w:p>
    <w:p w:rsidR="00315047" w:rsidRDefault="00355FE6">
      <w:pPr>
        <w:pStyle w:val="ListParagraph"/>
        <w:numPr>
          <w:ilvl w:val="0"/>
          <w:numId w:val="2"/>
        </w:numPr>
        <w:spacing w:before="40" w:after="40"/>
      </w:pPr>
      <w:r>
        <w:t>The report is not released to the employer until the dispute is formally resolved or the employee chooses to pr</w:t>
      </w:r>
      <w:r>
        <w:t>oceed.</w:t>
      </w:r>
    </w:p>
    <w:p w:rsidR="00315047" w:rsidRDefault="00355FE6">
      <w:pPr>
        <w:pStyle w:val="ListParagraph"/>
        <w:numPr>
          <w:ilvl w:val="0"/>
          <w:numId w:val="2"/>
        </w:numPr>
        <w:spacing w:before="40" w:after="40"/>
      </w:pPr>
      <w:r>
        <w:t>See Section 5.3 for the full AMRA 1988 dispute resolution process.</w:t>
      </w:r>
    </w:p>
    <w:p w:rsidR="00315047" w:rsidRDefault="00315047">
      <w:pPr>
        <w:spacing w:before="80"/>
      </w:pPr>
    </w:p>
    <w:p w:rsidR="00315047" w:rsidRDefault="00355FE6">
      <w:pPr>
        <w:spacing w:before="400" w:after="120"/>
      </w:pPr>
      <w:r>
        <w:rPr>
          <w:b/>
          <w:bCs/>
          <w:color w:val="1B3A6B"/>
          <w:sz w:val="28"/>
          <w:szCs w:val="28"/>
        </w:rPr>
        <w:t>3.  How to Complain</w:t>
      </w:r>
    </w:p>
    <w:p w:rsidR="00315047" w:rsidRDefault="00315047">
      <w:pPr>
        <w:pBdr>
          <w:bottom w:val="single" w:sz="6" w:space="1" w:color="1B3A6B"/>
        </w:pBdr>
        <w:spacing w:before="60" w:after="200"/>
      </w:pPr>
    </w:p>
    <w:p w:rsidR="00315047" w:rsidRDefault="00355FE6">
      <w:pPr>
        <w:spacing w:before="280" w:after="100"/>
      </w:pPr>
      <w:r>
        <w:rPr>
          <w:b/>
          <w:bCs/>
          <w:color w:val="1B3A6B"/>
          <w:sz w:val="22"/>
          <w:szCs w:val="22"/>
        </w:rPr>
        <w:t>3.1  Submission Channels</w:t>
      </w:r>
    </w:p>
    <w:p w:rsidR="00315047" w:rsidRDefault="00315047">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200"/>
        <w:gridCol w:w="4826"/>
        <w:gridCol w:w="2000"/>
      </w:tblGrid>
      <w:tr w:rsidR="00315047">
        <w:tblPrEx>
          <w:tblCellMar>
            <w:top w:w="0" w:type="dxa"/>
            <w:bottom w:w="0" w:type="dxa"/>
          </w:tblCellMar>
        </w:tblPrEx>
        <w:tc>
          <w:tcPr>
            <w:tcW w:w="22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315047" w:rsidRDefault="00355FE6">
            <w:r>
              <w:rPr>
                <w:b/>
                <w:bCs/>
                <w:color w:val="FFFFFF"/>
                <w:sz w:val="19"/>
                <w:szCs w:val="19"/>
              </w:rPr>
              <w:t>Method</w:t>
            </w:r>
          </w:p>
        </w:tc>
        <w:tc>
          <w:tcPr>
            <w:tcW w:w="48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315047" w:rsidRDefault="00355FE6">
            <w:r>
              <w:rPr>
                <w:b/>
                <w:bCs/>
                <w:color w:val="FFFFFF"/>
                <w:sz w:val="19"/>
                <w:szCs w:val="19"/>
              </w:rPr>
              <w:t>Details</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315047" w:rsidRDefault="00355FE6">
            <w:r>
              <w:rPr>
                <w:b/>
                <w:bCs/>
                <w:color w:val="FFFFFF"/>
                <w:sz w:val="19"/>
                <w:szCs w:val="19"/>
              </w:rPr>
              <w:t>Acknowledgement</w:t>
            </w:r>
          </w:p>
        </w:tc>
      </w:tr>
      <w:tr w:rsidR="00315047">
        <w:tblPrEx>
          <w:tblCellMar>
            <w:top w:w="0" w:type="dxa"/>
            <w:bottom w:w="0" w:type="dxa"/>
          </w:tblCellMar>
        </w:tblPrEx>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b/>
                <w:bCs/>
                <w:sz w:val="19"/>
                <w:szCs w:val="19"/>
              </w:rPr>
              <w:t>Email (preferred)</w:t>
            </w:r>
          </w:p>
        </w:tc>
        <w:tc>
          <w:tcPr>
            <w:tcW w:w="4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contact@healthbridge.org.uk</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Within 3 working days</w:t>
            </w:r>
          </w:p>
        </w:tc>
      </w:tr>
      <w:tr w:rsidR="00315047">
        <w:tblPrEx>
          <w:tblCellMar>
            <w:top w:w="0" w:type="dxa"/>
            <w:bottom w:w="0" w:type="dxa"/>
          </w:tblCellMar>
        </w:tblPrEx>
        <w:tc>
          <w:tcPr>
            <w:tcW w:w="2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b/>
                <w:bCs/>
                <w:sz w:val="19"/>
                <w:szCs w:val="19"/>
              </w:rPr>
              <w:t>Post</w:t>
            </w:r>
          </w:p>
        </w:tc>
        <w:tc>
          <w:tcPr>
            <w:tcW w:w="4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Dr. James Stanley, HealthBridge Occupational Health Ltd, 50 Hadow Way, Gloucester, GL2 4YJ</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Within 5 working days of receipt</w:t>
            </w:r>
          </w:p>
        </w:tc>
      </w:tr>
    </w:tbl>
    <w:p w:rsidR="00315047" w:rsidRDefault="00315047">
      <w:pPr>
        <w:spacing w:before="80"/>
      </w:pPr>
    </w:p>
    <w:p w:rsidR="00315047" w:rsidRDefault="00355FE6">
      <w:pPr>
        <w:spacing w:before="60" w:after="100"/>
      </w:pPr>
      <w:r>
        <w:rPr>
          <w:color w:val="1A1A2E"/>
        </w:rPr>
        <w:t>Complaints submitted by email are strongly preferred as they create a clear audit trail and allow for faster response. Verbal comp</w:t>
      </w:r>
      <w:r>
        <w:rPr>
          <w:color w:val="1A1A2E"/>
        </w:rPr>
        <w:t>laints are accepted but must be followed up in writing (by the complainant or by HealthBridge with the complainant's agreement) to enable formal processing.</w:t>
      </w:r>
    </w:p>
    <w:p w:rsidR="00315047" w:rsidRDefault="00315047">
      <w:pPr>
        <w:spacing w:before="80"/>
      </w:pPr>
    </w:p>
    <w:p w:rsidR="00315047" w:rsidRDefault="00355FE6">
      <w:pPr>
        <w:spacing w:before="280" w:after="100"/>
      </w:pPr>
      <w:r>
        <w:rPr>
          <w:b/>
          <w:bCs/>
          <w:color w:val="1B3A6B"/>
          <w:sz w:val="22"/>
          <w:szCs w:val="22"/>
        </w:rPr>
        <w:t>3.2  Information Required</w:t>
      </w:r>
    </w:p>
    <w:p w:rsidR="00315047" w:rsidRDefault="00355FE6">
      <w:pPr>
        <w:spacing w:before="60" w:after="100"/>
      </w:pPr>
      <w:r>
        <w:rPr>
          <w:color w:val="1A1A2E"/>
        </w:rPr>
        <w:t>To enable effective investigation, complainants are asked to provide:</w:t>
      </w:r>
    </w:p>
    <w:p w:rsidR="00315047" w:rsidRDefault="00355FE6">
      <w:pPr>
        <w:pStyle w:val="ListParagraph"/>
        <w:numPr>
          <w:ilvl w:val="0"/>
          <w:numId w:val="2"/>
        </w:numPr>
        <w:spacing w:before="40" w:after="40"/>
      </w:pPr>
      <w:r>
        <w:t>Full name, contact details, and their relationship to HealthBridge (employee referred for assessment / referring employer / other)</w:t>
      </w:r>
    </w:p>
    <w:p w:rsidR="00315047" w:rsidRDefault="00355FE6">
      <w:pPr>
        <w:pStyle w:val="ListParagraph"/>
        <w:numPr>
          <w:ilvl w:val="0"/>
          <w:numId w:val="2"/>
        </w:numPr>
        <w:spacing w:before="40" w:after="40"/>
      </w:pPr>
      <w:r>
        <w:t>The date(s) of the relevant assessment, report, or communication</w:t>
      </w:r>
    </w:p>
    <w:p w:rsidR="00315047" w:rsidRDefault="00355FE6">
      <w:pPr>
        <w:pStyle w:val="ListParagraph"/>
        <w:numPr>
          <w:ilvl w:val="0"/>
          <w:numId w:val="2"/>
        </w:numPr>
        <w:spacing w:before="40" w:after="40"/>
      </w:pPr>
      <w:r>
        <w:t>A clear description of the concern and the outcome sought</w:t>
      </w:r>
    </w:p>
    <w:p w:rsidR="00315047" w:rsidRDefault="00355FE6">
      <w:pPr>
        <w:pStyle w:val="ListParagraph"/>
        <w:numPr>
          <w:ilvl w:val="0"/>
          <w:numId w:val="2"/>
        </w:numPr>
        <w:spacing w:before="40" w:after="40"/>
      </w:pPr>
      <w:r>
        <w:t>Any relevant supporting documentation (e.g., copy of report, correspondence)</w:t>
      </w:r>
    </w:p>
    <w:p w:rsidR="00315047" w:rsidRDefault="00315047">
      <w:pPr>
        <w:spacing w:before="60"/>
      </w:pPr>
    </w:p>
    <w:p w:rsidR="00315047" w:rsidRDefault="00355FE6">
      <w:pPr>
        <w:spacing w:before="60" w:after="100"/>
      </w:pPr>
      <w:r>
        <w:rPr>
          <w:color w:val="1A1A2E"/>
        </w:rPr>
        <w:t>Complaints will not be refused on the grounds of incomplete information, but providing full details will enable faster and more thorough investigation.</w:t>
      </w:r>
    </w:p>
    <w:p w:rsidR="00315047" w:rsidRDefault="00315047">
      <w:pPr>
        <w:spacing w:before="80"/>
      </w:pPr>
    </w:p>
    <w:p w:rsidR="00315047" w:rsidRDefault="00355FE6">
      <w:pPr>
        <w:spacing w:before="280" w:after="100"/>
      </w:pPr>
      <w:r>
        <w:rPr>
          <w:b/>
          <w:bCs/>
          <w:color w:val="1B3A6B"/>
          <w:sz w:val="22"/>
          <w:szCs w:val="22"/>
        </w:rPr>
        <w:t>3.3  Anonymous Complaints</w:t>
      </w:r>
    </w:p>
    <w:p w:rsidR="00315047" w:rsidRDefault="00355FE6">
      <w:pPr>
        <w:spacing w:before="60" w:after="100"/>
      </w:pPr>
      <w:r>
        <w:rPr>
          <w:color w:val="1A1A2E"/>
        </w:rPr>
        <w:t xml:space="preserve">Anonymous complaints are accepted. They will be reviewed and, where possible, investigated on their merits. However, it may not be possible to provide a personalised response or fully resolve an </w:t>
      </w:r>
      <w:r>
        <w:rPr>
          <w:color w:val="1A1A2E"/>
        </w:rPr>
        <w:lastRenderedPageBreak/>
        <w:t>anonymous complaint. Anonymous complaints that raise systemi</w:t>
      </w:r>
      <w:r>
        <w:rPr>
          <w:color w:val="1A1A2E"/>
        </w:rPr>
        <w:t>c or patient safety concerns will be treated with the same priority as named complaints.</w:t>
      </w:r>
    </w:p>
    <w:p w:rsidR="00315047" w:rsidRDefault="00315047">
      <w:pPr>
        <w:spacing w:before="80"/>
      </w:pPr>
    </w:p>
    <w:p w:rsidR="00315047" w:rsidRDefault="00355FE6">
      <w:pPr>
        <w:spacing w:before="400" w:after="120"/>
      </w:pPr>
      <w:r>
        <w:rPr>
          <w:b/>
          <w:bCs/>
          <w:color w:val="1B3A6B"/>
          <w:sz w:val="28"/>
          <w:szCs w:val="28"/>
        </w:rPr>
        <w:t>4.  Complaint Handling Process</w:t>
      </w:r>
    </w:p>
    <w:p w:rsidR="00315047" w:rsidRDefault="00315047">
      <w:pPr>
        <w:pBdr>
          <w:bottom w:val="single" w:sz="6" w:space="1" w:color="1B3A6B"/>
        </w:pBdr>
        <w:spacing w:before="60" w:after="200"/>
      </w:pPr>
    </w:p>
    <w:p w:rsidR="00315047" w:rsidRDefault="00355FE6">
      <w:pPr>
        <w:spacing w:before="280" w:after="100"/>
      </w:pPr>
      <w:r>
        <w:rPr>
          <w:b/>
          <w:bCs/>
          <w:color w:val="1B3A6B"/>
          <w:sz w:val="22"/>
          <w:szCs w:val="22"/>
        </w:rPr>
        <w:t>4.1  Investigation Stages</w:t>
      </w:r>
    </w:p>
    <w:p w:rsidR="00315047" w:rsidRDefault="00315047">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600"/>
        <w:gridCol w:w="2000"/>
        <w:gridCol w:w="4426"/>
      </w:tblGrid>
      <w:tr w:rsidR="00315047">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315047" w:rsidRDefault="00355FE6">
            <w:r>
              <w:rPr>
                <w:b/>
                <w:bCs/>
                <w:color w:val="FFFFFF"/>
                <w:sz w:val="19"/>
                <w:szCs w:val="19"/>
              </w:rPr>
              <w:t>Stage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315047" w:rsidRDefault="00355FE6">
            <w:r>
              <w:rPr>
                <w:b/>
                <w:bCs/>
                <w:color w:val="FFFFFF"/>
                <w:sz w:val="19"/>
                <w:szCs w:val="19"/>
              </w:rPr>
              <w:t>Timeline</w:t>
            </w:r>
          </w:p>
        </w:tc>
        <w:tc>
          <w:tcPr>
            <w:tcW w:w="44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315047" w:rsidRDefault="00355FE6">
            <w:r>
              <w:rPr>
                <w:b/>
                <w:bCs/>
                <w:color w:val="FFFFFF"/>
                <w:sz w:val="19"/>
                <w:szCs w:val="19"/>
              </w:rPr>
              <w:t>Actions</w:t>
            </w:r>
          </w:p>
        </w:tc>
      </w:tr>
      <w:tr w:rsidR="00315047">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b/>
                <w:bCs/>
                <w:sz w:val="19"/>
                <w:szCs w:val="19"/>
              </w:rPr>
              <w:t>Acknowledgement</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Within 3 working days of receipt</w:t>
            </w:r>
          </w:p>
        </w:tc>
        <w:tc>
          <w:tcPr>
            <w:tcW w:w="4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Written confirmation issued to complainant with a unique case reference number, the name of the investigating person, and the expected resolution timeline.</w:t>
            </w:r>
          </w:p>
        </w:tc>
      </w:tr>
      <w:tr w:rsidR="00315047">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b/>
                <w:bCs/>
                <w:sz w:val="19"/>
                <w:szCs w:val="19"/>
              </w:rPr>
              <w:t>Initial Review</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Within 10 working days of acknowledgement</w:t>
            </w:r>
          </w:p>
        </w:tc>
        <w:tc>
          <w:tcPr>
            <w:tcW w:w="4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Clinical Lead reviews all relevant records, correspondence, and documentation. Further information may be requested from the complainant. For clinical complaints, MPS is notified at this stage if there is any potential medico-legal implication.</w:t>
            </w:r>
          </w:p>
        </w:tc>
      </w:tr>
      <w:tr w:rsidR="00315047">
        <w:tblPrEx>
          <w:tblCellMar>
            <w:top w:w="0" w:type="dxa"/>
            <w:bottom w:w="0" w:type="dxa"/>
          </w:tblCellMar>
        </w:tblPrEx>
        <w:tc>
          <w:tcPr>
            <w:tcW w:w="26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b/>
                <w:bCs/>
                <w:sz w:val="19"/>
                <w:szCs w:val="19"/>
              </w:rPr>
              <w:t>Full Resol</w:t>
            </w:r>
            <w:r>
              <w:rPr>
                <w:b/>
                <w:bCs/>
                <w:sz w:val="19"/>
                <w:szCs w:val="19"/>
              </w:rPr>
              <w:t>ution</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Within 28 calendar days of receipt</w:t>
            </w:r>
          </w:p>
        </w:tc>
        <w:tc>
          <w:tcPr>
            <w:tcW w:w="44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Written response issued setting out: the findings, any corrective actions taken, and the complainant's escalation rights. Where complexity requires more time, the complainant is updated in writing with a revised tim</w:t>
            </w:r>
            <w:r>
              <w:rPr>
                <w:sz w:val="19"/>
                <w:szCs w:val="19"/>
              </w:rPr>
              <w:t>eline before the 28-day deadline.</w:t>
            </w:r>
          </w:p>
        </w:tc>
      </w:tr>
    </w:tbl>
    <w:p w:rsidR="00315047" w:rsidRDefault="00315047">
      <w:pPr>
        <w:spacing w:before="8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315047">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315047" w:rsidRDefault="00355FE6">
            <w:r>
              <w:rPr>
                <w:i/>
                <w:iCs/>
                <w:color w:val="1B3A6B"/>
                <w:sz w:val="19"/>
                <w:szCs w:val="19"/>
              </w:rPr>
              <w:t>No admissions of liability, financial settlements, or commitments to third parties will be made before the Medical Protection Society (MPS) has been consulted where a complaint has potential medico-legal implications.</w:t>
            </w:r>
          </w:p>
        </w:tc>
      </w:tr>
    </w:tbl>
    <w:p w:rsidR="00315047" w:rsidRDefault="00315047">
      <w:pPr>
        <w:spacing w:before="100"/>
      </w:pPr>
    </w:p>
    <w:p w:rsidR="00315047" w:rsidRDefault="00355FE6">
      <w:pPr>
        <w:spacing w:before="280" w:after="100"/>
      </w:pPr>
      <w:r>
        <w:rPr>
          <w:b/>
          <w:bCs/>
          <w:color w:val="1B3A6B"/>
          <w:sz w:val="22"/>
          <w:szCs w:val="22"/>
        </w:rPr>
        <w:t>4.2  Outcomes</w:t>
      </w:r>
    </w:p>
    <w:p w:rsidR="00315047" w:rsidRDefault="00355FE6">
      <w:pPr>
        <w:spacing w:before="60" w:after="100"/>
      </w:pPr>
      <w:r>
        <w:rPr>
          <w:color w:val="1A1A2E"/>
        </w:rPr>
        <w:t>Following investigation, one or more of the following outcomes may apply:</w:t>
      </w:r>
    </w:p>
    <w:p w:rsidR="00315047" w:rsidRDefault="00355FE6">
      <w:pPr>
        <w:pStyle w:val="ListParagraph"/>
        <w:numPr>
          <w:ilvl w:val="0"/>
          <w:numId w:val="2"/>
        </w:numPr>
        <w:spacing w:before="40" w:after="40"/>
      </w:pPr>
      <w:r>
        <w:t>Explanation and apology — where a process or communication error is identified, a clear explanation and written apology will be provided.</w:t>
      </w:r>
    </w:p>
    <w:p w:rsidR="00315047" w:rsidRDefault="00355FE6">
      <w:pPr>
        <w:pStyle w:val="ListParagraph"/>
        <w:numPr>
          <w:ilvl w:val="0"/>
          <w:numId w:val="2"/>
        </w:numPr>
        <w:spacing w:before="40" w:after="40"/>
      </w:pPr>
      <w:r>
        <w:t>Report amendment — where a cli</w:t>
      </w:r>
      <w:r>
        <w:t>nical or factual error is identified in an OH report, a corrected report will be issued and the employer notified of the amendment.</w:t>
      </w:r>
    </w:p>
    <w:p w:rsidR="00315047" w:rsidRDefault="00355FE6">
      <w:pPr>
        <w:pStyle w:val="ListParagraph"/>
        <w:numPr>
          <w:ilvl w:val="0"/>
          <w:numId w:val="2"/>
        </w:numPr>
        <w:spacing w:before="40" w:after="40"/>
      </w:pPr>
      <w:r>
        <w:t>Process change — where a complaint identifies a systemic issue, a documented process change will be implemented and recorded</w:t>
      </w:r>
      <w:r>
        <w:t xml:space="preserve"> in the quality log.</w:t>
      </w:r>
    </w:p>
    <w:p w:rsidR="00315047" w:rsidRDefault="00355FE6">
      <w:pPr>
        <w:pStyle w:val="ListParagraph"/>
        <w:numPr>
          <w:ilvl w:val="0"/>
          <w:numId w:val="2"/>
        </w:numPr>
        <w:spacing w:before="40" w:after="40"/>
      </w:pPr>
      <w:r>
        <w:t>Fee remedy — where a service failure caused demonstrable harm or significant inconvenience, a fee reduction or refund may be offered at the Clinical Lead's discretion. This does not constitute an admission of liability.</w:t>
      </w:r>
    </w:p>
    <w:p w:rsidR="00315047" w:rsidRDefault="00355FE6">
      <w:pPr>
        <w:pStyle w:val="ListParagraph"/>
        <w:numPr>
          <w:ilvl w:val="0"/>
          <w:numId w:val="2"/>
        </w:numPr>
        <w:spacing w:before="40" w:after="40"/>
      </w:pPr>
      <w:r>
        <w:t>No further acti</w:t>
      </w:r>
      <w:r>
        <w:t>on — where the complaint is not upheld after investigation, a clear and reasoned written explanation will be provided, together with escalation options.</w:t>
      </w:r>
    </w:p>
    <w:p w:rsidR="00315047" w:rsidRDefault="00315047">
      <w:pPr>
        <w:spacing w:before="80"/>
      </w:pPr>
    </w:p>
    <w:p w:rsidR="00315047" w:rsidRDefault="00355FE6">
      <w:pPr>
        <w:spacing w:before="400" w:after="120"/>
      </w:pPr>
      <w:r>
        <w:rPr>
          <w:b/>
          <w:bCs/>
          <w:color w:val="1B3A6B"/>
          <w:sz w:val="28"/>
          <w:szCs w:val="28"/>
        </w:rPr>
        <w:t>5.  Escalation</w:t>
      </w:r>
    </w:p>
    <w:p w:rsidR="00315047" w:rsidRDefault="00315047">
      <w:pPr>
        <w:pBdr>
          <w:bottom w:val="single" w:sz="6" w:space="1" w:color="1B3A6B"/>
        </w:pBdr>
        <w:spacing w:before="60" w:after="200"/>
      </w:pPr>
    </w:p>
    <w:p w:rsidR="00315047" w:rsidRDefault="00355FE6">
      <w:pPr>
        <w:spacing w:before="280" w:after="100"/>
      </w:pPr>
      <w:r>
        <w:rPr>
          <w:b/>
          <w:bCs/>
          <w:color w:val="1B3A6B"/>
          <w:sz w:val="22"/>
          <w:szCs w:val="22"/>
        </w:rPr>
        <w:lastRenderedPageBreak/>
        <w:t>5.1  Internal Escalation</w:t>
      </w:r>
    </w:p>
    <w:p w:rsidR="00315047" w:rsidRDefault="00355FE6">
      <w:pPr>
        <w:spacing w:before="60" w:after="100"/>
      </w:pPr>
      <w:r>
        <w:rPr>
          <w:color w:val="1A1A2E"/>
        </w:rPr>
        <w:t>As a sole-practitioner service, internal escalation is limited. The process is as follows:</w:t>
      </w:r>
    </w:p>
    <w:p w:rsidR="00315047" w:rsidRDefault="00315047">
      <w:pPr>
        <w:spacing w:before="40"/>
      </w:pPr>
    </w:p>
    <w:p w:rsidR="00315047" w:rsidRDefault="00355FE6">
      <w:pPr>
        <w:pStyle w:val="ListParagraph"/>
        <w:numPr>
          <w:ilvl w:val="0"/>
          <w:numId w:val="3"/>
        </w:numPr>
        <w:spacing w:before="40" w:after="60"/>
      </w:pPr>
      <w:r>
        <w:t>Initial Response: The Clinical Lead (Dr. James Stanley) investigates and issues a written response within 28 calendar days.</w:t>
      </w:r>
    </w:p>
    <w:p w:rsidR="00315047" w:rsidRDefault="00355FE6">
      <w:pPr>
        <w:pStyle w:val="ListParagraph"/>
        <w:numPr>
          <w:ilvl w:val="0"/>
          <w:numId w:val="3"/>
        </w:numPr>
        <w:spacing w:before="40" w:after="60"/>
      </w:pPr>
      <w:r>
        <w:t>Reconsideration Request: If the complain</w:t>
      </w:r>
      <w:r>
        <w:t>ant is not satisfied with the initial response, they may request a formal reconsideration in writing within 14 calendar days of receiving the response. The Clinical Lead will conduct a fresh review and issue a final written response within 14 calendar days</w:t>
      </w:r>
      <w:r>
        <w:t xml:space="preserve"> of the reconsideration request.</w:t>
      </w:r>
    </w:p>
    <w:p w:rsidR="00315047" w:rsidRDefault="00355FE6">
      <w:pPr>
        <w:pStyle w:val="ListParagraph"/>
        <w:numPr>
          <w:ilvl w:val="0"/>
          <w:numId w:val="3"/>
        </w:numPr>
        <w:spacing w:before="40" w:after="60"/>
      </w:pPr>
      <w:r>
        <w:t>Final Position: The reconsideration response represents HealthBridge's final internal position. Complainants are informed of their right to external escalation at this stage.</w:t>
      </w:r>
    </w:p>
    <w:p w:rsidR="00315047" w:rsidRDefault="00315047">
      <w:pPr>
        <w:spacing w:before="80"/>
      </w:pPr>
    </w:p>
    <w:p w:rsidR="00315047" w:rsidRDefault="00355FE6">
      <w:pPr>
        <w:spacing w:before="280" w:after="100"/>
      </w:pPr>
      <w:r>
        <w:rPr>
          <w:b/>
          <w:bCs/>
          <w:color w:val="1B3A6B"/>
          <w:sz w:val="22"/>
          <w:szCs w:val="22"/>
        </w:rPr>
        <w:t>5.2  External Escalation</w:t>
      </w:r>
    </w:p>
    <w:p w:rsidR="00315047" w:rsidRDefault="00355FE6">
      <w:pPr>
        <w:spacing w:before="60" w:after="100"/>
      </w:pPr>
      <w:r>
        <w:rPr>
          <w:color w:val="1A1A2E"/>
        </w:rPr>
        <w:t>If a complainant remai</w:t>
      </w:r>
      <w:r>
        <w:rPr>
          <w:color w:val="1A1A2E"/>
        </w:rPr>
        <w:t>ns dissatisfied after internal escalation, they have the right to refer their complaint to an appropriate external body:</w:t>
      </w:r>
    </w:p>
    <w:p w:rsidR="00315047" w:rsidRDefault="00315047">
      <w:pPr>
        <w:spacing w:before="4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982"/>
        <w:gridCol w:w="3443"/>
        <w:gridCol w:w="2601"/>
      </w:tblGrid>
      <w:tr w:rsidR="00315047">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315047" w:rsidRDefault="00355FE6">
            <w:r>
              <w:rPr>
                <w:b/>
                <w:bCs/>
                <w:color w:val="FFFFFF"/>
                <w:sz w:val="19"/>
                <w:szCs w:val="19"/>
              </w:rPr>
              <w:t>Body</w:t>
            </w:r>
          </w:p>
        </w:tc>
        <w:tc>
          <w:tcPr>
            <w:tcW w:w="38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315047" w:rsidRDefault="00355FE6">
            <w:r>
              <w:rPr>
                <w:b/>
                <w:bCs/>
                <w:color w:val="FFFFFF"/>
                <w:sz w:val="19"/>
                <w:szCs w:val="19"/>
              </w:rPr>
              <w:t>Scope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315047" w:rsidRDefault="00355FE6">
            <w:r>
              <w:rPr>
                <w:b/>
                <w:bCs/>
                <w:color w:val="FFFFFF"/>
                <w:sz w:val="19"/>
                <w:szCs w:val="19"/>
              </w:rPr>
              <w:t>Contact</w:t>
            </w:r>
          </w:p>
        </w:tc>
      </w:tr>
      <w:tr w:rsidR="00315047">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b/>
                <w:bCs/>
                <w:sz w:val="19"/>
                <w:szCs w:val="19"/>
              </w:rPr>
              <w:t>General Medical Council (GMC)</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Clinical conduct, fitness to practise, or professional standards concerns.</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www.gmc-uk.org</w:t>
            </w:r>
          </w:p>
        </w:tc>
      </w:tr>
      <w:tr w:rsidR="00315047">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b/>
                <w:bCs/>
                <w:sz w:val="19"/>
                <w:szCs w:val="19"/>
              </w:rPr>
              <w:t>Information Commissioner's Office (ICO)</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Concerns about how personal or special category data has been handled.</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www.ico.org.uk</w:t>
            </w:r>
          </w:p>
        </w:tc>
      </w:tr>
      <w:tr w:rsidR="00315047">
        <w:tblPrEx>
          <w:tblCellMar>
            <w:top w:w="0" w:type="dxa"/>
            <w:bottom w:w="0" w:type="dxa"/>
          </w:tblCellMar>
        </w:tblPrEx>
        <w:tc>
          <w:tcPr>
            <w:tcW w:w="32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b/>
                <w:bCs/>
                <w:sz w:val="19"/>
                <w:szCs w:val="19"/>
              </w:rPr>
              <w:t>Medical Protection Society (MPS)</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Medico-legal matters that may involve clinical negligence claims.</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www.medicalprotection.org</w:t>
            </w:r>
          </w:p>
        </w:tc>
      </w:tr>
    </w:tbl>
    <w:p w:rsidR="00315047" w:rsidRDefault="00315047">
      <w:pPr>
        <w:spacing w:before="80"/>
      </w:pPr>
    </w:p>
    <w:p w:rsidR="00315047" w:rsidRDefault="00355FE6">
      <w:pPr>
        <w:spacing w:before="280" w:after="100"/>
      </w:pPr>
      <w:r>
        <w:rPr>
          <w:b/>
          <w:bCs/>
          <w:color w:val="1B3A6B"/>
          <w:sz w:val="22"/>
          <w:szCs w:val="22"/>
        </w:rPr>
        <w:t>5.3  OH Report Disputes — AMRA 1988 Escalation Pathway</w:t>
      </w:r>
    </w:p>
    <w:p w:rsidR="00315047" w:rsidRDefault="00355FE6">
      <w:pPr>
        <w:spacing w:before="60" w:after="100"/>
      </w:pPr>
      <w:r>
        <w:rPr>
          <w:color w:val="1A1A2E"/>
        </w:rPr>
        <w:t>Where an employee raises a dispute about the clinical content of their OH report under the Access to Medical Reports Act 1988, the following specific process applies:</w:t>
      </w:r>
    </w:p>
    <w:p w:rsidR="00315047" w:rsidRDefault="00315047">
      <w:pPr>
        <w:spacing w:before="40"/>
      </w:pPr>
    </w:p>
    <w:p w:rsidR="00315047" w:rsidRDefault="00355FE6">
      <w:pPr>
        <w:pStyle w:val="ListParagraph"/>
        <w:numPr>
          <w:ilvl w:val="0"/>
          <w:numId w:val="3"/>
        </w:numPr>
        <w:spacing w:before="40" w:after="60"/>
      </w:pPr>
      <w:r>
        <w:t>The employee must raise the dispute in writing within the 7-day review window (or request an extension, which may be granted at the Clinical Lead's discretion).</w:t>
      </w:r>
    </w:p>
    <w:p w:rsidR="00315047" w:rsidRDefault="00355FE6">
      <w:pPr>
        <w:pStyle w:val="ListParagraph"/>
        <w:numPr>
          <w:ilvl w:val="0"/>
          <w:numId w:val="3"/>
        </w:numPr>
        <w:spacing w:before="40" w:after="60"/>
      </w:pPr>
      <w:r>
        <w:t>The Clinical Lead reviews the requested amendment. If agreed, an amended report is issued.</w:t>
      </w:r>
    </w:p>
    <w:p w:rsidR="00315047" w:rsidRDefault="00355FE6">
      <w:pPr>
        <w:pStyle w:val="ListParagraph"/>
        <w:numPr>
          <w:ilvl w:val="0"/>
          <w:numId w:val="3"/>
        </w:numPr>
        <w:spacing w:before="40" w:after="60"/>
      </w:pPr>
      <w:r>
        <w:t>If t</w:t>
      </w:r>
      <w:r>
        <w:t>he Clinical Lead does not agree with the requested amendment, written reasons are provided to the employee. The employee's written statement of disagreement is appended to the report if they wish.</w:t>
      </w:r>
    </w:p>
    <w:p w:rsidR="00315047" w:rsidRDefault="00355FE6">
      <w:pPr>
        <w:pStyle w:val="ListParagraph"/>
        <w:numPr>
          <w:ilvl w:val="0"/>
          <w:numId w:val="3"/>
        </w:numPr>
        <w:spacing w:before="40" w:after="60"/>
      </w:pPr>
      <w:r>
        <w:t>The employee may then either: (a) consent to release of the</w:t>
      </w:r>
      <w:r>
        <w:t xml:space="preserve"> report including their statement; (b) withhold consent and request the report is not released; or (c) refer the clinical disagreement to the GMC.</w:t>
      </w:r>
    </w:p>
    <w:p w:rsidR="00315047" w:rsidRDefault="00355FE6">
      <w:pPr>
        <w:pStyle w:val="ListParagraph"/>
        <w:numPr>
          <w:ilvl w:val="0"/>
          <w:numId w:val="3"/>
        </w:numPr>
        <w:spacing w:before="40" w:after="60"/>
      </w:pPr>
      <w:r>
        <w:t>HealthBridge will not release the report to the employer until the employee's decision is confirmed in writin</w:t>
      </w:r>
      <w:r>
        <w:t>g.</w:t>
      </w:r>
    </w:p>
    <w:p w:rsidR="00315047" w:rsidRDefault="00315047">
      <w:pPr>
        <w:spacing w:before="60"/>
      </w:pPr>
    </w:p>
    <w:p w:rsidR="00315047" w:rsidRDefault="00355FE6">
      <w:pPr>
        <w:spacing w:before="60" w:after="100"/>
      </w:pPr>
      <w:r>
        <w:rPr>
          <w:color w:val="1A1A2E"/>
        </w:rPr>
        <w:t>This process does not affect the employee's separate right to raise a formal complaint under this policy about the handling of their report or assessment.</w:t>
      </w:r>
    </w:p>
    <w:p w:rsidR="00315047" w:rsidRDefault="00315047">
      <w:pPr>
        <w:spacing w:before="80"/>
      </w:pPr>
    </w:p>
    <w:p w:rsidR="00315047" w:rsidRDefault="00355FE6">
      <w:pPr>
        <w:spacing w:before="400" w:after="120"/>
      </w:pPr>
      <w:r>
        <w:rPr>
          <w:b/>
          <w:bCs/>
          <w:color w:val="1B3A6B"/>
          <w:sz w:val="28"/>
          <w:szCs w:val="28"/>
        </w:rPr>
        <w:t>6.  Confidentiality and Data Protection</w:t>
      </w:r>
    </w:p>
    <w:p w:rsidR="00315047" w:rsidRDefault="00315047">
      <w:pPr>
        <w:pBdr>
          <w:bottom w:val="single" w:sz="6" w:space="1" w:color="1B3A6B"/>
        </w:pBdr>
        <w:spacing w:before="60" w:after="200"/>
      </w:pPr>
    </w:p>
    <w:p w:rsidR="00315047" w:rsidRDefault="00355FE6">
      <w:pPr>
        <w:pStyle w:val="ListParagraph"/>
        <w:numPr>
          <w:ilvl w:val="0"/>
          <w:numId w:val="2"/>
        </w:numPr>
        <w:spacing w:before="40" w:after="40"/>
      </w:pPr>
      <w:r>
        <w:lastRenderedPageBreak/>
        <w:t>All complaint records are stored separately from clinic</w:t>
      </w:r>
      <w:r>
        <w:t>al assessment records and are held in encrypted, access-controlled systems.</w:t>
      </w:r>
    </w:p>
    <w:p w:rsidR="00315047" w:rsidRDefault="00355FE6">
      <w:pPr>
        <w:pStyle w:val="ListParagraph"/>
        <w:numPr>
          <w:ilvl w:val="0"/>
          <w:numId w:val="2"/>
        </w:numPr>
        <w:spacing w:before="40" w:after="40"/>
      </w:pPr>
      <w:r>
        <w:t>Complaint records are retained for a minimum of 8 years from the date of closure, consistent with standard medical record retention guidance, and securely destroyed thereafter.</w:t>
      </w:r>
    </w:p>
    <w:p w:rsidR="00315047" w:rsidRDefault="00355FE6">
      <w:pPr>
        <w:pStyle w:val="ListParagraph"/>
        <w:numPr>
          <w:ilvl w:val="0"/>
          <w:numId w:val="2"/>
        </w:numPr>
        <w:spacing w:before="40" w:after="40"/>
      </w:pPr>
      <w:r>
        <w:t>Per</w:t>
      </w:r>
      <w:r>
        <w:t>sonal data within complaint records is processed in compliance with UK GDPR and the Data Protection Act 2018, for the sole purpose of complaint investigation and quality improvement.</w:t>
      </w:r>
    </w:p>
    <w:p w:rsidR="00315047" w:rsidRDefault="00355FE6">
      <w:pPr>
        <w:pStyle w:val="ListParagraph"/>
        <w:numPr>
          <w:ilvl w:val="0"/>
          <w:numId w:val="2"/>
        </w:numPr>
        <w:spacing w:before="40" w:after="40"/>
      </w:pPr>
      <w:r>
        <w:t>Anonymised and aggregated complaint data is used for annual trend analysi</w:t>
      </w:r>
      <w:r>
        <w:t>s and quality improvement review, as set out in the Clinical Governance Policy. Individual complainants are not identifiable in trend reports.</w:t>
      </w:r>
    </w:p>
    <w:p w:rsidR="00315047" w:rsidRDefault="00355FE6">
      <w:pPr>
        <w:pStyle w:val="ListParagraph"/>
        <w:numPr>
          <w:ilvl w:val="0"/>
          <w:numId w:val="2"/>
        </w:numPr>
        <w:spacing w:before="40" w:after="40"/>
      </w:pPr>
      <w:r>
        <w:t>Where a complaint involves a potential data breach, the ICO is notified within 72 hours if the breach meets the r</w:t>
      </w:r>
      <w:r>
        <w:t>eporting threshold, in accordance with UK GDPR Article 33.</w:t>
      </w:r>
    </w:p>
    <w:p w:rsidR="00315047" w:rsidRDefault="00355FE6">
      <w:pPr>
        <w:pStyle w:val="ListParagraph"/>
        <w:numPr>
          <w:ilvl w:val="0"/>
          <w:numId w:val="2"/>
        </w:numPr>
        <w:spacing w:before="40" w:after="40"/>
      </w:pPr>
      <w:r>
        <w:t>Complainants have the right to request access to the personal data held about them in connection with their complaint, subject to applicable exemptions.</w:t>
      </w:r>
    </w:p>
    <w:p w:rsidR="00315047" w:rsidRDefault="00315047">
      <w:pPr>
        <w:spacing w:before="80"/>
      </w:pPr>
    </w:p>
    <w:p w:rsidR="00315047" w:rsidRDefault="00355FE6">
      <w:pPr>
        <w:spacing w:before="400" w:after="120"/>
      </w:pPr>
      <w:r>
        <w:rPr>
          <w:b/>
          <w:bCs/>
          <w:color w:val="1B3A6B"/>
          <w:sz w:val="28"/>
          <w:szCs w:val="28"/>
        </w:rPr>
        <w:t>7.  Unreasonable or Vexatious Complaints</w:t>
      </w:r>
    </w:p>
    <w:p w:rsidR="00315047" w:rsidRDefault="00315047">
      <w:pPr>
        <w:pBdr>
          <w:bottom w:val="single" w:sz="6" w:space="1" w:color="1B3A6B"/>
        </w:pBdr>
        <w:spacing w:before="60" w:after="200"/>
      </w:pPr>
    </w:p>
    <w:p w:rsidR="00315047" w:rsidRDefault="00355FE6">
      <w:pPr>
        <w:spacing w:before="60" w:after="100"/>
      </w:pPr>
      <w:r>
        <w:rPr>
          <w:color w:val="1A1A2E"/>
        </w:rPr>
        <w:t>H</w:t>
      </w:r>
      <w:r>
        <w:rPr>
          <w:color w:val="1A1A2E"/>
        </w:rPr>
        <w:t>ealthBridge is committed to investigating all complaints fairly. However, where a complaint is determined to be manifestly vexatious, repetitive, or made in bad faith, the Clinical Lead reserves the right to apply a modified handling procedure. This may in</w:t>
      </w:r>
      <w:r>
        <w:rPr>
          <w:color w:val="1A1A2E"/>
        </w:rPr>
        <w:t>clude:</w:t>
      </w:r>
    </w:p>
    <w:p w:rsidR="00315047" w:rsidRDefault="00355FE6">
      <w:pPr>
        <w:pStyle w:val="ListParagraph"/>
        <w:numPr>
          <w:ilvl w:val="0"/>
          <w:numId w:val="2"/>
        </w:numPr>
        <w:spacing w:before="40" w:after="40"/>
      </w:pPr>
      <w:r>
        <w:t>Providing a single comprehensive written response and declining to enter into further correspondence on the same matter</w:t>
      </w:r>
    </w:p>
    <w:p w:rsidR="00315047" w:rsidRDefault="00355FE6">
      <w:pPr>
        <w:pStyle w:val="ListParagraph"/>
        <w:numPr>
          <w:ilvl w:val="0"/>
          <w:numId w:val="2"/>
        </w:numPr>
        <w:spacing w:before="40" w:after="40"/>
      </w:pPr>
      <w:r>
        <w:t>Restricting contact to a single designated communication channel</w:t>
      </w:r>
    </w:p>
    <w:p w:rsidR="00315047" w:rsidRDefault="00315047">
      <w:pPr>
        <w:spacing w:before="60"/>
      </w:pPr>
    </w:p>
    <w:p w:rsidR="00315047" w:rsidRDefault="00355FE6">
      <w:pPr>
        <w:spacing w:before="60" w:after="100"/>
      </w:pPr>
      <w:r>
        <w:rPr>
          <w:color w:val="1A1A2E"/>
        </w:rPr>
        <w:t>Any decision to treat a complaint as vexatious is documented, with reasons, and the complainant is informed in writing. This does not affect the complainant's right to external escalation. A complaint will not be treated as vexatious solely because it is r</w:t>
      </w:r>
      <w:r>
        <w:rPr>
          <w:color w:val="1A1A2E"/>
        </w:rPr>
        <w:t>epeated, because the complainant disagrees with a clinical opinion, or because the matter has been previously investigated.</w:t>
      </w:r>
    </w:p>
    <w:p w:rsidR="00315047" w:rsidRDefault="00315047">
      <w:pPr>
        <w:spacing w:before="80"/>
      </w:pPr>
    </w:p>
    <w:p w:rsidR="00315047" w:rsidRDefault="00355FE6">
      <w:pPr>
        <w:spacing w:before="400" w:after="120"/>
      </w:pPr>
      <w:r>
        <w:rPr>
          <w:b/>
          <w:bCs/>
          <w:color w:val="1B3A6B"/>
          <w:sz w:val="28"/>
          <w:szCs w:val="28"/>
        </w:rPr>
        <w:t>8.  Learning from Complaints</w:t>
      </w:r>
    </w:p>
    <w:p w:rsidR="00315047" w:rsidRDefault="00315047">
      <w:pPr>
        <w:pBdr>
          <w:bottom w:val="single" w:sz="6" w:space="1" w:color="1B3A6B"/>
        </w:pBdr>
        <w:spacing w:before="60" w:after="200"/>
      </w:pPr>
    </w:p>
    <w:p w:rsidR="00315047" w:rsidRDefault="00355FE6">
      <w:pPr>
        <w:spacing w:before="60" w:after="100"/>
      </w:pPr>
      <w:r>
        <w:rPr>
          <w:color w:val="1A1A2E"/>
        </w:rPr>
        <w:t>Complaints are treated as a learning mechanism, not solely as a risk or liability matter. The followi</w:t>
      </w:r>
      <w:r>
        <w:rPr>
          <w:color w:val="1A1A2E"/>
        </w:rPr>
        <w:t>ng quality improvement activities are undertaken:</w:t>
      </w:r>
    </w:p>
    <w:p w:rsidR="00315047" w:rsidRDefault="00355FE6">
      <w:pPr>
        <w:pStyle w:val="ListParagraph"/>
        <w:numPr>
          <w:ilvl w:val="0"/>
          <w:numId w:val="2"/>
        </w:numPr>
        <w:spacing w:before="40" w:after="40"/>
      </w:pPr>
      <w:r>
        <w:t>Each resolved complaint is reviewed for any corrective action required.</w:t>
      </w:r>
    </w:p>
    <w:p w:rsidR="00315047" w:rsidRDefault="00355FE6">
      <w:pPr>
        <w:pStyle w:val="ListParagraph"/>
        <w:numPr>
          <w:ilvl w:val="0"/>
          <w:numId w:val="2"/>
        </w:numPr>
        <w:spacing w:before="40" w:after="40"/>
      </w:pPr>
      <w:r>
        <w:t>Complaint trends are analysed quarterly for recurring themes, process gaps, or training needs.</w:t>
      </w:r>
    </w:p>
    <w:p w:rsidR="00315047" w:rsidRDefault="00355FE6">
      <w:pPr>
        <w:pStyle w:val="ListParagraph"/>
        <w:numPr>
          <w:ilvl w:val="0"/>
          <w:numId w:val="2"/>
        </w:numPr>
        <w:spacing w:before="40" w:after="40"/>
      </w:pPr>
      <w:r>
        <w:t>Annual governance review includes a summary of complaints received, outcomes, and any resulting policy or process changes.</w:t>
      </w:r>
    </w:p>
    <w:p w:rsidR="00315047" w:rsidRDefault="00355FE6">
      <w:pPr>
        <w:pStyle w:val="ListParagraph"/>
        <w:numPr>
          <w:ilvl w:val="0"/>
          <w:numId w:val="2"/>
        </w:numPr>
        <w:spacing w:before="40" w:after="40"/>
      </w:pPr>
      <w:r>
        <w:t>Where a complaint results in a process change, this is documented in the policy version log and communicated to any contracted suppor</w:t>
      </w:r>
      <w:r>
        <w:t>t staff.</w:t>
      </w:r>
    </w:p>
    <w:p w:rsidR="00315047" w:rsidRDefault="00315047">
      <w:pPr>
        <w:spacing w:before="80"/>
      </w:pPr>
    </w:p>
    <w:p w:rsidR="00315047" w:rsidRDefault="00355FE6">
      <w:pPr>
        <w:spacing w:before="400" w:after="120"/>
      </w:pPr>
      <w:r>
        <w:rPr>
          <w:b/>
          <w:bCs/>
          <w:color w:val="1B3A6B"/>
          <w:sz w:val="28"/>
          <w:szCs w:val="28"/>
        </w:rPr>
        <w:t>9.  Policy Review</w:t>
      </w:r>
    </w:p>
    <w:p w:rsidR="00315047" w:rsidRDefault="00315047">
      <w:pPr>
        <w:pBdr>
          <w:bottom w:val="single" w:sz="6" w:space="1" w:color="1B3A6B"/>
        </w:pBdr>
        <w:spacing w:before="60" w:after="200"/>
      </w:pPr>
    </w:p>
    <w:p w:rsidR="00315047" w:rsidRDefault="00355FE6">
      <w:pPr>
        <w:pStyle w:val="ListParagraph"/>
        <w:numPr>
          <w:ilvl w:val="0"/>
          <w:numId w:val="2"/>
        </w:numPr>
        <w:spacing w:before="40" w:after="40"/>
      </w:pPr>
      <w:r>
        <w:t>Formal annual review — next scheduled: 13 June 2027.</w:t>
      </w:r>
    </w:p>
    <w:p w:rsidR="00315047" w:rsidRDefault="00355FE6">
      <w:pPr>
        <w:pStyle w:val="ListParagraph"/>
        <w:numPr>
          <w:ilvl w:val="0"/>
          <w:numId w:val="2"/>
        </w:numPr>
        <w:spacing w:before="40" w:after="40"/>
      </w:pPr>
      <w:r>
        <w:t>Ad-hoc review following material regulatory changes (e.g., new GMC guidance, ICO decisions, legislative amendments).</w:t>
      </w:r>
    </w:p>
    <w:p w:rsidR="00315047" w:rsidRDefault="00355FE6">
      <w:pPr>
        <w:pStyle w:val="ListParagraph"/>
        <w:numPr>
          <w:ilvl w:val="0"/>
          <w:numId w:val="2"/>
        </w:numPr>
        <w:spacing w:before="40" w:after="40"/>
      </w:pPr>
      <w:r>
        <w:t>Immediate review triggered by any complaint that identifi</w:t>
      </w:r>
      <w:r>
        <w:t>es a systemic clinical governance failure.</w:t>
      </w:r>
    </w:p>
    <w:p w:rsidR="00315047" w:rsidRDefault="00315047">
      <w:pPr>
        <w:spacing w:before="80"/>
      </w:pPr>
    </w:p>
    <w:p w:rsidR="00315047" w:rsidRDefault="00355FE6">
      <w:pPr>
        <w:spacing w:before="400" w:after="120"/>
      </w:pPr>
      <w:r>
        <w:rPr>
          <w:b/>
          <w:bCs/>
          <w:color w:val="1B3A6B"/>
          <w:sz w:val="28"/>
          <w:szCs w:val="28"/>
        </w:rPr>
        <w:lastRenderedPageBreak/>
        <w:t>10.  Version Control</w:t>
      </w:r>
    </w:p>
    <w:p w:rsidR="00315047" w:rsidRDefault="00315047">
      <w:pPr>
        <w:pBdr>
          <w:bottom w:val="single" w:sz="6" w:space="1" w:color="1B3A6B"/>
        </w:pBdr>
        <w:spacing w:before="60" w:after="200"/>
      </w:pPr>
    </w:p>
    <w:p w:rsidR="00315047" w:rsidRDefault="00315047">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2000"/>
        <w:gridCol w:w="3526"/>
        <w:gridCol w:w="2000"/>
      </w:tblGrid>
      <w:tr w:rsidR="00315047">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315047" w:rsidRDefault="00355FE6">
            <w:r>
              <w:rPr>
                <w:b/>
                <w:bCs/>
                <w:color w:val="FFFFFF"/>
                <w:sz w:val="19"/>
                <w:szCs w:val="19"/>
              </w:rPr>
              <w:t>Version</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315047" w:rsidRDefault="00355FE6">
            <w:r>
              <w:rPr>
                <w:b/>
                <w:bCs/>
                <w:color w:val="FFFFFF"/>
                <w:sz w:val="19"/>
                <w:szCs w:val="19"/>
              </w:rPr>
              <w:t>Date</w:t>
            </w:r>
          </w:p>
        </w:tc>
        <w:tc>
          <w:tcPr>
            <w:tcW w:w="35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315047" w:rsidRDefault="00355FE6">
            <w:r>
              <w:rPr>
                <w:b/>
                <w:bCs/>
                <w:color w:val="FFFFFF"/>
                <w:sz w:val="19"/>
                <w:szCs w:val="19"/>
              </w:rPr>
              <w:t>Changes Made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315047" w:rsidRDefault="00355FE6">
            <w:r>
              <w:rPr>
                <w:b/>
                <w:bCs/>
                <w:color w:val="FFFFFF"/>
                <w:sz w:val="19"/>
                <w:szCs w:val="19"/>
              </w:rPr>
              <w:t>Approved By</w:t>
            </w:r>
          </w:p>
        </w:tc>
      </w:tr>
      <w:tr w:rsidR="00315047">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1.0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30/07/2025</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Initial policy draft.</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Dr. James Stanley</w:t>
            </w:r>
          </w:p>
        </w:tc>
      </w:tr>
      <w:tr w:rsidR="00315047">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2.0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13/06/2026</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Comprehensive review: removed incorrect CQC registration reference; removed phantom Complaints Officer and Director roles; added MPS notification step for clinical complaints; added AMRA 1988 report dispute pathway (Section 5.3); added vexatious complaints</w:t>
            </w:r>
            <w:r>
              <w:rPr>
                <w:sz w:val="19"/>
                <w:szCs w:val="19"/>
              </w:rPr>
              <w:t xml:space="preserve"> section; expanded data protection provisions; corrected registered address inconsistency; aligned escalation structure to sole-practitioner reality.</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Dr. James Stanley</w:t>
            </w:r>
          </w:p>
        </w:tc>
      </w:tr>
      <w:tr w:rsidR="00315047">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2.1</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55FE6">
            <w:r>
              <w:rPr>
                <w:sz w:val="19"/>
                <w:szCs w:val="19"/>
              </w:rPr>
              <w:t>[DD/MM/YYYY]</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15047"/>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315047" w:rsidRDefault="00315047"/>
        </w:tc>
      </w:tr>
    </w:tbl>
    <w:p w:rsidR="00315047" w:rsidRDefault="00315047">
      <w:pPr>
        <w:spacing w:before="160"/>
      </w:pPr>
    </w:p>
    <w:p w:rsidR="00315047" w:rsidRDefault="00355FE6">
      <w:pPr>
        <w:spacing w:before="60" w:after="100"/>
      </w:pPr>
      <w:r>
        <w:rPr>
          <w:b/>
          <w:bCs/>
          <w:color w:val="1A1A2E"/>
        </w:rPr>
        <w:t>Approved by: Dr. James Stanley, Clinical Lead</w:t>
      </w:r>
    </w:p>
    <w:p w:rsidR="00315047" w:rsidRDefault="00355FE6">
      <w:pPr>
        <w:spacing w:before="60" w:after="100"/>
      </w:pPr>
      <w:r>
        <w:rPr>
          <w:color w:val="1A1A2E"/>
        </w:rPr>
        <w:t>GMC Registration No: 7285162</w:t>
      </w:r>
    </w:p>
    <w:p w:rsidR="00315047" w:rsidRDefault="00355FE6">
      <w:pPr>
        <w:spacing w:before="60" w:after="100"/>
      </w:pPr>
      <w:r>
        <w:rPr>
          <w:color w:val="1A1A2E"/>
        </w:rPr>
        <w:t>Contact: contact@healthbridge.org.uk</w:t>
      </w:r>
    </w:p>
    <w:p w:rsidR="00315047" w:rsidRDefault="00315047">
      <w:pPr>
        <w:spacing w:before="60"/>
      </w:pPr>
    </w:p>
    <w:p w:rsidR="00315047" w:rsidRDefault="00355FE6">
      <w:pPr>
        <w:spacing w:before="60" w:after="100"/>
      </w:pPr>
      <w:r>
        <w:rPr>
          <w:i/>
          <w:iCs/>
          <w:color w:val="6B7280"/>
        </w:rPr>
        <w:t>HealthBridge Occupational Health Ltd  |  Company No: 16615396</w:t>
      </w:r>
    </w:p>
    <w:p w:rsidR="00315047" w:rsidRDefault="00355FE6">
      <w:pPr>
        <w:spacing w:before="60" w:after="100"/>
      </w:pPr>
      <w:r>
        <w:rPr>
          <w:i/>
          <w:iCs/>
          <w:color w:val="6B7280"/>
        </w:rPr>
        <w:t>Registered Address: 50 Hadow Way, Gloucester, GL2 4YJ</w:t>
      </w:r>
    </w:p>
    <w:p w:rsidR="00315047" w:rsidRDefault="00355FE6">
      <w:pPr>
        <w:spacing w:before="60" w:after="100"/>
      </w:pPr>
      <w:r>
        <w:rPr>
          <w:i/>
          <w:iCs/>
          <w:color w:val="6B7280"/>
        </w:rPr>
        <w:t>© HealthBridge Occupational Health Ltd. Unauthorised distribution prohibited.</w:t>
      </w:r>
    </w:p>
    <w:sectPr w:rsidR="00315047" w:rsidSect="00315047">
      <w:headerReference w:type="default" r:id="rId7"/>
      <w:footerReference w:type="default" r:id="rId8"/>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047" w:rsidRDefault="00315047" w:rsidP="00315047">
      <w:r>
        <w:separator/>
      </w:r>
    </w:p>
  </w:endnote>
  <w:endnote w:type="continuationSeparator" w:id="0">
    <w:p w:rsidR="00315047" w:rsidRDefault="00315047" w:rsidP="0031504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047" w:rsidRDefault="00355FE6">
    <w:pPr>
      <w:pBdr>
        <w:top w:val="single" w:sz="4" w:space="2" w:color="1B3A6B"/>
      </w:pBdr>
      <w:tabs>
        <w:tab w:val="right" w:pos="9026"/>
      </w:tabs>
      <w:spacing w:before="120"/>
    </w:pPr>
    <w:r>
      <w:rPr>
        <w:color w:val="6B7280"/>
        <w:sz w:val="16"/>
        <w:szCs w:val="16"/>
      </w:rPr>
      <w:t>Hea</w:t>
    </w:r>
    <w:r>
      <w:rPr>
        <w:color w:val="6B7280"/>
        <w:sz w:val="16"/>
        <w:szCs w:val="16"/>
      </w:rPr>
      <w:t>lthBridge Occupational Health Ltd  |  Co. No: 16615396  |  50 Hadow Way, Gloucester, GL2 4YJ</w:t>
    </w:r>
    <w:r>
      <w:rPr>
        <w:color w:val="6B7280"/>
        <w:sz w:val="16"/>
        <w:szCs w:val="16"/>
      </w:rPr>
      <w:tab/>
      <w:t xml:space="preserve">Page </w:t>
    </w:r>
    <w:r w:rsidR="00315047">
      <w:rPr>
        <w:color w:val="6B7280"/>
        <w:sz w:val="16"/>
        <w:szCs w:val="16"/>
      </w:rPr>
      <w:fldChar w:fldCharType="begin"/>
    </w:r>
    <w:r>
      <w:rPr>
        <w:color w:val="6B7280"/>
        <w:sz w:val="16"/>
        <w:szCs w:val="16"/>
      </w:rPr>
      <w:instrText>PAGE</w:instrText>
    </w:r>
    <w:r w:rsidR="00DC5884">
      <w:rPr>
        <w:color w:val="6B7280"/>
        <w:sz w:val="16"/>
        <w:szCs w:val="16"/>
      </w:rPr>
      <w:fldChar w:fldCharType="separate"/>
    </w:r>
    <w:r w:rsidR="00DC5884">
      <w:rPr>
        <w:noProof/>
        <w:color w:val="6B7280"/>
        <w:sz w:val="16"/>
        <w:szCs w:val="16"/>
      </w:rPr>
      <w:t>2</w:t>
    </w:r>
    <w:r w:rsidR="00315047">
      <w:rPr>
        <w:color w:val="6B728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047" w:rsidRDefault="00315047" w:rsidP="00315047">
      <w:r>
        <w:separator/>
      </w:r>
    </w:p>
  </w:footnote>
  <w:footnote w:type="continuationSeparator" w:id="0">
    <w:p w:rsidR="00315047" w:rsidRDefault="00315047" w:rsidP="003150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047" w:rsidRDefault="00355FE6">
    <w:pPr>
      <w:tabs>
        <w:tab w:val="right" w:pos="9026"/>
      </w:tabs>
      <w:spacing w:after="100"/>
    </w:pPr>
    <w:r>
      <w:rPr>
        <w:color w:val="6B7280"/>
        <w:sz w:val="16"/>
        <w:szCs w:val="16"/>
      </w:rPr>
      <w:t>Version 2.0  |  Effective: 13/06/2026  |  Owner: Dr. James Stanley  |  GMC: 7285162</w:t>
    </w:r>
    <w:r>
      <w:rPr>
        <w:color w:val="6B7280"/>
        <w:sz w:val="16"/>
        <w:szCs w:val="16"/>
      </w:rPr>
      <w:tab/>
      <w:t>Next Review: 13/06/2027</w:t>
    </w:r>
  </w:p>
  <w:p w:rsidR="00315047" w:rsidRDefault="00315047">
    <w:pPr>
      <w:pBdr>
        <w:bottom w:val="single" w:sz="6"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34748"/>
    <w:multiLevelType w:val="hybridMultilevel"/>
    <w:tmpl w:val="BD60AA84"/>
    <w:lvl w:ilvl="0" w:tplc="36D027C8">
      <w:start w:val="1"/>
      <w:numFmt w:val="bullet"/>
      <w:lvlText w:val="●"/>
      <w:lvlJc w:val="left"/>
      <w:pPr>
        <w:ind w:left="720" w:hanging="360"/>
      </w:pPr>
    </w:lvl>
    <w:lvl w:ilvl="1" w:tplc="AE907AB4">
      <w:start w:val="1"/>
      <w:numFmt w:val="bullet"/>
      <w:lvlText w:val="○"/>
      <w:lvlJc w:val="left"/>
      <w:pPr>
        <w:ind w:left="1440" w:hanging="360"/>
      </w:pPr>
    </w:lvl>
    <w:lvl w:ilvl="2" w:tplc="DC38E1E6">
      <w:start w:val="1"/>
      <w:numFmt w:val="bullet"/>
      <w:lvlText w:val="■"/>
      <w:lvlJc w:val="left"/>
      <w:pPr>
        <w:ind w:left="2160" w:hanging="360"/>
      </w:pPr>
    </w:lvl>
    <w:lvl w:ilvl="3" w:tplc="D0108864">
      <w:start w:val="1"/>
      <w:numFmt w:val="bullet"/>
      <w:lvlText w:val="●"/>
      <w:lvlJc w:val="left"/>
      <w:pPr>
        <w:ind w:left="2880" w:hanging="360"/>
      </w:pPr>
    </w:lvl>
    <w:lvl w:ilvl="4" w:tplc="C980B246">
      <w:start w:val="1"/>
      <w:numFmt w:val="bullet"/>
      <w:lvlText w:val="○"/>
      <w:lvlJc w:val="left"/>
      <w:pPr>
        <w:ind w:left="3600" w:hanging="360"/>
      </w:pPr>
    </w:lvl>
    <w:lvl w:ilvl="5" w:tplc="CF28E23E">
      <w:start w:val="1"/>
      <w:numFmt w:val="bullet"/>
      <w:lvlText w:val="■"/>
      <w:lvlJc w:val="left"/>
      <w:pPr>
        <w:ind w:left="4320" w:hanging="360"/>
      </w:pPr>
    </w:lvl>
    <w:lvl w:ilvl="6" w:tplc="027A859A">
      <w:start w:val="1"/>
      <w:numFmt w:val="bullet"/>
      <w:lvlText w:val="●"/>
      <w:lvlJc w:val="left"/>
      <w:pPr>
        <w:ind w:left="5040" w:hanging="360"/>
      </w:pPr>
    </w:lvl>
    <w:lvl w:ilvl="7" w:tplc="02582DFC">
      <w:start w:val="1"/>
      <w:numFmt w:val="bullet"/>
      <w:lvlText w:val="●"/>
      <w:lvlJc w:val="left"/>
      <w:pPr>
        <w:ind w:left="5760" w:hanging="360"/>
      </w:pPr>
    </w:lvl>
    <w:lvl w:ilvl="8" w:tplc="9496AEA8">
      <w:start w:val="1"/>
      <w:numFmt w:val="bullet"/>
      <w:lvlText w:val="●"/>
      <w:lvlJc w:val="left"/>
      <w:pPr>
        <w:ind w:left="6480" w:hanging="360"/>
      </w:pPr>
    </w:lvl>
  </w:abstractNum>
  <w:abstractNum w:abstractNumId="1">
    <w:nsid w:val="59567371"/>
    <w:multiLevelType w:val="hybridMultilevel"/>
    <w:tmpl w:val="0734D0FA"/>
    <w:lvl w:ilvl="0" w:tplc="B17454B0">
      <w:start w:val="1"/>
      <w:numFmt w:val="decimal"/>
      <w:lvlText w:val="%1."/>
      <w:lvlJc w:val="left"/>
      <w:pPr>
        <w:ind w:left="540" w:hanging="360"/>
      </w:pPr>
    </w:lvl>
    <w:lvl w:ilvl="1" w:tplc="563CA67C">
      <w:numFmt w:val="decimal"/>
      <w:lvlText w:val=""/>
      <w:lvlJc w:val="left"/>
    </w:lvl>
    <w:lvl w:ilvl="2" w:tplc="66B472B6">
      <w:numFmt w:val="decimal"/>
      <w:lvlText w:val=""/>
      <w:lvlJc w:val="left"/>
    </w:lvl>
    <w:lvl w:ilvl="3" w:tplc="131C6BE0">
      <w:numFmt w:val="decimal"/>
      <w:lvlText w:val=""/>
      <w:lvlJc w:val="left"/>
    </w:lvl>
    <w:lvl w:ilvl="4" w:tplc="085044D4">
      <w:numFmt w:val="decimal"/>
      <w:lvlText w:val=""/>
      <w:lvlJc w:val="left"/>
    </w:lvl>
    <w:lvl w:ilvl="5" w:tplc="E1D6770E">
      <w:numFmt w:val="decimal"/>
      <w:lvlText w:val=""/>
      <w:lvlJc w:val="left"/>
    </w:lvl>
    <w:lvl w:ilvl="6" w:tplc="EA9C14F0">
      <w:numFmt w:val="decimal"/>
      <w:lvlText w:val=""/>
      <w:lvlJc w:val="left"/>
    </w:lvl>
    <w:lvl w:ilvl="7" w:tplc="9E34B282">
      <w:numFmt w:val="decimal"/>
      <w:lvlText w:val=""/>
      <w:lvlJc w:val="left"/>
    </w:lvl>
    <w:lvl w:ilvl="8" w:tplc="DB34FAA8">
      <w:numFmt w:val="decimal"/>
      <w:lvlText w:val=""/>
      <w:lvlJc w:val="left"/>
    </w:lvl>
  </w:abstractNum>
  <w:abstractNum w:abstractNumId="2">
    <w:nsid w:val="677547D3"/>
    <w:multiLevelType w:val="hybridMultilevel"/>
    <w:tmpl w:val="7588478C"/>
    <w:lvl w:ilvl="0" w:tplc="2E2C9874">
      <w:start w:val="1"/>
      <w:numFmt w:val="bullet"/>
      <w:lvlText w:val="•"/>
      <w:lvlJc w:val="left"/>
      <w:pPr>
        <w:ind w:left="540" w:hanging="360"/>
      </w:pPr>
    </w:lvl>
    <w:lvl w:ilvl="1" w:tplc="0E367AA8">
      <w:numFmt w:val="decimal"/>
      <w:lvlText w:val=""/>
      <w:lvlJc w:val="left"/>
    </w:lvl>
    <w:lvl w:ilvl="2" w:tplc="F8683686">
      <w:numFmt w:val="decimal"/>
      <w:lvlText w:val=""/>
      <w:lvlJc w:val="left"/>
    </w:lvl>
    <w:lvl w:ilvl="3" w:tplc="025609CC">
      <w:numFmt w:val="decimal"/>
      <w:lvlText w:val=""/>
      <w:lvlJc w:val="left"/>
    </w:lvl>
    <w:lvl w:ilvl="4" w:tplc="2C729BBC">
      <w:numFmt w:val="decimal"/>
      <w:lvlText w:val=""/>
      <w:lvlJc w:val="left"/>
    </w:lvl>
    <w:lvl w:ilvl="5" w:tplc="E9B2F138">
      <w:numFmt w:val="decimal"/>
      <w:lvlText w:val=""/>
      <w:lvlJc w:val="left"/>
    </w:lvl>
    <w:lvl w:ilvl="6" w:tplc="9A7C3352">
      <w:numFmt w:val="decimal"/>
      <w:lvlText w:val=""/>
      <w:lvlJc w:val="left"/>
    </w:lvl>
    <w:lvl w:ilvl="7" w:tplc="60EE1B40">
      <w:numFmt w:val="decimal"/>
      <w:lvlText w:val=""/>
      <w:lvlJc w:val="left"/>
    </w:lvl>
    <w:lvl w:ilvl="8" w:tplc="F0DEFFBE">
      <w:numFmt w:val="decimal"/>
      <w:lvlText w:val=""/>
      <w:lvlJc w:val="left"/>
    </w:lvl>
  </w:abstractNum>
  <w:num w:numId="1">
    <w:abstractNumId w:val="0"/>
    <w:lvlOverride w:ilvl="0">
      <w:startOverride w:val="1"/>
    </w:lvlOverride>
  </w:num>
  <w:num w:numId="2">
    <w:abstractNumId w:val="2"/>
    <w:lvlOverride w:ilvl="0">
      <w:startOverride w:val="1"/>
    </w:lvlOverride>
  </w:num>
  <w:num w:numId="3">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315047"/>
    <w:rsid w:val="00315047"/>
    <w:rsid w:val="00355FE6"/>
    <w:rsid w:val="00DC588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315047"/>
    <w:pPr>
      <w:outlineLvl w:val="0"/>
    </w:pPr>
    <w:rPr>
      <w:color w:val="2E74B5"/>
      <w:sz w:val="32"/>
      <w:szCs w:val="32"/>
    </w:rPr>
  </w:style>
  <w:style w:type="paragraph" w:styleId="Heading2">
    <w:name w:val="heading 2"/>
    <w:qFormat/>
    <w:rsid w:val="00315047"/>
    <w:pPr>
      <w:outlineLvl w:val="1"/>
    </w:pPr>
    <w:rPr>
      <w:color w:val="2E74B5"/>
      <w:sz w:val="26"/>
      <w:szCs w:val="26"/>
    </w:rPr>
  </w:style>
  <w:style w:type="paragraph" w:styleId="Heading3">
    <w:name w:val="heading 3"/>
    <w:qFormat/>
    <w:rsid w:val="00315047"/>
    <w:pPr>
      <w:outlineLvl w:val="2"/>
    </w:pPr>
    <w:rPr>
      <w:color w:val="1F4D78"/>
      <w:sz w:val="24"/>
      <w:szCs w:val="24"/>
    </w:rPr>
  </w:style>
  <w:style w:type="paragraph" w:styleId="Heading4">
    <w:name w:val="heading 4"/>
    <w:qFormat/>
    <w:rsid w:val="00315047"/>
    <w:pPr>
      <w:outlineLvl w:val="3"/>
    </w:pPr>
    <w:rPr>
      <w:i/>
      <w:iCs/>
      <w:color w:val="2E74B5"/>
    </w:rPr>
  </w:style>
  <w:style w:type="paragraph" w:styleId="Heading5">
    <w:name w:val="heading 5"/>
    <w:qFormat/>
    <w:rsid w:val="00315047"/>
    <w:pPr>
      <w:outlineLvl w:val="4"/>
    </w:pPr>
    <w:rPr>
      <w:color w:val="2E74B5"/>
    </w:rPr>
  </w:style>
  <w:style w:type="paragraph" w:styleId="Heading6">
    <w:name w:val="heading 6"/>
    <w:qFormat/>
    <w:rsid w:val="00315047"/>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315047"/>
    <w:rPr>
      <w:sz w:val="56"/>
      <w:szCs w:val="56"/>
    </w:rPr>
  </w:style>
  <w:style w:type="paragraph" w:customStyle="1" w:styleId="Strong1">
    <w:name w:val="Strong1"/>
    <w:qFormat/>
    <w:rsid w:val="00315047"/>
    <w:rPr>
      <w:b/>
      <w:bCs/>
    </w:rPr>
  </w:style>
  <w:style w:type="paragraph" w:styleId="ListParagraph">
    <w:name w:val="List Paragraph"/>
    <w:qFormat/>
    <w:rsid w:val="00315047"/>
  </w:style>
  <w:style w:type="character" w:styleId="Hyperlink">
    <w:name w:val="Hyperlink"/>
    <w:uiPriority w:val="99"/>
    <w:unhideWhenUsed/>
    <w:rsid w:val="00315047"/>
    <w:rPr>
      <w:color w:val="0563C1"/>
      <w:u w:val="single"/>
    </w:rPr>
  </w:style>
  <w:style w:type="character" w:styleId="FootnoteReference">
    <w:name w:val="footnote reference"/>
    <w:uiPriority w:val="99"/>
    <w:semiHidden/>
    <w:unhideWhenUsed/>
    <w:rsid w:val="00315047"/>
    <w:rPr>
      <w:vertAlign w:val="superscript"/>
    </w:rPr>
  </w:style>
  <w:style w:type="paragraph" w:styleId="FootnoteText">
    <w:name w:val="footnote text"/>
    <w:link w:val="FootnoteTextChar"/>
    <w:uiPriority w:val="99"/>
    <w:semiHidden/>
    <w:unhideWhenUsed/>
    <w:rsid w:val="00315047"/>
  </w:style>
  <w:style w:type="character" w:customStyle="1" w:styleId="FootnoteTextChar">
    <w:name w:val="Footnote Text Char"/>
    <w:link w:val="FootnoteText"/>
    <w:uiPriority w:val="99"/>
    <w:semiHidden/>
    <w:unhideWhenUsed/>
    <w:rsid w:val="00315047"/>
    <w:rPr>
      <w:sz w:val="20"/>
      <w:szCs w:val="20"/>
    </w:rPr>
  </w:style>
  <w:style w:type="character" w:styleId="EndnoteReference">
    <w:name w:val="endnote reference"/>
    <w:uiPriority w:val="99"/>
    <w:semiHidden/>
    <w:unhideWhenUsed/>
    <w:rsid w:val="00315047"/>
    <w:rPr>
      <w:vertAlign w:val="superscript"/>
    </w:rPr>
  </w:style>
  <w:style w:type="paragraph" w:styleId="EndnoteText">
    <w:name w:val="endnote text"/>
    <w:link w:val="EndnoteTextChar"/>
    <w:uiPriority w:val="99"/>
    <w:semiHidden/>
    <w:unhideWhenUsed/>
    <w:rsid w:val="00315047"/>
  </w:style>
  <w:style w:type="character" w:customStyle="1" w:styleId="EndnoteTextChar">
    <w:name w:val="Endnote Text Char"/>
    <w:link w:val="EndnoteText"/>
    <w:uiPriority w:val="99"/>
    <w:semiHidden/>
    <w:unhideWhenUsed/>
    <w:rsid w:val="00315047"/>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1938</Words>
  <Characters>11048</Characters>
  <Application>Microsoft Office Word</Application>
  <DocSecurity>0</DocSecurity>
  <Lines>92</Lines>
  <Paragraphs>25</Paragraphs>
  <ScaleCrop>false</ScaleCrop>
  <Company>Grizli777</Company>
  <LinksUpToDate>false</LinksUpToDate>
  <CharactersWithSpaces>12961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3</cp:revision>
  <dcterms:created xsi:type="dcterms:W3CDTF">2026-06-17T11:19:00Z</dcterms:created>
  <dcterms:modified xsi:type="dcterms:W3CDTF">2026-06-17T11:19:00Z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