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D1F" w:rsidRDefault="00B00425">
      <w:pPr>
        <w:spacing w:before="200" w:after="60"/>
      </w:pPr>
      <w:r>
        <w:rPr>
          <w:b/>
          <w:bCs/>
          <w:color w:val="1B3A6B"/>
          <w:sz w:val="40"/>
          <w:szCs w:val="40"/>
        </w:rPr>
        <w:t>HEALTHBRIDGE OCCUPATIONAL HEALTH LTD</w:t>
      </w:r>
    </w:p>
    <w:p w:rsidR="00C07D1F" w:rsidRDefault="00B00425">
      <w:pPr>
        <w:spacing w:after="80"/>
      </w:pPr>
      <w:r>
        <w:rPr>
          <w:b/>
          <w:bCs/>
          <w:color w:val="1B3A6B"/>
          <w:sz w:val="28"/>
          <w:szCs w:val="28"/>
        </w:rPr>
        <w:t>Confidentiality Policy</w:t>
      </w:r>
    </w:p>
    <w:p w:rsidR="00C07D1F" w:rsidRDefault="00B00425">
      <w:pPr>
        <w:pBdr>
          <w:bottom w:val="thick" w:sz="12" w:space="3" w:color="1B3A6B"/>
        </w:pBdr>
        <w:spacing w:after="240"/>
      </w:pPr>
      <w:r>
        <w:rPr>
          <w:i/>
          <w:iCs/>
          <w:color w:val="6B7280"/>
          <w:sz w:val="19"/>
          <w:szCs w:val="19"/>
        </w:rPr>
        <w:t>GP-Led Occupational Health Services   |   Version 2.0   |   Effective 13 June 2026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>1.  Policy Statement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B00425">
      <w:pPr>
        <w:spacing w:before="60" w:after="100"/>
      </w:pPr>
      <w:r>
        <w:rPr>
          <w:color w:val="1A1A2E"/>
        </w:rPr>
        <w:t xml:space="preserve">HealthBridge Occupational Health Ltd is committed to maintaining the highest standards of confidentiality in the handling of all personal data, medical information, and commercially sensitive material. Confidentiality is not merely a compliance obligation </w:t>
      </w:r>
      <w:r>
        <w:rPr>
          <w:color w:val="1A1A2E"/>
        </w:rPr>
        <w:t>— it is fundamental to the trust placed in us by employees, employers, and the clinical profession.</w:t>
      </w:r>
    </w:p>
    <w:p w:rsidR="00C07D1F" w:rsidRDefault="00C07D1F">
      <w:pPr>
        <w:spacing w:before="60"/>
      </w:pPr>
    </w:p>
    <w:p w:rsidR="00C07D1F" w:rsidRDefault="00B00425">
      <w:pPr>
        <w:spacing w:before="60" w:after="100"/>
      </w:pPr>
      <w:r>
        <w:rPr>
          <w:color w:val="1A1A2E"/>
        </w:rPr>
        <w:t>This policy is framed by: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UK GDPR and the Data Protection Act 2018 — including the specific provisions for special category data (health information) under</w:t>
      </w:r>
      <w:r>
        <w:t xml:space="preserve"> UK GDPR Article 9 and Schedule 1 of the DPA 2018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GMC Confidentiality: Good Practice in Handling Patient Information (2017)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Access to Medical Reports Act 1988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Equality Act 2010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ISO 27001 principles — our data security practices are aligned with ISO 27001 i</w:t>
      </w:r>
      <w:r>
        <w:t>nformation security controls, though HealthBridge does not currently hold formal ISO 27001 certification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>2.  Scope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B00425">
      <w:pPr>
        <w:spacing w:before="60" w:after="100"/>
      </w:pPr>
      <w:r>
        <w:rPr>
          <w:color w:val="1A1A2E"/>
        </w:rPr>
        <w:t>This policy applies to: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All data processed by the Clinical Lead in the course of providing HealthBridge services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All contracted third parti</w:t>
      </w:r>
      <w:r>
        <w:t>es and administrative support operating on behalf of HealthBridge, who are required to operate within this policy as a condition of their engagement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All data formats: electronic records, written correspondence, verbal communications, and video consultation</w:t>
      </w:r>
      <w:r>
        <w:t xml:space="preserve"> content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All stages of the data lifecycle: collection, storage, use, sharing, and destruction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>3.  The Occupational Health Confidentiality Framework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B00425">
      <w:pPr>
        <w:spacing w:before="60" w:after="100"/>
      </w:pPr>
      <w:r>
        <w:rPr>
          <w:color w:val="1A1A2E"/>
        </w:rPr>
        <w:t>Occupational health sits at the intersection of three distinct interests: the employee'</w:t>
      </w:r>
      <w:r>
        <w:rPr>
          <w:color w:val="1A1A2E"/>
        </w:rPr>
        <w:t>s medical privacy, the employer's legitimate business and duty-of-care needs, and the clinician's professional obligations. This creates a different confidentiality dynamic from standard clinical practice, which this section addresses explicitly.</w:t>
      </w:r>
    </w:p>
    <w:p w:rsidR="00C07D1F" w:rsidRDefault="00C07D1F">
      <w:pPr>
        <w:spacing w:before="60"/>
      </w:pPr>
    </w:p>
    <w:tbl>
      <w:tblPr>
        <w:tblW w:w="9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9026"/>
      </w:tblGrid>
      <w:tr w:rsidR="00C07D1F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1B3A6B"/>
              <w:left w:val="single" w:sz="18" w:space="0" w:color="1B3A6B"/>
              <w:bottom w:val="single" w:sz="4" w:space="0" w:color="1B3A6B"/>
              <w:right w:val="single" w:sz="4" w:space="0" w:color="1B3A6B"/>
            </w:tcBorders>
            <w:shd w:val="clear" w:color="auto" w:fill="E8EEF5"/>
            <w:tcMar>
              <w:top w:w="180" w:type="dxa"/>
              <w:left w:w="260" w:type="dxa"/>
              <w:bottom w:w="180" w:type="dxa"/>
              <w:right w:w="260" w:type="dxa"/>
            </w:tcMar>
          </w:tcPr>
          <w:p w:rsidR="00C07D1F" w:rsidRDefault="00B00425">
            <w:r>
              <w:rPr>
                <w:i/>
                <w:iCs/>
                <w:color w:val="1B3A6B"/>
                <w:sz w:val="19"/>
                <w:szCs w:val="19"/>
              </w:rPr>
              <w:t>Key prin</w:t>
            </w:r>
            <w:r>
              <w:rPr>
                <w:i/>
                <w:iCs/>
                <w:color w:val="1B3A6B"/>
                <w:sz w:val="19"/>
                <w:szCs w:val="19"/>
              </w:rPr>
              <w:t xml:space="preserve">ciple: The employee is the patient. The employer is the client. </w:t>
            </w:r>
            <w:proofErr w:type="spellStart"/>
            <w:r>
              <w:rPr>
                <w:i/>
                <w:iCs/>
                <w:color w:val="1B3A6B"/>
                <w:sz w:val="19"/>
                <w:szCs w:val="19"/>
              </w:rPr>
              <w:t>HealthBridge's</w:t>
            </w:r>
            <w:proofErr w:type="spellEnd"/>
            <w:r>
              <w:rPr>
                <w:i/>
                <w:iCs/>
                <w:color w:val="1B3A6B"/>
                <w:sz w:val="19"/>
                <w:szCs w:val="19"/>
              </w:rPr>
              <w:t xml:space="preserve"> duty of confidentiality is owed to the employee. The employer receives only what the employee consents to disclose, limited to what is proportionate and relevant to the legitima</w:t>
            </w:r>
            <w:r>
              <w:rPr>
                <w:i/>
                <w:iCs/>
                <w:color w:val="1B3A6B"/>
                <w:sz w:val="19"/>
                <w:szCs w:val="19"/>
              </w:rPr>
              <w:t>te occupational health purpose.</w:t>
            </w:r>
          </w:p>
        </w:tc>
      </w:tr>
    </w:tbl>
    <w:p w:rsidR="00C07D1F" w:rsidRDefault="00C07D1F">
      <w:pPr>
        <w:spacing w:before="100"/>
      </w:pPr>
    </w:p>
    <w:p w:rsidR="00C07D1F" w:rsidRDefault="00B00425">
      <w:pPr>
        <w:spacing w:before="280" w:after="100"/>
      </w:pPr>
      <w:proofErr w:type="gramStart"/>
      <w:r>
        <w:rPr>
          <w:b/>
          <w:bCs/>
          <w:color w:val="1B3A6B"/>
          <w:sz w:val="22"/>
          <w:szCs w:val="22"/>
        </w:rPr>
        <w:t>3.1  What</w:t>
      </w:r>
      <w:proofErr w:type="gramEnd"/>
      <w:r>
        <w:rPr>
          <w:b/>
          <w:bCs/>
          <w:color w:val="1B3A6B"/>
          <w:sz w:val="22"/>
          <w:szCs w:val="22"/>
        </w:rPr>
        <w:t xml:space="preserve"> Employers Are and Are Not Entitled to Receive</w:t>
      </w:r>
    </w:p>
    <w:p w:rsidR="00C07D1F" w:rsidRDefault="00C07D1F">
      <w:pPr>
        <w:spacing w:before="60"/>
      </w:pPr>
    </w:p>
    <w:tbl>
      <w:tblPr>
        <w:tblW w:w="902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513"/>
        <w:gridCol w:w="4513"/>
      </w:tblGrid>
      <w:tr w:rsidR="00C07D1F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Employers ARE entitled to receive:</w:t>
            </w:r>
          </w:p>
        </w:tc>
        <w:tc>
          <w:tcPr>
            <w:tcW w:w="4513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Employers are NOT entitled to receive: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sz w:val="19"/>
                <w:szCs w:val="19"/>
              </w:rPr>
              <w:t>Functional capacity — what the employee can and cannot do</w:t>
            </w:r>
          </w:p>
          <w:p w:rsidR="00C07D1F" w:rsidRDefault="00B00425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sz w:val="19"/>
                <w:szCs w:val="19"/>
              </w:rPr>
              <w:t>Whether the employee is fit, unfit, or fit with modifications</w:t>
            </w:r>
          </w:p>
          <w:p w:rsidR="00C07D1F" w:rsidRDefault="00B00425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sz w:val="19"/>
                <w:szCs w:val="19"/>
              </w:rPr>
              <w:t>Recommended reasonable adjustments</w:t>
            </w:r>
          </w:p>
          <w:p w:rsidR="00C07D1F" w:rsidRDefault="00B00425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sz w:val="19"/>
                <w:szCs w:val="19"/>
              </w:rPr>
              <w:t>Likely timescales for recovery or return to work</w:t>
            </w:r>
          </w:p>
          <w:p w:rsidR="00C07D1F" w:rsidRDefault="00B00425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sz w:val="19"/>
                <w:szCs w:val="19"/>
              </w:rPr>
              <w:t>Whether a disability within the meaning of the Equality Act 2010 may be present (without diagnosis)</w:t>
            </w:r>
          </w:p>
        </w:tc>
        <w:tc>
          <w:tcPr>
            <w:tcW w:w="4513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sz w:val="19"/>
                <w:szCs w:val="19"/>
              </w:rPr>
              <w:t>Clinical d</w:t>
            </w:r>
            <w:r>
              <w:rPr>
                <w:sz w:val="19"/>
                <w:szCs w:val="19"/>
              </w:rPr>
              <w:t>iagnoses — unless the employee explicitly consents</w:t>
            </w:r>
          </w:p>
          <w:p w:rsidR="00C07D1F" w:rsidRDefault="00B00425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sz w:val="19"/>
                <w:szCs w:val="19"/>
              </w:rPr>
              <w:t>Medication names or dosages</w:t>
            </w:r>
          </w:p>
          <w:p w:rsidR="00C07D1F" w:rsidRDefault="00B00425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sz w:val="19"/>
                <w:szCs w:val="19"/>
              </w:rPr>
              <w:t>Details of previous medical history beyond what is directly relevant</w:t>
            </w:r>
          </w:p>
          <w:p w:rsidR="00C07D1F" w:rsidRDefault="00B00425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sz w:val="19"/>
                <w:szCs w:val="19"/>
              </w:rPr>
              <w:t>Information disclosed by the employee in confidence and not relevant to the occupational purpose</w:t>
            </w:r>
          </w:p>
          <w:p w:rsidR="00C07D1F" w:rsidRDefault="00B00425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sz w:val="19"/>
                <w:szCs w:val="19"/>
              </w:rPr>
              <w:t>Any informa</w:t>
            </w:r>
            <w:r>
              <w:rPr>
                <w:sz w:val="19"/>
                <w:szCs w:val="19"/>
              </w:rPr>
              <w:t>tion the employee has specifically requested to withhold</w:t>
            </w:r>
          </w:p>
        </w:tc>
      </w:tr>
    </w:tbl>
    <w:p w:rsidR="00C07D1F" w:rsidRDefault="00C07D1F">
      <w:pPr>
        <w:spacing w:before="100"/>
      </w:pPr>
    </w:p>
    <w:p w:rsidR="00C07D1F" w:rsidRDefault="00B00425">
      <w:pPr>
        <w:spacing w:before="280" w:after="100"/>
      </w:pPr>
      <w:proofErr w:type="gramStart"/>
      <w:r>
        <w:rPr>
          <w:b/>
          <w:bCs/>
          <w:color w:val="1B3A6B"/>
          <w:sz w:val="22"/>
          <w:szCs w:val="22"/>
        </w:rPr>
        <w:t>3.2  Managing</w:t>
      </w:r>
      <w:proofErr w:type="gramEnd"/>
      <w:r>
        <w:rPr>
          <w:b/>
          <w:bCs/>
          <w:color w:val="1B3A6B"/>
          <w:sz w:val="22"/>
          <w:szCs w:val="22"/>
        </w:rPr>
        <w:t xml:space="preserve"> Conflicts Between Employee and Employer Interests</w:t>
      </w:r>
    </w:p>
    <w:p w:rsidR="00C07D1F" w:rsidRDefault="00B00425">
      <w:pPr>
        <w:spacing w:before="60" w:after="100"/>
      </w:pPr>
      <w:r>
        <w:rPr>
          <w:color w:val="1A1A2E"/>
        </w:rPr>
        <w:t>Where a conflict arises between what an employer wishes to know and what an employee has consented to disclose, the employee'</w:t>
      </w:r>
      <w:r>
        <w:rPr>
          <w:color w:val="1A1A2E"/>
        </w:rPr>
        <w:t>s right to confidentiality takes precedence. In such circumstances: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The report will contain only what the employee has consented to share.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The employer will be informed that a report has been prepared but that the employee has not consented to its full rel</w:t>
      </w:r>
      <w:r>
        <w:t>ease — without disclosing the withheld content.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The employee will be informed that withholding consent may affect the employer's ability to make reasonable adjustments or return-to-work decisions.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The Clinical Lead will not act as an advocate for either pa</w:t>
      </w:r>
      <w:r>
        <w:t>rty but will provide an honest, balanced, and evidence-based clinical opinion within the agreed scope of disclosure.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>4.  Categories of Confidential Information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C07D1F">
      <w:pPr>
        <w:spacing w:before="60"/>
      </w:pPr>
    </w:p>
    <w:tbl>
      <w:tblPr>
        <w:tblW w:w="902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000"/>
        <w:gridCol w:w="6026"/>
      </w:tblGrid>
      <w:tr w:rsidR="00C07D1F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Category</w:t>
            </w:r>
          </w:p>
        </w:tc>
        <w:tc>
          <w:tcPr>
            <w:tcW w:w="60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Examples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Special Category Clinical Data (UK GDPR Article 9)</w:t>
            </w:r>
          </w:p>
        </w:tc>
        <w:tc>
          <w:tcPr>
            <w:tcW w:w="60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 xml:space="preserve">OH assessment records, clinical history disclosed during assessment, diagnoses, medication, mental health information, disability details, </w:t>
            </w:r>
            <w:proofErr w:type="gramStart"/>
            <w:r>
              <w:rPr>
                <w:sz w:val="19"/>
                <w:szCs w:val="19"/>
              </w:rPr>
              <w:t>GP</w:t>
            </w:r>
            <w:proofErr w:type="gramEnd"/>
            <w:r>
              <w:rPr>
                <w:sz w:val="19"/>
                <w:szCs w:val="19"/>
              </w:rPr>
              <w:t xml:space="preserve"> and specialist letters.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Assessment Outputs</w:t>
            </w:r>
          </w:p>
        </w:tc>
        <w:tc>
          <w:tcPr>
            <w:tcW w:w="60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OH reports, functional fitness-for-work opinions, reasonable adjustment recommendations, employer advisory letters.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Employee Identifiers</w:t>
            </w:r>
          </w:p>
        </w:tc>
        <w:tc>
          <w:tcPr>
            <w:tcW w:w="60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Name, date of birth, contact details, job title, employee number, NHS number.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Employer and Referral Data</w:t>
            </w:r>
          </w:p>
        </w:tc>
        <w:tc>
          <w:tcPr>
            <w:tcW w:w="60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Referral cor</w:t>
            </w:r>
            <w:r>
              <w:rPr>
                <w:sz w:val="19"/>
                <w:szCs w:val="19"/>
              </w:rPr>
              <w:t>respondence, HR notes</w:t>
            </w:r>
            <w:proofErr w:type="gramStart"/>
            <w:r>
              <w:rPr>
                <w:sz w:val="19"/>
                <w:szCs w:val="19"/>
              </w:rPr>
              <w:t>,</w:t>
            </w:r>
            <w:proofErr w:type="gramEnd"/>
            <w:r>
              <w:rPr>
                <w:sz w:val="19"/>
                <w:szCs w:val="19"/>
              </w:rPr>
              <w:t xml:space="preserve"> organisational information provided to contextualise an assessment.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Commercial Data</w:t>
            </w:r>
          </w:p>
        </w:tc>
        <w:tc>
          <w:tcPr>
            <w:tcW w:w="60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Contracts, pricing agreements, business strategies, third-party supplier information.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System and Access Data</w:t>
            </w:r>
          </w:p>
        </w:tc>
        <w:tc>
          <w:tcPr>
            <w:tcW w:w="60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Login credentials, access logs, softwa</w:t>
            </w:r>
            <w:r>
              <w:rPr>
                <w:sz w:val="19"/>
                <w:szCs w:val="19"/>
              </w:rPr>
              <w:t>re licence details.</w:t>
            </w:r>
          </w:p>
        </w:tc>
      </w:tr>
    </w:tbl>
    <w:p w:rsidR="00C07D1F" w:rsidRDefault="00C07D1F">
      <w:pPr>
        <w:spacing w:before="12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lastRenderedPageBreak/>
        <w:t>5.  Lawful Basis for Processing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B00425">
      <w:pPr>
        <w:spacing w:before="60" w:after="100"/>
      </w:pPr>
      <w:r>
        <w:rPr>
          <w:color w:val="1A1A2E"/>
        </w:rPr>
        <w:t>HealthBridge processes personal and special category data on the following lawful bases under UK GDPR and the Data Protection Act 2018:</w:t>
      </w:r>
    </w:p>
    <w:p w:rsidR="00C07D1F" w:rsidRDefault="00C07D1F">
      <w:pPr>
        <w:spacing w:before="60"/>
      </w:pPr>
    </w:p>
    <w:tbl>
      <w:tblPr>
        <w:tblW w:w="902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600"/>
        <w:gridCol w:w="3226"/>
        <w:gridCol w:w="3200"/>
      </w:tblGrid>
      <w:tr w:rsidR="00C07D1F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Data Type</w:t>
            </w:r>
          </w:p>
        </w:tc>
        <w:tc>
          <w:tcPr>
            <w:tcW w:w="32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UK GDPR Basis (Article)</w:t>
            </w:r>
          </w:p>
        </w:tc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DPA 2018 / Additional Basis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General personal data (name, contact, employment)</w:t>
            </w:r>
          </w:p>
        </w:tc>
        <w:tc>
          <w:tcPr>
            <w:tcW w:w="32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Article 6(1)(b) — necessary for the performance of a contract; Article 6(1)(f) — legitimate interests (OH service delivery)</w:t>
            </w:r>
          </w:p>
        </w:tc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Standard personal data; no schedule condition required.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Special category health data (medical information)</w:t>
            </w:r>
          </w:p>
        </w:tc>
        <w:tc>
          <w:tcPr>
            <w:tcW w:w="32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Article 9(2)(h) — medical purposes by a health professional subject to professional secrecy</w:t>
            </w:r>
          </w:p>
        </w:tc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DPA 2018 Schedule 1, Part 1, Para 2(2</w:t>
            </w:r>
            <w:proofErr w:type="gramStart"/>
            <w:r>
              <w:rPr>
                <w:sz w:val="19"/>
                <w:szCs w:val="19"/>
              </w:rPr>
              <w:t>)(</w:t>
            </w:r>
            <w:proofErr w:type="gramEnd"/>
            <w:r>
              <w:rPr>
                <w:sz w:val="19"/>
                <w:szCs w:val="19"/>
              </w:rPr>
              <w:t>b) — occupational medicine purposes.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Disclosure without consent (safeguar</w:t>
            </w:r>
            <w:r>
              <w:rPr>
                <w:sz w:val="19"/>
                <w:szCs w:val="19"/>
              </w:rPr>
              <w:t>ding / legal)</w:t>
            </w:r>
          </w:p>
        </w:tc>
        <w:tc>
          <w:tcPr>
            <w:tcW w:w="32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Article 9(2)(b) — substantial public interest; Article 9(2)(c) — vital interests</w:t>
            </w:r>
          </w:p>
        </w:tc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DPA 2018 Schedule 1, Part 2 (substantial public interest conditions). Documented case-by-case.</w:t>
            </w:r>
          </w:p>
        </w:tc>
      </w:tr>
    </w:tbl>
    <w:p w:rsidR="00C07D1F" w:rsidRDefault="00C07D1F">
      <w:pPr>
        <w:spacing w:before="80"/>
      </w:pPr>
    </w:p>
    <w:p w:rsidR="00C07D1F" w:rsidRDefault="00B00425">
      <w:pPr>
        <w:spacing w:before="60" w:after="100"/>
      </w:pPr>
      <w:r>
        <w:rPr>
          <w:color w:val="1A1A2E"/>
        </w:rPr>
        <w:t xml:space="preserve">The lawful basis relied upon for each category of processing is </w:t>
      </w:r>
      <w:r>
        <w:rPr>
          <w:color w:val="1A1A2E"/>
        </w:rPr>
        <w:t xml:space="preserve">documented in </w:t>
      </w:r>
      <w:proofErr w:type="spellStart"/>
      <w:r>
        <w:rPr>
          <w:color w:val="1A1A2E"/>
        </w:rPr>
        <w:t>HealthBridge's</w:t>
      </w:r>
      <w:proofErr w:type="spellEnd"/>
      <w:r>
        <w:rPr>
          <w:color w:val="1A1A2E"/>
        </w:rPr>
        <w:t xml:space="preserve"> Record of Processing Activities (ROPA), maintained separately in compliance with UK GDPR Article 30.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>6.  Core Data Handling Principles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B00425">
      <w:pPr>
        <w:spacing w:before="280" w:after="100"/>
      </w:pPr>
      <w:proofErr w:type="gramStart"/>
      <w:r>
        <w:rPr>
          <w:b/>
          <w:bCs/>
          <w:color w:val="1B3A6B"/>
          <w:sz w:val="22"/>
          <w:szCs w:val="22"/>
        </w:rPr>
        <w:t>6.1  Data</w:t>
      </w:r>
      <w:proofErr w:type="gramEnd"/>
      <w:r>
        <w:rPr>
          <w:b/>
          <w:bCs/>
          <w:color w:val="1B3A6B"/>
          <w:sz w:val="22"/>
          <w:szCs w:val="22"/>
        </w:rPr>
        <w:t xml:space="preserve"> Minimisation and Proportionality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Only data that is necessary for the specific occupational health purpose of each referral is collected, processed, and disclosed.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Reports contain only information proportionate to the employer's legitimate need — clinical detail is not volunteered beyond w</w:t>
      </w:r>
      <w:r>
        <w:t>hat is required for the functional assessment.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Where third-party medical records are obtained (e.g., GP letters), only information relevant to the occupational health question is relied upon.</w:t>
      </w:r>
    </w:p>
    <w:p w:rsidR="00C07D1F" w:rsidRDefault="00C07D1F">
      <w:pPr>
        <w:spacing w:before="80"/>
      </w:pPr>
    </w:p>
    <w:p w:rsidR="00C07D1F" w:rsidRDefault="00B00425">
      <w:pPr>
        <w:spacing w:before="280" w:after="100"/>
      </w:pPr>
      <w:proofErr w:type="gramStart"/>
      <w:r>
        <w:rPr>
          <w:b/>
          <w:bCs/>
          <w:color w:val="1B3A6B"/>
          <w:sz w:val="22"/>
          <w:szCs w:val="22"/>
        </w:rPr>
        <w:t>6.2  Consent</w:t>
      </w:r>
      <w:proofErr w:type="gramEnd"/>
      <w:r>
        <w:rPr>
          <w:b/>
          <w:bCs/>
          <w:color w:val="1B3A6B"/>
          <w:sz w:val="22"/>
          <w:szCs w:val="22"/>
        </w:rPr>
        <w:t xml:space="preserve"> and Transparency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Employees are informed at the out</w:t>
      </w:r>
      <w:r>
        <w:t>set of each assessment of: the purpose of the referral; who will receive the report; what information may be shared; and their right to withhold or withdraw consent.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 xml:space="preserve">Explicit documented consent is obtained before any OH report is shared with the referring </w:t>
      </w:r>
      <w:r>
        <w:t>employer.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 Privacy Notice is provided to employees prior to assessment, available on the HealthBridge website and within the intake documentation.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Consent to share a report is separate from consent to assessment — an employee may consent to assessment but</w:t>
      </w:r>
      <w:r>
        <w:t xml:space="preserve"> decline to have the report shared.</w:t>
      </w:r>
    </w:p>
    <w:p w:rsidR="00C07D1F" w:rsidRDefault="00C07D1F">
      <w:pPr>
        <w:spacing w:before="80"/>
      </w:pPr>
    </w:p>
    <w:p w:rsidR="00C07D1F" w:rsidRDefault="00B00425">
      <w:pPr>
        <w:spacing w:before="280" w:after="100"/>
      </w:pPr>
      <w:proofErr w:type="gramStart"/>
      <w:r>
        <w:rPr>
          <w:b/>
          <w:bCs/>
          <w:color w:val="1B3A6B"/>
          <w:sz w:val="22"/>
          <w:szCs w:val="22"/>
        </w:rPr>
        <w:t>6.3  Access</w:t>
      </w:r>
      <w:proofErr w:type="gramEnd"/>
      <w:r>
        <w:rPr>
          <w:b/>
          <w:bCs/>
          <w:color w:val="1B3A6B"/>
          <w:sz w:val="22"/>
          <w:szCs w:val="22"/>
        </w:rPr>
        <w:t xml:space="preserve"> Controls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Clinical records are accessible only to the Clinical Lead. Any contracted administrative support is given access only to the minimum data required for their specific task.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All contracted third parti</w:t>
      </w:r>
      <w:r>
        <w:t>es with access to personal data must sign a confidentiality agreement prior to engagement.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Access to clinical records by any third party requires documented justification.</w:t>
      </w:r>
    </w:p>
    <w:p w:rsidR="00C07D1F" w:rsidRDefault="00C07D1F">
      <w:pPr>
        <w:spacing w:before="80"/>
      </w:pPr>
    </w:p>
    <w:p w:rsidR="00C07D1F" w:rsidRDefault="00B00425">
      <w:pPr>
        <w:spacing w:before="280" w:after="100"/>
      </w:pPr>
      <w:proofErr w:type="gramStart"/>
      <w:r>
        <w:rPr>
          <w:b/>
          <w:bCs/>
          <w:color w:val="1B3A6B"/>
          <w:sz w:val="22"/>
          <w:szCs w:val="22"/>
        </w:rPr>
        <w:t>6.4  Encryption</w:t>
      </w:r>
      <w:proofErr w:type="gramEnd"/>
      <w:r>
        <w:rPr>
          <w:b/>
          <w:bCs/>
          <w:color w:val="1B3A6B"/>
          <w:sz w:val="22"/>
          <w:szCs w:val="22"/>
        </w:rPr>
        <w:t xml:space="preserve"> and Security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All digital records are stored using AES-256 encryptio</w:t>
      </w:r>
      <w:r>
        <w:t>n or equivalent.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Email communications containing personal or special category data are sent via encrypted or secure email only. Standard unencrypted email is not used for clinical content.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Multi-factor authentication (MFA) is enabled on all systems holding</w:t>
      </w:r>
      <w:r>
        <w:t xml:space="preserve"> personal data.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Auto-logoff is configured at 15 minutes on all devices used for clinical work.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Video consultations are conducted using platforms that are end-to-end encrypted and compliant with UK data protection law. Sessions are not recorded without expl</w:t>
      </w:r>
      <w:r>
        <w:t>icit written consent.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Verbal consultations are conducted in a private environment where the employee cannot be overheard. Employee names or identifiers are not referenced in non-secure settings.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 xml:space="preserve">7.  Permitted Disclosures </w:t>
      </w:r>
      <w:proofErr w:type="gramStart"/>
      <w:r>
        <w:rPr>
          <w:b/>
          <w:bCs/>
          <w:color w:val="1B3A6B"/>
          <w:sz w:val="28"/>
          <w:szCs w:val="28"/>
        </w:rPr>
        <w:t>Without</w:t>
      </w:r>
      <w:proofErr w:type="gramEnd"/>
      <w:r>
        <w:rPr>
          <w:b/>
          <w:bCs/>
          <w:color w:val="1B3A6B"/>
          <w:sz w:val="28"/>
          <w:szCs w:val="28"/>
        </w:rPr>
        <w:t xml:space="preserve"> Consent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B00425">
      <w:pPr>
        <w:spacing w:before="60" w:after="100"/>
      </w:pPr>
      <w:r>
        <w:rPr>
          <w:color w:val="1A1A2E"/>
        </w:rPr>
        <w:t>Confidentiality may be overridden only in the following specific circumstances. Each non-consensual disclosure must be documented at the time, including the specific grounds relied upon:</w:t>
      </w:r>
    </w:p>
    <w:p w:rsidR="00C07D1F" w:rsidRDefault="00C07D1F">
      <w:pPr>
        <w:spacing w:before="60"/>
      </w:pPr>
    </w:p>
    <w:tbl>
      <w:tblPr>
        <w:tblW w:w="902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800"/>
        <w:gridCol w:w="4426"/>
        <w:gridCol w:w="1800"/>
      </w:tblGrid>
      <w:tr w:rsidR="00C07D1F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Ground</w:t>
            </w:r>
          </w:p>
        </w:tc>
        <w:tc>
          <w:tcPr>
            <w:tcW w:w="44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Description</w:t>
            </w:r>
          </w:p>
        </w:tc>
        <w:tc>
          <w:tcPr>
            <w:tcW w:w="1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Reference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Safeguarding</w:t>
            </w:r>
          </w:p>
        </w:tc>
        <w:tc>
          <w:tcPr>
            <w:tcW w:w="44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Where there is a credible risk of serious harm to the employee or to a third party, and the employee has declined to consent to disclosure. The risk of harm must be serious, real, and not adequately managed by other means.</w:t>
            </w:r>
          </w:p>
        </w:tc>
        <w:tc>
          <w:tcPr>
            <w:tcW w:w="1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GMC Confidentiality Guidance, Para 26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Legal Order</w:t>
            </w:r>
          </w:p>
        </w:tc>
        <w:tc>
          <w:tcPr>
            <w:tcW w:w="44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 xml:space="preserve">Court order, statutory legal obligation (e.g., RIDDOR reporting, </w:t>
            </w:r>
            <w:proofErr w:type="spellStart"/>
            <w:r>
              <w:rPr>
                <w:sz w:val="19"/>
                <w:szCs w:val="19"/>
              </w:rPr>
              <w:t>notifiable</w:t>
            </w:r>
            <w:proofErr w:type="spellEnd"/>
            <w:r>
              <w:rPr>
                <w:sz w:val="19"/>
                <w:szCs w:val="19"/>
              </w:rPr>
              <w:t xml:space="preserve"> disease notification under the Health Protection Regulations 2010), or lawful requirement by a regulatory authority.</w:t>
            </w:r>
          </w:p>
        </w:tc>
        <w:tc>
          <w:tcPr>
            <w:tcW w:w="1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UK GDPR Arti</w:t>
            </w:r>
            <w:r>
              <w:rPr>
                <w:sz w:val="19"/>
                <w:szCs w:val="19"/>
              </w:rPr>
              <w:t>cle 9(2)(b); DPA 2018 Sch. 1 Pt. 2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Overriding Public Interest</w:t>
            </w:r>
          </w:p>
        </w:tc>
        <w:tc>
          <w:tcPr>
            <w:tcW w:w="44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In rare circumstances where the public interest in disclosure substantially outweighs the individual's right to confidentiality (e.g., serious communicable disease with public health implicatio</w:t>
            </w:r>
            <w:r>
              <w:rPr>
                <w:sz w:val="19"/>
                <w:szCs w:val="19"/>
              </w:rPr>
              <w:t>ns). This is assessed on a case-by-case basis and MPS is consulted prior to disclosure where possible.</w:t>
            </w:r>
          </w:p>
        </w:tc>
        <w:tc>
          <w:tcPr>
            <w:tcW w:w="1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GMC Confidentiality Guidance, Para 36–39; UK GDPR Article 9(2)(</w:t>
            </w:r>
            <w:proofErr w:type="spellStart"/>
            <w:r>
              <w:rPr>
                <w:sz w:val="19"/>
                <w:szCs w:val="19"/>
              </w:rPr>
              <w:t>i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</w:tr>
    </w:tbl>
    <w:p w:rsidR="00C07D1F" w:rsidRDefault="00C07D1F">
      <w:pPr>
        <w:spacing w:before="80"/>
      </w:pPr>
    </w:p>
    <w:p w:rsidR="00C07D1F" w:rsidRDefault="00B00425">
      <w:pPr>
        <w:spacing w:before="60" w:after="100"/>
      </w:pPr>
      <w:r>
        <w:rPr>
          <w:color w:val="1A1A2E"/>
        </w:rPr>
        <w:t>In all cases of non-consensual disclosure: the minimum necessary information is disclosed; the disclosure is documented with specific grounds and date; and, where possible, the employee is informed that a disclosure has been made.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>8.  Third-Party Processo</w:t>
      </w:r>
      <w:r>
        <w:rPr>
          <w:b/>
          <w:bCs/>
          <w:color w:val="1B3A6B"/>
          <w:sz w:val="28"/>
          <w:szCs w:val="28"/>
        </w:rPr>
        <w:t>rs and Contractors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B00425">
      <w:pPr>
        <w:spacing w:before="60" w:after="100"/>
      </w:pPr>
      <w:r>
        <w:rPr>
          <w:color w:val="1A1A2E"/>
        </w:rPr>
        <w:t xml:space="preserve">Where HealthBridge engages contracted third parties who may access personal data in the course of their work (e.g., transcription support, software providers, </w:t>
      </w:r>
      <w:proofErr w:type="gramStart"/>
      <w:r>
        <w:rPr>
          <w:color w:val="1A1A2E"/>
        </w:rPr>
        <w:t>administrative</w:t>
      </w:r>
      <w:proofErr w:type="gramEnd"/>
      <w:r>
        <w:rPr>
          <w:color w:val="1A1A2E"/>
        </w:rPr>
        <w:t xml:space="preserve"> assistants), the following requirements apply: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lastRenderedPageBreak/>
        <w:t xml:space="preserve">A written Data </w:t>
      </w:r>
      <w:r>
        <w:t>Processing Agreement (DPA) compliant with UK GDPR Article 28 must be in place before any personal data is shared.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Contracted processors must process data only on documented instructions from HealthBridge.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Processors must implement appropriate technical and</w:t>
      </w:r>
      <w:r>
        <w:t xml:space="preserve"> organisational security measures.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Processors must not engage sub-processors without prior written consent from HealthBridge.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All software platforms and cloud storage providers used by HealthBridge that handle personal data are assessed for UK data protect</w:t>
      </w:r>
      <w:r>
        <w:t>ion compliance prior to use. Data storage within the UK or EEA is preferred; transfer to third countries requires appropriate safeguards under UK GDPR Chapter V.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>9.  Breach Management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B00425">
      <w:pPr>
        <w:spacing w:before="280" w:after="100"/>
      </w:pPr>
      <w:proofErr w:type="gramStart"/>
      <w:r>
        <w:rPr>
          <w:b/>
          <w:bCs/>
          <w:color w:val="1B3A6B"/>
          <w:sz w:val="22"/>
          <w:szCs w:val="22"/>
        </w:rPr>
        <w:t>9.1  Identification</w:t>
      </w:r>
      <w:proofErr w:type="gramEnd"/>
      <w:r>
        <w:rPr>
          <w:b/>
          <w:bCs/>
          <w:color w:val="1B3A6B"/>
          <w:sz w:val="22"/>
          <w:szCs w:val="22"/>
        </w:rPr>
        <w:t xml:space="preserve"> and Reporting</w:t>
      </w:r>
    </w:p>
    <w:p w:rsidR="00C07D1F" w:rsidRDefault="00B00425">
      <w:pPr>
        <w:spacing w:before="60" w:after="100"/>
      </w:pPr>
      <w:r>
        <w:rPr>
          <w:color w:val="1A1A2E"/>
        </w:rPr>
        <w:t>A data breach is any incident that l</w:t>
      </w:r>
      <w:r>
        <w:rPr>
          <w:color w:val="1A1A2E"/>
        </w:rPr>
        <w:t>eads to the accidental or unlawful destruction, loss, alteration, unauthorised disclosure of, or access to, personal data. All suspected breaches — regardless of severity — must be identified and assessed without delay.</w:t>
      </w:r>
    </w:p>
    <w:p w:rsidR="00C07D1F" w:rsidRDefault="00C07D1F">
      <w:pPr>
        <w:spacing w:before="60"/>
      </w:pPr>
    </w:p>
    <w:tbl>
      <w:tblPr>
        <w:tblW w:w="902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600"/>
        <w:gridCol w:w="3226"/>
        <w:gridCol w:w="3200"/>
      </w:tblGrid>
      <w:tr w:rsidR="00C07D1F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Severity</w:t>
            </w:r>
          </w:p>
        </w:tc>
        <w:tc>
          <w:tcPr>
            <w:tcW w:w="32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Definition</w:t>
            </w:r>
          </w:p>
        </w:tc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Action and Time</w:t>
            </w:r>
            <w:r>
              <w:rPr>
                <w:b/>
                <w:bCs/>
                <w:color w:val="FFFFFF"/>
                <w:sz w:val="19"/>
                <w:szCs w:val="19"/>
              </w:rPr>
              <w:t>line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Low / Contained</w:t>
            </w:r>
          </w:p>
        </w:tc>
        <w:tc>
          <w:tcPr>
            <w:tcW w:w="32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Breach identified and contained with no likely risk to individuals (e.g., misdirected email promptly recalled; no onward access).</w:t>
            </w:r>
          </w:p>
        </w:tc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Log in breach register within 24 hours. Review and implement corrective measures. ICO notification not required.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Medium / Potential Risk</w:t>
            </w:r>
          </w:p>
        </w:tc>
        <w:tc>
          <w:tcPr>
            <w:tcW w:w="32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Breach likely to result in risk to rights and freedoms of individuals (e.g., report sent to wrong employer; special category data exposed).</w:t>
            </w:r>
          </w:p>
        </w:tc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Assess ICO notification requirement immediately. MPS notified. Affected individuals informed without undue delay. Do</w:t>
            </w:r>
            <w:r>
              <w:rPr>
                <w:sz w:val="19"/>
                <w:szCs w:val="19"/>
              </w:rPr>
              <w:t>cumented root-cause review.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High / Reportable</w:t>
            </w:r>
          </w:p>
        </w:tc>
        <w:tc>
          <w:tcPr>
            <w:tcW w:w="32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 xml:space="preserve">Breach likely to result in high risk to individuals (e.g., large-scale disclosure of health data; </w:t>
            </w:r>
            <w:proofErr w:type="spellStart"/>
            <w:r>
              <w:rPr>
                <w:sz w:val="19"/>
                <w:szCs w:val="19"/>
              </w:rPr>
              <w:t>ransomware</w:t>
            </w:r>
            <w:proofErr w:type="spellEnd"/>
            <w:r>
              <w:rPr>
                <w:sz w:val="19"/>
                <w:szCs w:val="19"/>
              </w:rPr>
              <w:t xml:space="preserve"> affecting clinical records).</w:t>
            </w:r>
          </w:p>
        </w:tc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ICO notified within 72 hours of awareness (UK GDPR Article 33). MPS con</w:t>
            </w:r>
            <w:r>
              <w:rPr>
                <w:sz w:val="19"/>
                <w:szCs w:val="19"/>
              </w:rPr>
              <w:t>tacted immediately. Affected individuals informed promptly (Article 34). Formal investigation and governance review.</w:t>
            </w:r>
          </w:p>
        </w:tc>
      </w:tr>
    </w:tbl>
    <w:p w:rsidR="00C07D1F" w:rsidRDefault="00C07D1F">
      <w:pPr>
        <w:spacing w:before="80"/>
      </w:pPr>
    </w:p>
    <w:tbl>
      <w:tblPr>
        <w:tblW w:w="9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9026"/>
      </w:tblGrid>
      <w:tr w:rsidR="00C07D1F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1B3A6B"/>
              <w:left w:val="single" w:sz="18" w:space="0" w:color="1B3A6B"/>
              <w:bottom w:val="single" w:sz="4" w:space="0" w:color="1B3A6B"/>
              <w:right w:val="single" w:sz="4" w:space="0" w:color="1B3A6B"/>
            </w:tcBorders>
            <w:shd w:val="clear" w:color="auto" w:fill="E8EEF5"/>
            <w:tcMar>
              <w:top w:w="180" w:type="dxa"/>
              <w:left w:w="260" w:type="dxa"/>
              <w:bottom w:w="180" w:type="dxa"/>
              <w:right w:w="260" w:type="dxa"/>
            </w:tcMar>
          </w:tcPr>
          <w:p w:rsidR="00C07D1F" w:rsidRDefault="00B00425">
            <w:r>
              <w:rPr>
                <w:i/>
                <w:iCs/>
                <w:color w:val="1B3A6B"/>
                <w:sz w:val="19"/>
                <w:szCs w:val="19"/>
              </w:rPr>
              <w:t>No admission of liability in relation to a data breach is made to any third party before the Medical Protection Society (MPS) has been co</w:t>
            </w:r>
            <w:r>
              <w:rPr>
                <w:i/>
                <w:iCs/>
                <w:color w:val="1B3A6B"/>
                <w:sz w:val="19"/>
                <w:szCs w:val="19"/>
              </w:rPr>
              <w:t>nsulted. The Clinical Lead acts as the designated Data Protection contact for all breach matters.</w:t>
            </w:r>
          </w:p>
        </w:tc>
      </w:tr>
    </w:tbl>
    <w:p w:rsidR="00C07D1F" w:rsidRDefault="00C07D1F">
      <w:pPr>
        <w:spacing w:before="100"/>
      </w:pPr>
    </w:p>
    <w:p w:rsidR="00C07D1F" w:rsidRDefault="00B00425">
      <w:pPr>
        <w:spacing w:before="280" w:after="100"/>
      </w:pPr>
      <w:proofErr w:type="gramStart"/>
      <w:r>
        <w:rPr>
          <w:b/>
          <w:bCs/>
          <w:color w:val="1B3A6B"/>
          <w:sz w:val="22"/>
          <w:szCs w:val="22"/>
        </w:rPr>
        <w:t>9.2  Breach</w:t>
      </w:r>
      <w:proofErr w:type="gramEnd"/>
      <w:r>
        <w:rPr>
          <w:b/>
          <w:bCs/>
          <w:color w:val="1B3A6B"/>
          <w:sz w:val="22"/>
          <w:szCs w:val="22"/>
        </w:rPr>
        <w:t xml:space="preserve"> Register</w:t>
      </w:r>
    </w:p>
    <w:p w:rsidR="00C07D1F" w:rsidRDefault="00B00425">
      <w:pPr>
        <w:spacing w:before="60" w:after="100"/>
      </w:pPr>
      <w:proofErr w:type="gramStart"/>
      <w:r>
        <w:rPr>
          <w:color w:val="1A1A2E"/>
        </w:rPr>
        <w:t>All breaches — regardless of whether ICO notification was required — are recorded in a Breach Register, documenting: date of breach; nature and scope; data affected; individuals at risk; actions taken; outcome; and lessons learned.</w:t>
      </w:r>
      <w:proofErr w:type="gramEnd"/>
      <w:r>
        <w:rPr>
          <w:color w:val="1A1A2E"/>
        </w:rPr>
        <w:t xml:space="preserve"> The register is reviewed</w:t>
      </w:r>
      <w:r>
        <w:rPr>
          <w:color w:val="1A1A2E"/>
        </w:rPr>
        <w:t xml:space="preserve"> at annual governance review.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>10.  Data Subject Rights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B00425">
      <w:pPr>
        <w:spacing w:before="60" w:after="100"/>
      </w:pPr>
      <w:r>
        <w:rPr>
          <w:color w:val="1A1A2E"/>
        </w:rPr>
        <w:lastRenderedPageBreak/>
        <w:t>Employees and other data subjects have the following rights under UK GDPR, which HealthBridge is committed to upholding:</w:t>
      </w:r>
    </w:p>
    <w:p w:rsidR="00C07D1F" w:rsidRDefault="00C07D1F">
      <w:pPr>
        <w:spacing w:before="60"/>
      </w:pPr>
    </w:p>
    <w:tbl>
      <w:tblPr>
        <w:tblW w:w="902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200"/>
        <w:gridCol w:w="5826"/>
      </w:tblGrid>
      <w:tr w:rsidR="00C07D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Right</w:t>
            </w:r>
          </w:p>
        </w:tc>
        <w:tc>
          <w:tcPr>
            <w:tcW w:w="58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How HealthBridge Responds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Right of Access (SAR)</w:t>
            </w:r>
          </w:p>
        </w:tc>
        <w:tc>
          <w:tcPr>
            <w:tcW w:w="58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Subject Access Requests are acknowledged within 5 working days and fulfilled within 30 calendar days. No fee is charged unless the request is manifestly unfounded or excessive, in which case a reasonable fee or refusal (with reasons) may apply.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Right to Rectification</w:t>
            </w:r>
          </w:p>
        </w:tc>
        <w:tc>
          <w:tcPr>
            <w:tcW w:w="58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Inaccuracies in personal data are corrected within 14 calendar days of a valid request. Where the Clinical Lead disagrees with a requested correction to clinical content, the process set out in the Complaints Policy (Section 5.3) app</w:t>
            </w:r>
            <w:r>
              <w:rPr>
                <w:sz w:val="19"/>
                <w:szCs w:val="19"/>
              </w:rPr>
              <w:t>lies.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Right to Erasure</w:t>
            </w:r>
          </w:p>
        </w:tc>
        <w:tc>
          <w:tcPr>
            <w:tcW w:w="58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Requests are assessed against retention obligations. Clinical records cannot be erased within the standard 8-year retention period where there is a legal obligation to retain them. The data subject is informed of any exemption appli</w:t>
            </w:r>
            <w:r>
              <w:rPr>
                <w:sz w:val="19"/>
                <w:szCs w:val="19"/>
              </w:rPr>
              <w:t>ed.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Right to Restriction</w:t>
            </w:r>
          </w:p>
        </w:tc>
        <w:tc>
          <w:tcPr>
            <w:tcW w:w="58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Where processing is disputed or contested, the data subject may request restriction. Restricted data is retained but not further processed pending resolution.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Right to Portability</w:t>
            </w:r>
          </w:p>
        </w:tc>
        <w:tc>
          <w:tcPr>
            <w:tcW w:w="58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Where technically feasible and applicable, data provided by the subject and processed on a consent or contract basis is provided in a structured, commonly used, machine-readable format on request.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Right to Object</w:t>
            </w:r>
          </w:p>
        </w:tc>
        <w:tc>
          <w:tcPr>
            <w:tcW w:w="58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Where processing is based on legitimate in</w:t>
            </w:r>
            <w:r>
              <w:rPr>
                <w:sz w:val="19"/>
                <w:szCs w:val="19"/>
              </w:rPr>
              <w:t>terests, data subjects may object. Each objection is assessed on its merits. Processing ceases unless compelling legitimate grounds are demonstrated.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b/>
                <w:bCs/>
                <w:sz w:val="19"/>
                <w:szCs w:val="19"/>
              </w:rPr>
              <w:t>Right to Withdraw Consent</w:t>
            </w:r>
          </w:p>
        </w:tc>
        <w:tc>
          <w:tcPr>
            <w:tcW w:w="58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Consent may be withdrawn at any time without detriment. Withdrawal does not affect the lawfulness of processing prior to withdrawal. Withdrawal of consent to release a report means the report will not be sent to the employer.</w:t>
            </w:r>
          </w:p>
        </w:tc>
      </w:tr>
    </w:tbl>
    <w:p w:rsidR="00C07D1F" w:rsidRDefault="00C07D1F">
      <w:pPr>
        <w:spacing w:before="80"/>
      </w:pPr>
    </w:p>
    <w:p w:rsidR="00C07D1F" w:rsidRDefault="00B00425">
      <w:pPr>
        <w:spacing w:before="60" w:after="100"/>
      </w:pPr>
      <w:r>
        <w:rPr>
          <w:color w:val="1A1A2E"/>
        </w:rPr>
        <w:t>All data subject rights requ</w:t>
      </w:r>
      <w:r>
        <w:rPr>
          <w:color w:val="1A1A2E"/>
        </w:rPr>
        <w:t>ests are directed to: contact@healthbridge.org.uk. Unresolved complaints about data handling may be escalated to the Information Commissioner's Office (www.ico.org.uk).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>11.  Data Retention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B00425">
      <w:pPr>
        <w:spacing w:before="60" w:after="100"/>
      </w:pPr>
      <w:r>
        <w:rPr>
          <w:color w:val="1A1A2E"/>
        </w:rPr>
        <w:t>Data is retained only for as long as necessary for its original p</w:t>
      </w:r>
      <w:r>
        <w:rPr>
          <w:color w:val="1A1A2E"/>
        </w:rPr>
        <w:t>urpose and in compliance with legal obligations. The following minimum retention periods apply:</w:t>
      </w:r>
    </w:p>
    <w:p w:rsidR="00C07D1F" w:rsidRDefault="00C07D1F">
      <w:pPr>
        <w:spacing w:before="60"/>
      </w:pPr>
    </w:p>
    <w:tbl>
      <w:tblPr>
        <w:tblW w:w="902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800"/>
        <w:gridCol w:w="2626"/>
        <w:gridCol w:w="2600"/>
      </w:tblGrid>
      <w:tr w:rsidR="00C07D1F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Data Type</w:t>
            </w:r>
          </w:p>
        </w:tc>
        <w:tc>
          <w:tcPr>
            <w:tcW w:w="26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Minimum Retention Period</w:t>
            </w:r>
          </w:p>
        </w:tc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Basis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Clinical assessment records and OH reports</w:t>
            </w:r>
          </w:p>
        </w:tc>
        <w:tc>
          <w:tcPr>
            <w:tcW w:w="26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8 years from date of assessment</w:t>
            </w:r>
          </w:p>
        </w:tc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Standard medical record retention (NHS/MDU guidance)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Complaint records</w:t>
            </w:r>
          </w:p>
        </w:tc>
        <w:tc>
          <w:tcPr>
            <w:tcW w:w="26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8 years from date of closure</w:t>
            </w:r>
          </w:p>
        </w:tc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Potential limitation period for claims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Consent documentation</w:t>
            </w:r>
          </w:p>
        </w:tc>
        <w:tc>
          <w:tcPr>
            <w:tcW w:w="26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8 years from date of assessment</w:t>
            </w:r>
          </w:p>
        </w:tc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Retained with associated clinical record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lastRenderedPageBreak/>
              <w:t>Financial and invoicing records</w:t>
            </w:r>
          </w:p>
        </w:tc>
        <w:tc>
          <w:tcPr>
            <w:tcW w:w="26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6 years from the end of the relevant tax year</w:t>
            </w:r>
          </w:p>
        </w:tc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HMRC requirements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Breach register</w:t>
            </w:r>
          </w:p>
        </w:tc>
        <w:tc>
          <w:tcPr>
            <w:tcW w:w="26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5 years minimum</w:t>
            </w:r>
          </w:p>
        </w:tc>
        <w:tc>
          <w:tcPr>
            <w:tcW w:w="26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ICO guidance; governance record</w:t>
            </w:r>
          </w:p>
        </w:tc>
      </w:tr>
    </w:tbl>
    <w:p w:rsidR="00C07D1F" w:rsidRDefault="00C07D1F">
      <w:pPr>
        <w:spacing w:before="80"/>
      </w:pPr>
    </w:p>
    <w:p w:rsidR="00C07D1F" w:rsidRDefault="00B00425">
      <w:pPr>
        <w:spacing w:before="60" w:after="100"/>
      </w:pPr>
      <w:r>
        <w:rPr>
          <w:color w:val="1A1A2E"/>
        </w:rPr>
        <w:t>At the end of the relevant retention period, data is securely and permanently deleted or destroyed. Paper records are cross-cut shredded. Electronic records are securely wiped using appropriate tools. Destruction is logged.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>12.  Accountability and Trainin</w:t>
      </w:r>
      <w:r>
        <w:rPr>
          <w:b/>
          <w:bCs/>
          <w:color w:val="1B3A6B"/>
          <w:sz w:val="28"/>
          <w:szCs w:val="28"/>
        </w:rPr>
        <w:t>g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B00425">
      <w:pPr>
        <w:spacing w:before="60" w:after="100"/>
      </w:pPr>
      <w:r>
        <w:rPr>
          <w:color w:val="1A1A2E"/>
        </w:rPr>
        <w:t>The Clinical Lead is personally accountable for compliance with this policy. As a sole practitioner, the following accountability measures apply: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Annual self-audit of confidentiality and data handling compliance, with documented findings.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Annual UK GDPR and OH confidentiality refresher training, evidenced via CPD record.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All contracted third parties with data access must sign a confidentiality agreement and Data Processing Agreement prior to engagement.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Any breach of confidentiality by a co</w:t>
      </w:r>
      <w:r>
        <w:t>ntracted third party is treated as a material breach of their contract and handled in accordance with Section 9.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The Clinical Lead maintains current registration with the Information Commissioner's Office as a Data Controller.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>13.  Policy Review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Formal a</w:t>
      </w:r>
      <w:r>
        <w:t>nnual review — next scheduled: 13 June 2027.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>Ad-hoc review following: material changes to UK GDPR or DPA 2018; new ICO guidance or enforcement decisions; new GMC confidentiality guidance; any data breach or near-miss that reveals a policy gap.</w:t>
      </w:r>
    </w:p>
    <w:p w:rsidR="00C07D1F" w:rsidRDefault="00B00425">
      <w:pPr>
        <w:pStyle w:val="ListParagraph"/>
        <w:numPr>
          <w:ilvl w:val="0"/>
          <w:numId w:val="2"/>
        </w:numPr>
        <w:spacing w:before="40" w:after="40"/>
      </w:pPr>
      <w:r>
        <w:t xml:space="preserve">This policy </w:t>
      </w:r>
      <w:r>
        <w:t>is read in conjunction with the Clinical Governance Policy and the Complaints Policy.</w:t>
      </w:r>
    </w:p>
    <w:p w:rsidR="00C07D1F" w:rsidRDefault="00C07D1F">
      <w:pPr>
        <w:spacing w:before="80"/>
      </w:pPr>
    </w:p>
    <w:p w:rsidR="00C07D1F" w:rsidRDefault="00B00425">
      <w:pPr>
        <w:spacing w:before="400" w:after="120"/>
      </w:pPr>
      <w:r>
        <w:rPr>
          <w:b/>
          <w:bCs/>
          <w:color w:val="1B3A6B"/>
          <w:sz w:val="28"/>
          <w:szCs w:val="28"/>
        </w:rPr>
        <w:t>14.  Version Control</w:t>
      </w:r>
    </w:p>
    <w:p w:rsidR="00C07D1F" w:rsidRDefault="00C07D1F">
      <w:pPr>
        <w:pBdr>
          <w:bottom w:val="single" w:sz="6" w:space="1" w:color="1B3A6B"/>
        </w:pBdr>
        <w:spacing w:before="60" w:after="200"/>
      </w:pPr>
    </w:p>
    <w:p w:rsidR="00C07D1F" w:rsidRDefault="00C07D1F">
      <w:pPr>
        <w:spacing w:before="60"/>
      </w:pPr>
    </w:p>
    <w:tbl>
      <w:tblPr>
        <w:tblW w:w="902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500"/>
        <w:gridCol w:w="2000"/>
        <w:gridCol w:w="3526"/>
        <w:gridCol w:w="2000"/>
      </w:tblGrid>
      <w:tr w:rsidR="00C07D1F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Version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Date</w:t>
            </w:r>
          </w:p>
        </w:tc>
        <w:tc>
          <w:tcPr>
            <w:tcW w:w="35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Changes Made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7D1F" w:rsidRDefault="00B00425">
            <w:r>
              <w:rPr>
                <w:b/>
                <w:bCs/>
                <w:color w:val="FFFFFF"/>
                <w:sz w:val="19"/>
                <w:szCs w:val="19"/>
              </w:rPr>
              <w:t>Approved By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1.0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30/07/2025</w:t>
            </w:r>
          </w:p>
        </w:tc>
        <w:tc>
          <w:tcPr>
            <w:tcW w:w="35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Initial policy draft.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Dr. James Stanley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2.0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13/06/2026</w:t>
            </w:r>
          </w:p>
        </w:tc>
        <w:tc>
          <w:tcPr>
            <w:tcW w:w="35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Comprehensive review: removed FOM reference; removed ISO 27001 certification claim (replaced with alignment statement); added explicit OH triangular confidentiality framework (Section 3) including employer entitlement table; added lawful basis for processi</w:t>
            </w:r>
            <w:r>
              <w:rPr>
                <w:sz w:val="19"/>
                <w:szCs w:val="19"/>
              </w:rPr>
              <w:t>ng table with UK GDPR Article 9 / DPA 2018 Schedule 1 references; added third-</w:t>
            </w:r>
            <w:r>
              <w:rPr>
                <w:sz w:val="19"/>
                <w:szCs w:val="19"/>
              </w:rPr>
              <w:lastRenderedPageBreak/>
              <w:t>party processor and DPA requirements; expanded breach management with severity tiers; expanded data subject rights to full UK GDPR schedule; added data retention schedule; remove</w:t>
            </w:r>
            <w:r>
              <w:rPr>
                <w:sz w:val="19"/>
                <w:szCs w:val="19"/>
              </w:rPr>
              <w:t>d phantom staff/DPO/Manager roles; sole-practitioner accountability framework added.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lastRenderedPageBreak/>
              <w:t>Dr. James Stanley</w:t>
            </w:r>
          </w:p>
        </w:tc>
      </w:tr>
      <w:tr w:rsidR="00C07D1F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lastRenderedPageBreak/>
              <w:t>2.1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B00425">
            <w:r>
              <w:rPr>
                <w:sz w:val="19"/>
                <w:szCs w:val="19"/>
              </w:rPr>
              <w:t>[DD/MM/YYYY]</w:t>
            </w:r>
          </w:p>
        </w:tc>
        <w:tc>
          <w:tcPr>
            <w:tcW w:w="35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C07D1F"/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7D1F" w:rsidRDefault="00C07D1F"/>
        </w:tc>
      </w:tr>
    </w:tbl>
    <w:p w:rsidR="00C07D1F" w:rsidRDefault="00C07D1F">
      <w:pPr>
        <w:spacing w:before="160"/>
      </w:pPr>
    </w:p>
    <w:p w:rsidR="00C07D1F" w:rsidRDefault="00B00425">
      <w:pPr>
        <w:spacing w:before="60" w:after="100"/>
      </w:pPr>
      <w:r>
        <w:rPr>
          <w:b/>
          <w:bCs/>
          <w:color w:val="1A1A2E"/>
        </w:rPr>
        <w:t>Approved by: Dr. James Stanley, Clinical Lead</w:t>
      </w:r>
    </w:p>
    <w:p w:rsidR="00C07D1F" w:rsidRDefault="00B00425">
      <w:pPr>
        <w:spacing w:before="60" w:after="100"/>
      </w:pPr>
      <w:r>
        <w:rPr>
          <w:color w:val="1A1A2E"/>
        </w:rPr>
        <w:t>GMC Registration No: 7285162</w:t>
      </w:r>
    </w:p>
    <w:p w:rsidR="00C07D1F" w:rsidRDefault="00B00425">
      <w:pPr>
        <w:spacing w:before="60" w:after="100"/>
      </w:pPr>
      <w:r>
        <w:rPr>
          <w:color w:val="1A1A2E"/>
        </w:rPr>
        <w:t>Data Controller Contact: contact@healthbridge.org.uk</w:t>
      </w:r>
    </w:p>
    <w:p w:rsidR="00C07D1F" w:rsidRDefault="00B00425">
      <w:pPr>
        <w:spacing w:before="60" w:after="100"/>
      </w:pPr>
      <w:r>
        <w:rPr>
          <w:color w:val="1A1A2E"/>
        </w:rPr>
        <w:t>ICO Registration: [Insert ICO Registration Number]</w:t>
      </w:r>
    </w:p>
    <w:p w:rsidR="00C07D1F" w:rsidRDefault="00C07D1F">
      <w:pPr>
        <w:spacing w:before="60"/>
      </w:pPr>
    </w:p>
    <w:p w:rsidR="00C07D1F" w:rsidRDefault="00B00425">
      <w:pPr>
        <w:spacing w:before="60" w:after="100"/>
      </w:pPr>
      <w:r>
        <w:rPr>
          <w:i/>
          <w:iCs/>
          <w:color w:val="6B7280"/>
        </w:rPr>
        <w:t xml:space="preserve">HealthBridge Occupational Health </w:t>
      </w:r>
      <w:proofErr w:type="gramStart"/>
      <w:r>
        <w:rPr>
          <w:i/>
          <w:iCs/>
          <w:color w:val="6B7280"/>
        </w:rPr>
        <w:t>Ltd  |</w:t>
      </w:r>
      <w:proofErr w:type="gramEnd"/>
      <w:r>
        <w:rPr>
          <w:i/>
          <w:iCs/>
          <w:color w:val="6B7280"/>
        </w:rPr>
        <w:t xml:space="preserve">  Company No: 16615396</w:t>
      </w:r>
    </w:p>
    <w:p w:rsidR="00C07D1F" w:rsidRDefault="00B00425">
      <w:pPr>
        <w:spacing w:before="60" w:after="100"/>
      </w:pPr>
      <w:r>
        <w:rPr>
          <w:i/>
          <w:iCs/>
          <w:color w:val="6B7280"/>
        </w:rPr>
        <w:t xml:space="preserve">Registered Address: 50 </w:t>
      </w:r>
      <w:proofErr w:type="spellStart"/>
      <w:r>
        <w:rPr>
          <w:i/>
          <w:iCs/>
          <w:color w:val="6B7280"/>
        </w:rPr>
        <w:t>Hadow</w:t>
      </w:r>
      <w:proofErr w:type="spellEnd"/>
      <w:r>
        <w:rPr>
          <w:i/>
          <w:iCs/>
          <w:color w:val="6B7280"/>
        </w:rPr>
        <w:t xml:space="preserve"> Way, Gloucester, GL2 4YJ</w:t>
      </w:r>
    </w:p>
    <w:p w:rsidR="00C07D1F" w:rsidRDefault="00B00425">
      <w:pPr>
        <w:spacing w:before="60" w:after="100"/>
      </w:pPr>
      <w:proofErr w:type="gramStart"/>
      <w:r>
        <w:rPr>
          <w:i/>
          <w:iCs/>
          <w:color w:val="6B7280"/>
        </w:rPr>
        <w:t>© HealthBridge Occupational Health Ltd. Unauthorised distribution prohibited.</w:t>
      </w:r>
      <w:proofErr w:type="gramEnd"/>
    </w:p>
    <w:sectPr w:rsidR="00C07D1F" w:rsidSect="00C07D1F">
      <w:headerReference w:type="default" r:id="rId7"/>
      <w:footerReference w:type="default" r:id="rId8"/>
      <w:pgSz w:w="11906" w:h="16838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425" w:rsidRDefault="00B00425" w:rsidP="00C07D1F">
      <w:r>
        <w:separator/>
      </w:r>
    </w:p>
  </w:endnote>
  <w:endnote w:type="continuationSeparator" w:id="0">
    <w:p w:rsidR="00B00425" w:rsidRDefault="00B00425" w:rsidP="00C07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D1F" w:rsidRDefault="00B00425">
    <w:pPr>
      <w:pBdr>
        <w:top w:val="single" w:sz="4" w:space="2" w:color="1B3A6B"/>
      </w:pBdr>
      <w:tabs>
        <w:tab w:val="right" w:pos="9026"/>
      </w:tabs>
      <w:spacing w:before="120"/>
    </w:pPr>
    <w:r>
      <w:rPr>
        <w:color w:val="6B7280"/>
        <w:sz w:val="16"/>
        <w:szCs w:val="16"/>
      </w:rPr>
      <w:t xml:space="preserve">HealthBridge Occupational Health </w:t>
    </w:r>
    <w:proofErr w:type="gramStart"/>
    <w:r>
      <w:rPr>
        <w:color w:val="6B7280"/>
        <w:sz w:val="16"/>
        <w:szCs w:val="16"/>
      </w:rPr>
      <w:t>Ltd  |</w:t>
    </w:r>
    <w:proofErr w:type="gramEnd"/>
    <w:r>
      <w:rPr>
        <w:color w:val="6B7280"/>
        <w:sz w:val="16"/>
        <w:szCs w:val="16"/>
      </w:rPr>
      <w:t xml:space="preserve">  Co. No: </w:t>
    </w:r>
    <w:proofErr w:type="gramStart"/>
    <w:r>
      <w:rPr>
        <w:color w:val="6B7280"/>
        <w:sz w:val="16"/>
        <w:szCs w:val="16"/>
      </w:rPr>
      <w:t>16615396  |</w:t>
    </w:r>
    <w:proofErr w:type="gramEnd"/>
    <w:r>
      <w:rPr>
        <w:color w:val="6B7280"/>
        <w:sz w:val="16"/>
        <w:szCs w:val="16"/>
      </w:rPr>
      <w:t xml:space="preserve">  50 </w:t>
    </w:r>
    <w:proofErr w:type="spellStart"/>
    <w:r>
      <w:rPr>
        <w:color w:val="6B7280"/>
        <w:sz w:val="16"/>
        <w:szCs w:val="16"/>
      </w:rPr>
      <w:t>Hadow</w:t>
    </w:r>
    <w:proofErr w:type="spellEnd"/>
    <w:r>
      <w:rPr>
        <w:color w:val="6B7280"/>
        <w:sz w:val="16"/>
        <w:szCs w:val="16"/>
      </w:rPr>
      <w:t xml:space="preserve"> Way, Gloucester, GL2</w:t>
    </w:r>
    <w:r>
      <w:rPr>
        <w:color w:val="6B7280"/>
        <w:sz w:val="16"/>
        <w:szCs w:val="16"/>
      </w:rPr>
      <w:t xml:space="preserve"> 4YJ</w:t>
    </w:r>
    <w:r>
      <w:rPr>
        <w:color w:val="6B7280"/>
        <w:sz w:val="16"/>
        <w:szCs w:val="16"/>
      </w:rPr>
      <w:tab/>
      <w:t xml:space="preserve">Page </w:t>
    </w:r>
    <w:r w:rsidR="00C07D1F"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PAGE</w:instrText>
    </w:r>
    <w:r w:rsidR="00BA19A8">
      <w:rPr>
        <w:color w:val="6B7280"/>
        <w:sz w:val="16"/>
        <w:szCs w:val="16"/>
      </w:rPr>
      <w:fldChar w:fldCharType="separate"/>
    </w:r>
    <w:r w:rsidR="0029214C">
      <w:rPr>
        <w:noProof/>
        <w:color w:val="6B7280"/>
        <w:sz w:val="16"/>
        <w:szCs w:val="16"/>
      </w:rPr>
      <w:t>2</w:t>
    </w:r>
    <w:r w:rsidR="00C07D1F">
      <w:rPr>
        <w:color w:val="6B7280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425" w:rsidRDefault="00B00425" w:rsidP="00C07D1F">
      <w:r>
        <w:separator/>
      </w:r>
    </w:p>
  </w:footnote>
  <w:footnote w:type="continuationSeparator" w:id="0">
    <w:p w:rsidR="00B00425" w:rsidRDefault="00B00425" w:rsidP="00C07D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D1F" w:rsidRDefault="00B00425">
    <w:pPr>
      <w:tabs>
        <w:tab w:val="right" w:pos="9026"/>
      </w:tabs>
      <w:spacing w:after="100"/>
    </w:pPr>
    <w:r>
      <w:rPr>
        <w:color w:val="6B7280"/>
        <w:sz w:val="16"/>
        <w:szCs w:val="16"/>
      </w:rPr>
      <w:t xml:space="preserve">Version </w:t>
    </w:r>
    <w:proofErr w:type="gramStart"/>
    <w:r>
      <w:rPr>
        <w:color w:val="6B7280"/>
        <w:sz w:val="16"/>
        <w:szCs w:val="16"/>
      </w:rPr>
      <w:t>2.0  |</w:t>
    </w:r>
    <w:proofErr w:type="gramEnd"/>
    <w:r>
      <w:rPr>
        <w:color w:val="6B7280"/>
        <w:sz w:val="16"/>
        <w:szCs w:val="16"/>
      </w:rPr>
      <w:t xml:space="preserve">  Effective: 13/06/2026  |  Owner: Dr. James Stanley  |  GMC: 7285162</w:t>
    </w:r>
    <w:r>
      <w:rPr>
        <w:color w:val="6B7280"/>
        <w:sz w:val="16"/>
        <w:szCs w:val="16"/>
      </w:rPr>
      <w:tab/>
      <w:t>Next Review: 13/06/2027</w:t>
    </w:r>
  </w:p>
  <w:p w:rsidR="00C07D1F" w:rsidRDefault="00C07D1F">
    <w:pPr>
      <w:pBdr>
        <w:bottom w:val="single" w:sz="6" w:space="1" w:color="1B3A6B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E683E"/>
    <w:multiLevelType w:val="hybridMultilevel"/>
    <w:tmpl w:val="BC9EB040"/>
    <w:lvl w:ilvl="0" w:tplc="3618B910">
      <w:start w:val="1"/>
      <w:numFmt w:val="bullet"/>
      <w:lvlText w:val="•"/>
      <w:lvlJc w:val="left"/>
      <w:pPr>
        <w:ind w:left="540" w:hanging="360"/>
      </w:pPr>
    </w:lvl>
    <w:lvl w:ilvl="1" w:tplc="0B9CC048">
      <w:numFmt w:val="decimal"/>
      <w:lvlText w:val=""/>
      <w:lvlJc w:val="left"/>
    </w:lvl>
    <w:lvl w:ilvl="2" w:tplc="16DA0786">
      <w:numFmt w:val="decimal"/>
      <w:lvlText w:val=""/>
      <w:lvlJc w:val="left"/>
    </w:lvl>
    <w:lvl w:ilvl="3" w:tplc="F486637E">
      <w:numFmt w:val="decimal"/>
      <w:lvlText w:val=""/>
      <w:lvlJc w:val="left"/>
    </w:lvl>
    <w:lvl w:ilvl="4" w:tplc="3AAAE6FC">
      <w:numFmt w:val="decimal"/>
      <w:lvlText w:val=""/>
      <w:lvlJc w:val="left"/>
    </w:lvl>
    <w:lvl w:ilvl="5" w:tplc="00645FD6">
      <w:numFmt w:val="decimal"/>
      <w:lvlText w:val=""/>
      <w:lvlJc w:val="left"/>
    </w:lvl>
    <w:lvl w:ilvl="6" w:tplc="1E028FBC">
      <w:numFmt w:val="decimal"/>
      <w:lvlText w:val=""/>
      <w:lvlJc w:val="left"/>
    </w:lvl>
    <w:lvl w:ilvl="7" w:tplc="C486FDD6">
      <w:numFmt w:val="decimal"/>
      <w:lvlText w:val=""/>
      <w:lvlJc w:val="left"/>
    </w:lvl>
    <w:lvl w:ilvl="8" w:tplc="BCA23102">
      <w:numFmt w:val="decimal"/>
      <w:lvlText w:val=""/>
      <w:lvlJc w:val="left"/>
    </w:lvl>
  </w:abstractNum>
  <w:abstractNum w:abstractNumId="1">
    <w:nsid w:val="5BC021F0"/>
    <w:multiLevelType w:val="hybridMultilevel"/>
    <w:tmpl w:val="95009C8A"/>
    <w:lvl w:ilvl="0" w:tplc="FB8A8A56">
      <w:start w:val="1"/>
      <w:numFmt w:val="bullet"/>
      <w:lvlText w:val="●"/>
      <w:lvlJc w:val="left"/>
      <w:pPr>
        <w:ind w:left="720" w:hanging="360"/>
      </w:pPr>
    </w:lvl>
    <w:lvl w:ilvl="1" w:tplc="890C061A">
      <w:start w:val="1"/>
      <w:numFmt w:val="bullet"/>
      <w:lvlText w:val="○"/>
      <w:lvlJc w:val="left"/>
      <w:pPr>
        <w:ind w:left="1440" w:hanging="360"/>
      </w:pPr>
    </w:lvl>
    <w:lvl w:ilvl="2" w:tplc="7F92996C">
      <w:start w:val="1"/>
      <w:numFmt w:val="bullet"/>
      <w:lvlText w:val="■"/>
      <w:lvlJc w:val="left"/>
      <w:pPr>
        <w:ind w:left="2160" w:hanging="360"/>
      </w:pPr>
    </w:lvl>
    <w:lvl w:ilvl="3" w:tplc="574C813E">
      <w:start w:val="1"/>
      <w:numFmt w:val="bullet"/>
      <w:lvlText w:val="●"/>
      <w:lvlJc w:val="left"/>
      <w:pPr>
        <w:ind w:left="2880" w:hanging="360"/>
      </w:pPr>
    </w:lvl>
    <w:lvl w:ilvl="4" w:tplc="8F54176C">
      <w:start w:val="1"/>
      <w:numFmt w:val="bullet"/>
      <w:lvlText w:val="○"/>
      <w:lvlJc w:val="left"/>
      <w:pPr>
        <w:ind w:left="3600" w:hanging="360"/>
      </w:pPr>
    </w:lvl>
    <w:lvl w:ilvl="5" w:tplc="0B8C6664">
      <w:start w:val="1"/>
      <w:numFmt w:val="bullet"/>
      <w:lvlText w:val="■"/>
      <w:lvlJc w:val="left"/>
      <w:pPr>
        <w:ind w:left="4320" w:hanging="360"/>
      </w:pPr>
    </w:lvl>
    <w:lvl w:ilvl="6" w:tplc="95508966">
      <w:start w:val="1"/>
      <w:numFmt w:val="bullet"/>
      <w:lvlText w:val="●"/>
      <w:lvlJc w:val="left"/>
      <w:pPr>
        <w:ind w:left="5040" w:hanging="360"/>
      </w:pPr>
    </w:lvl>
    <w:lvl w:ilvl="7" w:tplc="98A0DDA4">
      <w:start w:val="1"/>
      <w:numFmt w:val="bullet"/>
      <w:lvlText w:val="●"/>
      <w:lvlJc w:val="left"/>
      <w:pPr>
        <w:ind w:left="5760" w:hanging="360"/>
      </w:pPr>
    </w:lvl>
    <w:lvl w:ilvl="8" w:tplc="56961C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D1F"/>
    <w:rsid w:val="000B61BD"/>
    <w:rsid w:val="0029214C"/>
    <w:rsid w:val="00B00425"/>
    <w:rsid w:val="00BA19A8"/>
    <w:rsid w:val="00C0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rsid w:val="00C07D1F"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rsid w:val="00C07D1F"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rsid w:val="00C07D1F"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rsid w:val="00C07D1F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C07D1F"/>
    <w:pPr>
      <w:outlineLvl w:val="4"/>
    </w:pPr>
    <w:rPr>
      <w:color w:val="2E74B5"/>
    </w:rPr>
  </w:style>
  <w:style w:type="paragraph" w:styleId="Heading6">
    <w:name w:val="heading 6"/>
    <w:qFormat/>
    <w:rsid w:val="00C07D1F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C07D1F"/>
    <w:rPr>
      <w:sz w:val="56"/>
      <w:szCs w:val="56"/>
    </w:rPr>
  </w:style>
  <w:style w:type="paragraph" w:customStyle="1" w:styleId="Strong1">
    <w:name w:val="Strong1"/>
    <w:qFormat/>
    <w:rsid w:val="00C07D1F"/>
    <w:rPr>
      <w:b/>
      <w:bCs/>
    </w:rPr>
  </w:style>
  <w:style w:type="paragraph" w:styleId="ListParagraph">
    <w:name w:val="List Paragraph"/>
    <w:qFormat/>
    <w:rsid w:val="00C07D1F"/>
  </w:style>
  <w:style w:type="character" w:styleId="Hyperlink">
    <w:name w:val="Hyperlink"/>
    <w:uiPriority w:val="99"/>
    <w:unhideWhenUsed/>
    <w:rsid w:val="00C07D1F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C07D1F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C07D1F"/>
  </w:style>
  <w:style w:type="character" w:customStyle="1" w:styleId="FootnoteTextChar">
    <w:name w:val="Footnote Text Char"/>
    <w:link w:val="FootnoteText"/>
    <w:uiPriority w:val="99"/>
    <w:semiHidden/>
    <w:unhideWhenUsed/>
    <w:rsid w:val="00C07D1F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C07D1F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C07D1F"/>
  </w:style>
  <w:style w:type="character" w:customStyle="1" w:styleId="EndnoteTextChar">
    <w:name w:val="Endnote Text Char"/>
    <w:link w:val="EndnoteText"/>
    <w:uiPriority w:val="99"/>
    <w:semiHidden/>
    <w:unhideWhenUsed/>
    <w:rsid w:val="00C07D1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2608</Words>
  <Characters>14871</Characters>
  <Application>Microsoft Office Word</Application>
  <DocSecurity>0</DocSecurity>
  <Lines>123</Lines>
  <Paragraphs>34</Paragraphs>
  <ScaleCrop>false</ScaleCrop>
  <Company>Grizli777</Company>
  <LinksUpToDate>false</LinksUpToDate>
  <CharactersWithSpaces>17445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James Stanley</cp:lastModifiedBy>
  <cp:revision>5</cp:revision>
  <dcterms:created xsi:type="dcterms:W3CDTF">2026-06-17T11:20:00Z</dcterms:created>
  <dcterms:modified xsi:type="dcterms:W3CDTF">2026-06-17T11:21:00Z</dcterms:modified>
  <cp:contentStatus/>
</cp:coreProperties>
</file>