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361" w:rsidRDefault="00433AF1">
      <w:pPr>
        <w:spacing w:before="200" w:after="60"/>
      </w:pPr>
      <w:r>
        <w:rPr>
          <w:b/>
          <w:bCs/>
          <w:color w:val="1B3A6B"/>
          <w:sz w:val="40"/>
          <w:szCs w:val="40"/>
        </w:rPr>
        <w:t>HEALTHBRIDGE OCCUPATIONAL HEALTH LTD</w:t>
      </w:r>
    </w:p>
    <w:p w:rsidR="00D61361" w:rsidRDefault="00433AF1">
      <w:pPr>
        <w:spacing w:after="80"/>
      </w:pPr>
      <w:r>
        <w:rPr>
          <w:b/>
          <w:bCs/>
          <w:color w:val="1B3A6B"/>
          <w:sz w:val="28"/>
          <w:szCs w:val="28"/>
        </w:rPr>
        <w:t>Referral and Reporting Policy</w:t>
      </w:r>
    </w:p>
    <w:p w:rsidR="00D61361" w:rsidRDefault="00433AF1">
      <w:pPr>
        <w:pBdr>
          <w:bottom w:val="thick" w:sz="12" w:space="3" w:color="1B3A6B"/>
        </w:pBdr>
        <w:spacing w:after="240"/>
      </w:pPr>
      <w:r>
        <w:rPr>
          <w:i/>
          <w:iCs/>
          <w:color w:val="6B7280"/>
          <w:sz w:val="19"/>
          <w:szCs w:val="19"/>
        </w:rPr>
        <w:t>GP-Led Occupational Health Services   |   Version 2.0   |   Effective 13 June 2026</w:t>
      </w:r>
    </w:p>
    <w:p w:rsidR="00D61361" w:rsidRDefault="00D61361">
      <w:pPr>
        <w:spacing w:before="80"/>
      </w:pPr>
    </w:p>
    <w:p w:rsidR="00D61361" w:rsidRDefault="00433AF1">
      <w:pPr>
        <w:spacing w:before="400" w:after="120"/>
      </w:pPr>
      <w:r>
        <w:rPr>
          <w:b/>
          <w:bCs/>
          <w:color w:val="1B3A6B"/>
          <w:sz w:val="28"/>
          <w:szCs w:val="28"/>
        </w:rPr>
        <w:t>1.  Purpose</w:t>
      </w:r>
    </w:p>
    <w:p w:rsidR="00D61361" w:rsidRDefault="00D61361">
      <w:pPr>
        <w:pBdr>
          <w:bottom w:val="single" w:sz="6" w:space="1" w:color="1B3A6B"/>
        </w:pBdr>
        <w:spacing w:before="60" w:after="200"/>
      </w:pPr>
    </w:p>
    <w:p w:rsidR="00D61361" w:rsidRDefault="00433AF1">
      <w:pPr>
        <w:spacing w:before="60" w:after="100"/>
      </w:pPr>
      <w:r>
        <w:rPr>
          <w:color w:val="1A1A2E"/>
        </w:rPr>
        <w:t>This policy sets out how referrals to HealthBridge Occupational Health are made, processed, and managed, and the standards that apply to the preparation and release of OH reports. It provides clarity for referring employers, for employees being assessed, a</w:t>
      </w:r>
      <w:r>
        <w:rPr>
          <w:color w:val="1A1A2E"/>
        </w:rPr>
        <w:t>nd for any contracted support involved in service delivery.</w:t>
      </w:r>
    </w:p>
    <w:p w:rsidR="00D61361" w:rsidRDefault="00D61361">
      <w:pPr>
        <w:spacing w:before="60"/>
      </w:pPr>
    </w:p>
    <w:p w:rsidR="00D61361" w:rsidRDefault="00433AF1">
      <w:pPr>
        <w:spacing w:before="60" w:after="100"/>
      </w:pPr>
      <w:r>
        <w:rPr>
          <w:color w:val="1A1A2E"/>
        </w:rPr>
        <w:t>This policy ensures:</w:t>
      </w:r>
    </w:p>
    <w:p w:rsidR="00D61361" w:rsidRDefault="00433AF1">
      <w:pPr>
        <w:pStyle w:val="ListParagraph"/>
        <w:numPr>
          <w:ilvl w:val="0"/>
          <w:numId w:val="2"/>
        </w:numPr>
        <w:spacing w:before="40" w:after="40"/>
      </w:pPr>
      <w:r>
        <w:t>Referrals are complete, appropriate, and within the scope of HealthBridge services before an appointment is confirmed</w:t>
      </w:r>
    </w:p>
    <w:p w:rsidR="00D61361" w:rsidRDefault="00433AF1">
      <w:pPr>
        <w:pStyle w:val="ListParagraph"/>
        <w:numPr>
          <w:ilvl w:val="0"/>
          <w:numId w:val="2"/>
        </w:numPr>
        <w:spacing w:before="40" w:after="40"/>
      </w:pPr>
      <w:r>
        <w:t>Assessments are conducted to a consistent clinical stand</w:t>
      </w:r>
      <w:r>
        <w:t>ard</w:t>
      </w:r>
    </w:p>
    <w:p w:rsidR="00D61361" w:rsidRDefault="00433AF1">
      <w:pPr>
        <w:pStyle w:val="ListParagraph"/>
        <w:numPr>
          <w:ilvl w:val="0"/>
          <w:numId w:val="2"/>
        </w:numPr>
        <w:spacing w:before="40" w:after="40"/>
      </w:pPr>
      <w:r>
        <w:t>OH reports are accurate, proportionate, and released only with proper employee consent</w:t>
      </w:r>
    </w:p>
    <w:p w:rsidR="00D61361" w:rsidRDefault="00433AF1">
      <w:pPr>
        <w:pStyle w:val="ListParagraph"/>
        <w:numPr>
          <w:ilvl w:val="0"/>
          <w:numId w:val="2"/>
        </w:numPr>
        <w:spacing w:before="40" w:after="40"/>
      </w:pPr>
      <w:r>
        <w:t>Compliance with UK GDPR, GMC Good Medical Practice, and the Access to Medical Reports Act 1988 throughout the referral and reporting process</w:t>
      </w:r>
    </w:p>
    <w:p w:rsidR="00D61361" w:rsidRDefault="00D61361">
      <w:pPr>
        <w:spacing w:before="80"/>
      </w:pPr>
    </w:p>
    <w:p w:rsidR="00D61361" w:rsidRDefault="00433AF1">
      <w:pPr>
        <w:spacing w:before="400" w:after="120"/>
      </w:pPr>
      <w:r>
        <w:rPr>
          <w:b/>
          <w:bCs/>
          <w:color w:val="1B3A6B"/>
          <w:sz w:val="28"/>
          <w:szCs w:val="28"/>
        </w:rPr>
        <w:t>2.  Scope of Service</w:t>
      </w:r>
    </w:p>
    <w:p w:rsidR="00D61361" w:rsidRDefault="00D61361">
      <w:pPr>
        <w:pBdr>
          <w:bottom w:val="single" w:sz="6" w:space="1" w:color="1B3A6B"/>
        </w:pBdr>
        <w:spacing w:before="60" w:after="200"/>
      </w:pPr>
    </w:p>
    <w:p w:rsidR="00D61361" w:rsidRDefault="00433AF1">
      <w:pPr>
        <w:spacing w:before="60" w:after="100"/>
      </w:pPr>
      <w:r>
        <w:rPr>
          <w:color w:val="1A1A2E"/>
        </w:rPr>
        <w:t>H</w:t>
      </w:r>
      <w:r>
        <w:rPr>
          <w:color w:val="1A1A2E"/>
        </w:rPr>
        <w:t>ealthBridge provides GP-led remote occupational health advisory services. Before submitting a referral, employers should note the following scope boundaries:</w:t>
      </w:r>
    </w:p>
    <w:p w:rsidR="00D61361" w:rsidRDefault="00D61361">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513"/>
        <w:gridCol w:w="4513"/>
      </w:tblGrid>
      <w:tr w:rsidR="00D61361">
        <w:tblPrEx>
          <w:tblCellMar>
            <w:top w:w="0" w:type="dxa"/>
            <w:bottom w:w="0" w:type="dxa"/>
          </w:tblCellMar>
        </w:tblPrEx>
        <w:tc>
          <w:tcPr>
            <w:tcW w:w="45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Within Scope — HealthBridge CAN accept</w:t>
            </w:r>
          </w:p>
        </w:tc>
        <w:tc>
          <w:tcPr>
            <w:tcW w:w="45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Outside Scope — HealthBridge CANNOT accept</w:t>
            </w:r>
          </w:p>
        </w:tc>
      </w:tr>
      <w:tr w:rsidR="00D61361">
        <w:tblPrEx>
          <w:tblCellMar>
            <w:top w:w="0" w:type="dxa"/>
            <w:bottom w:w="0" w:type="dxa"/>
          </w:tblCellMar>
        </w:tblPrEx>
        <w:tc>
          <w:tcPr>
            <w:tcW w:w="45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pPr>
              <w:pStyle w:val="ListParagraph"/>
              <w:numPr>
                <w:ilvl w:val="0"/>
                <w:numId w:val="2"/>
              </w:numPr>
              <w:spacing w:before="20" w:after="20"/>
            </w:pPr>
            <w:r>
              <w:rPr>
                <w:sz w:val="19"/>
                <w:szCs w:val="19"/>
              </w:rPr>
              <w:t>Fitness for work assessments for non-safety-critical roles</w:t>
            </w:r>
          </w:p>
          <w:p w:rsidR="00D61361" w:rsidRDefault="00433AF1">
            <w:pPr>
              <w:pStyle w:val="ListParagraph"/>
              <w:numPr>
                <w:ilvl w:val="0"/>
                <w:numId w:val="2"/>
              </w:numPr>
              <w:spacing w:before="20" w:after="20"/>
            </w:pPr>
            <w:r>
              <w:rPr>
                <w:sz w:val="19"/>
                <w:szCs w:val="19"/>
              </w:rPr>
              <w:t>Return to work advice following illness or absence</w:t>
            </w:r>
          </w:p>
          <w:p w:rsidR="00D61361" w:rsidRDefault="00433AF1">
            <w:pPr>
              <w:pStyle w:val="ListParagraph"/>
              <w:numPr>
                <w:ilvl w:val="0"/>
                <w:numId w:val="2"/>
              </w:numPr>
              <w:spacing w:before="20" w:after="20"/>
            </w:pPr>
            <w:r>
              <w:rPr>
                <w:sz w:val="19"/>
                <w:szCs w:val="19"/>
              </w:rPr>
              <w:t>Reasonable adjustment recommendations</w:t>
            </w:r>
          </w:p>
          <w:p w:rsidR="00D61361" w:rsidRDefault="00433AF1">
            <w:pPr>
              <w:pStyle w:val="ListParagraph"/>
              <w:numPr>
                <w:ilvl w:val="0"/>
                <w:numId w:val="2"/>
              </w:numPr>
              <w:spacing w:before="20" w:after="20"/>
            </w:pPr>
            <w:r>
              <w:rPr>
                <w:sz w:val="19"/>
                <w:szCs w:val="19"/>
              </w:rPr>
              <w:t>Assessments during or following disciplinary, misconduct, or capability processes</w:t>
            </w:r>
          </w:p>
          <w:p w:rsidR="00D61361" w:rsidRDefault="00433AF1">
            <w:pPr>
              <w:pStyle w:val="ListParagraph"/>
              <w:numPr>
                <w:ilvl w:val="0"/>
                <w:numId w:val="2"/>
              </w:numPr>
              <w:spacing w:before="20" w:after="20"/>
            </w:pPr>
            <w:r>
              <w:rPr>
                <w:sz w:val="19"/>
                <w:szCs w:val="19"/>
              </w:rPr>
              <w:t>Mental health and wellbein</w:t>
            </w:r>
            <w:r>
              <w:rPr>
                <w:sz w:val="19"/>
                <w:szCs w:val="19"/>
              </w:rPr>
              <w:t>g assessments within GP competence</w:t>
            </w:r>
          </w:p>
          <w:p w:rsidR="00D61361" w:rsidRDefault="00433AF1">
            <w:pPr>
              <w:pStyle w:val="ListParagraph"/>
              <w:numPr>
                <w:ilvl w:val="0"/>
                <w:numId w:val="2"/>
              </w:numPr>
              <w:spacing w:before="20" w:after="20"/>
            </w:pPr>
            <w:r>
              <w:rPr>
                <w:sz w:val="19"/>
                <w:szCs w:val="19"/>
              </w:rPr>
              <w:t>Complex cases — priced at the complex assessment rate</w:t>
            </w:r>
          </w:p>
        </w:tc>
        <w:tc>
          <w:tcPr>
            <w:tcW w:w="45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pPr>
              <w:pStyle w:val="ListParagraph"/>
              <w:numPr>
                <w:ilvl w:val="0"/>
                <w:numId w:val="2"/>
              </w:numPr>
              <w:spacing w:before="20" w:after="20"/>
            </w:pPr>
            <w:r>
              <w:rPr>
                <w:sz w:val="19"/>
                <w:szCs w:val="19"/>
              </w:rPr>
              <w:t>Safety-critical fitness assessments (e.g., HGV/LGV under DVLA Group 2 standards, aviation, maritime, offshore)</w:t>
            </w:r>
          </w:p>
          <w:p w:rsidR="00D61361" w:rsidRDefault="00433AF1">
            <w:pPr>
              <w:pStyle w:val="ListParagraph"/>
              <w:numPr>
                <w:ilvl w:val="0"/>
                <w:numId w:val="2"/>
              </w:numPr>
              <w:spacing w:before="20" w:after="20"/>
            </w:pPr>
            <w:r>
              <w:rPr>
                <w:sz w:val="19"/>
                <w:szCs w:val="19"/>
              </w:rPr>
              <w:t>Statutory health surveillance (e.g., COSHH Schedule 1, n</w:t>
            </w:r>
            <w:r>
              <w:rPr>
                <w:sz w:val="19"/>
                <w:szCs w:val="19"/>
              </w:rPr>
              <w:t>oise, asbestos)</w:t>
            </w:r>
          </w:p>
          <w:p w:rsidR="00D61361" w:rsidRDefault="00433AF1">
            <w:pPr>
              <w:pStyle w:val="ListParagraph"/>
              <w:numPr>
                <w:ilvl w:val="0"/>
                <w:numId w:val="2"/>
              </w:numPr>
              <w:spacing w:before="20" w:after="20"/>
            </w:pPr>
            <w:r>
              <w:rPr>
                <w:sz w:val="19"/>
                <w:szCs w:val="19"/>
              </w:rPr>
              <w:t>Any assessment requiring specialist occupational medicine accreditation</w:t>
            </w:r>
          </w:p>
          <w:p w:rsidR="00D61361" w:rsidRDefault="00433AF1">
            <w:pPr>
              <w:pStyle w:val="ListParagraph"/>
              <w:numPr>
                <w:ilvl w:val="0"/>
                <w:numId w:val="2"/>
              </w:numPr>
              <w:spacing w:before="20" w:after="20"/>
            </w:pPr>
            <w:r>
              <w:rPr>
                <w:sz w:val="19"/>
                <w:szCs w:val="19"/>
              </w:rPr>
              <w:t>Cases requiring specialist secondary care opinion that falls outside GP clinical competence</w:t>
            </w:r>
          </w:p>
        </w:tc>
      </w:tr>
    </w:tbl>
    <w:p w:rsidR="00D61361" w:rsidRDefault="00D61361">
      <w:pPr>
        <w:spacing w:before="8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D61361">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D61361" w:rsidRDefault="00433AF1">
            <w:r>
              <w:rPr>
                <w:i/>
                <w:iCs/>
                <w:color w:val="1B3A6B"/>
                <w:sz w:val="19"/>
                <w:szCs w:val="19"/>
              </w:rPr>
              <w:t>If you are unsure whether your referral falls within scope, contact us before submitting. We will triage it promptly and advise. Submitting a referral does not guarantee acceptance — scope is assessed at the point of triage.</w:t>
            </w:r>
          </w:p>
        </w:tc>
      </w:tr>
    </w:tbl>
    <w:p w:rsidR="00D61361" w:rsidRDefault="00D61361">
      <w:pPr>
        <w:spacing w:before="80"/>
      </w:pPr>
    </w:p>
    <w:p w:rsidR="00D61361" w:rsidRDefault="00433AF1">
      <w:pPr>
        <w:spacing w:before="400" w:after="120"/>
      </w:pPr>
      <w:r>
        <w:rPr>
          <w:b/>
          <w:bCs/>
          <w:color w:val="1B3A6B"/>
          <w:sz w:val="28"/>
          <w:szCs w:val="28"/>
        </w:rPr>
        <w:t>3.  How to Make a Referral</w:t>
      </w:r>
    </w:p>
    <w:p w:rsidR="00D61361" w:rsidRDefault="00D61361">
      <w:pPr>
        <w:pBdr>
          <w:bottom w:val="single" w:sz="6" w:space="1" w:color="1B3A6B"/>
        </w:pBdr>
        <w:spacing w:before="60" w:after="200"/>
      </w:pPr>
    </w:p>
    <w:p w:rsidR="00D61361" w:rsidRDefault="00433AF1">
      <w:pPr>
        <w:spacing w:before="280" w:after="100"/>
      </w:pPr>
      <w:proofErr w:type="gramStart"/>
      <w:r>
        <w:rPr>
          <w:b/>
          <w:bCs/>
          <w:color w:val="1B3A6B"/>
          <w:sz w:val="22"/>
          <w:szCs w:val="22"/>
        </w:rPr>
        <w:t>3.1  Referral</w:t>
      </w:r>
      <w:proofErr w:type="gramEnd"/>
      <w:r>
        <w:rPr>
          <w:b/>
          <w:bCs/>
          <w:color w:val="1B3A6B"/>
          <w:sz w:val="22"/>
          <w:szCs w:val="22"/>
        </w:rPr>
        <w:t xml:space="preserve"> Types</w:t>
      </w:r>
    </w:p>
    <w:p w:rsidR="00D61361" w:rsidRDefault="00433AF1">
      <w:pPr>
        <w:spacing w:before="60" w:after="100"/>
      </w:pPr>
      <w:r>
        <w:rPr>
          <w:color w:val="1A1A2E"/>
        </w:rPr>
        <w:t>HealthBridge accepts the following types of referral:</w:t>
      </w:r>
    </w:p>
    <w:p w:rsidR="00D61361" w:rsidRDefault="00D61361">
      <w:pPr>
        <w:spacing w:before="4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6426"/>
      </w:tblGrid>
      <w:tr w:rsidR="00D61361">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Referral Type</w:t>
            </w:r>
          </w:p>
        </w:tc>
        <w:tc>
          <w:tcPr>
            <w:tcW w:w="64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Description</w:t>
            </w:r>
          </w:p>
        </w:tc>
      </w:tr>
      <w:tr w:rsidR="00D61361">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Employer referral</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An employer or HR professional refers an employee for an OH assessment. The employer is the client and will receive the report (subject to employee consent). The employer is responsible for the assessment fee.</w:t>
            </w:r>
          </w:p>
        </w:tc>
      </w:tr>
      <w:tr w:rsidR="00D61361">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Self-referral (employee-initiated)</w:t>
            </w:r>
          </w:p>
        </w:tc>
        <w:tc>
          <w:tcPr>
            <w:tcW w:w="6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An employe</w:t>
            </w:r>
            <w:r>
              <w:rPr>
                <w:sz w:val="19"/>
                <w:szCs w:val="19"/>
              </w:rPr>
              <w:t>e initiates their own referral, typically for adjustment advice or wellbeing support. The employee funds the assessment. The report is the employee's own document and is shared with the employer only if the employee chooses to do so.</w:t>
            </w:r>
          </w:p>
        </w:tc>
      </w:tr>
    </w:tbl>
    <w:p w:rsidR="00D61361" w:rsidRDefault="00D61361">
      <w:pPr>
        <w:spacing w:before="80"/>
      </w:pPr>
    </w:p>
    <w:p w:rsidR="00D61361" w:rsidRDefault="00433AF1">
      <w:pPr>
        <w:spacing w:before="280" w:after="100"/>
      </w:pPr>
      <w:proofErr w:type="gramStart"/>
      <w:r>
        <w:rPr>
          <w:b/>
          <w:bCs/>
          <w:color w:val="1B3A6B"/>
          <w:sz w:val="22"/>
          <w:szCs w:val="22"/>
        </w:rPr>
        <w:t>3.2  What</w:t>
      </w:r>
      <w:proofErr w:type="gramEnd"/>
      <w:r>
        <w:rPr>
          <w:b/>
          <w:bCs/>
          <w:color w:val="1B3A6B"/>
          <w:sz w:val="22"/>
          <w:szCs w:val="22"/>
        </w:rPr>
        <w:t xml:space="preserve"> to Include</w:t>
      </w:r>
      <w:r>
        <w:rPr>
          <w:b/>
          <w:bCs/>
          <w:color w:val="1B3A6B"/>
          <w:sz w:val="22"/>
          <w:szCs w:val="22"/>
        </w:rPr>
        <w:t xml:space="preserve"> in a Referral</w:t>
      </w:r>
    </w:p>
    <w:p w:rsidR="00D61361" w:rsidRDefault="00433AF1">
      <w:pPr>
        <w:spacing w:before="60" w:after="100"/>
      </w:pPr>
      <w:r>
        <w:rPr>
          <w:color w:val="1A1A2E"/>
        </w:rPr>
        <w:t>All employer referrals must be submitted using the HealthBridge Referral Form (available at www.healthbridge.org.uk or on request). Referrals must include:</w:t>
      </w:r>
    </w:p>
    <w:p w:rsidR="00D61361" w:rsidRDefault="00D61361">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200"/>
        <w:gridCol w:w="5826"/>
      </w:tblGrid>
      <w:tr w:rsidR="00D61361">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Required Information</w:t>
            </w:r>
          </w:p>
        </w:tc>
        <w:tc>
          <w:tcPr>
            <w:tcW w:w="5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Notes</w:t>
            </w:r>
          </w:p>
        </w:tc>
      </w:tr>
      <w:tr w:rsidR="00D61361">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Completed HealthBridge Referral Form</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Submitted digitally by encrypted email or via the website referral form. Referral forms must be complete; incomplete referrals will be returned with a request for the missing information.</w:t>
            </w:r>
          </w:p>
        </w:tc>
      </w:tr>
      <w:tr w:rsidR="00D61361">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Employee details</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Full name, date of birth, contact email and phone number, job title.</w:t>
            </w:r>
          </w:p>
        </w:tc>
      </w:tr>
      <w:tr w:rsidR="00D61361">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Role information</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Brief description of the role and any relevant physical or cognitive demands. A job description is helpful but not mandatory — a clear written summary is sufficient.</w:t>
            </w:r>
          </w:p>
        </w:tc>
      </w:tr>
      <w:tr w:rsidR="00D61361">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Referral reason and OH question</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 clear statement of what the employer needs to know. For example: 'Is the employee currently fit for their role? What adjustments might support a return to work?' The more specific the question, the more targeted the report</w:t>
            </w:r>
            <w:r>
              <w:rPr>
                <w:sz w:val="19"/>
                <w:szCs w:val="19"/>
              </w:rPr>
              <w:t>.</w:t>
            </w:r>
          </w:p>
        </w:tc>
      </w:tr>
      <w:tr w:rsidR="00D61361">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Relevant background</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Absence history if relevant; any known medical context the employer is permitted to share; workplace context (e.g., ongoing disciplinary process, significant role change).</w:t>
            </w:r>
          </w:p>
        </w:tc>
      </w:tr>
      <w:tr w:rsidR="00D61361">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Accessibility requirements</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Any known language, communication</w:t>
            </w:r>
            <w:r>
              <w:rPr>
                <w:sz w:val="19"/>
                <w:szCs w:val="19"/>
              </w:rPr>
              <w:t>, or accessibility needs (e.g., BSL interpreter, language support). Identifying these at referral stage allows time to arrange appropriate provision.</w:t>
            </w:r>
          </w:p>
        </w:tc>
      </w:tr>
      <w:tr w:rsidR="00D61361">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Named report recipient(s)</w:t>
            </w:r>
          </w:p>
        </w:tc>
        <w:tc>
          <w:tcPr>
            <w:tcW w:w="5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The specific individuals (by name and role) who should receive the completed report. This information is shared with the employee as part of the consent process.</w:t>
            </w:r>
          </w:p>
        </w:tc>
      </w:tr>
    </w:tbl>
    <w:p w:rsidR="00D61361" w:rsidRDefault="00D61361">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D61361">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D61361" w:rsidRDefault="00433AF1">
            <w:r>
              <w:rPr>
                <w:i/>
                <w:iCs/>
                <w:color w:val="1B3A6B"/>
                <w:sz w:val="19"/>
                <w:szCs w:val="19"/>
              </w:rPr>
              <w:t>Employee photo ID is not required as part of the referral. Identity is confirmed verbally by</w:t>
            </w:r>
            <w:r>
              <w:rPr>
                <w:i/>
                <w:iCs/>
                <w:color w:val="1B3A6B"/>
                <w:sz w:val="19"/>
                <w:szCs w:val="19"/>
              </w:rPr>
              <w:t xml:space="preserve"> the employee at the start of the assessment. Requesting and storing unnecessary identification </w:t>
            </w:r>
            <w:r>
              <w:rPr>
                <w:i/>
                <w:iCs/>
                <w:color w:val="1B3A6B"/>
                <w:sz w:val="19"/>
                <w:szCs w:val="19"/>
              </w:rPr>
              <w:lastRenderedPageBreak/>
              <w:t>documents would constitute excessive data collection under UK GDPR.</w:t>
            </w:r>
          </w:p>
        </w:tc>
      </w:tr>
    </w:tbl>
    <w:p w:rsidR="00D61361" w:rsidRDefault="00D61361">
      <w:pPr>
        <w:spacing w:before="80"/>
      </w:pPr>
    </w:p>
    <w:p w:rsidR="00D61361" w:rsidRDefault="00433AF1">
      <w:pPr>
        <w:spacing w:before="280" w:after="100"/>
      </w:pPr>
      <w:proofErr w:type="gramStart"/>
      <w:r>
        <w:rPr>
          <w:b/>
          <w:bCs/>
          <w:color w:val="1B3A6B"/>
          <w:sz w:val="22"/>
          <w:szCs w:val="22"/>
        </w:rPr>
        <w:t>3.3  Referral</w:t>
      </w:r>
      <w:proofErr w:type="gramEnd"/>
      <w:r>
        <w:rPr>
          <w:b/>
          <w:bCs/>
          <w:color w:val="1B3A6B"/>
          <w:sz w:val="22"/>
          <w:szCs w:val="22"/>
        </w:rPr>
        <w:t xml:space="preserve"> Triage</w:t>
      </w:r>
    </w:p>
    <w:p w:rsidR="00D61361" w:rsidRDefault="00433AF1">
      <w:pPr>
        <w:spacing w:before="60" w:after="100"/>
      </w:pPr>
      <w:r>
        <w:rPr>
          <w:color w:val="1A1A2E"/>
        </w:rPr>
        <w:t>All referrals are triaged by the Clinical Lead within 1 working day of receipt. At triage, HealthBridge will:</w:t>
      </w:r>
    </w:p>
    <w:p w:rsidR="00D61361" w:rsidRDefault="00433AF1">
      <w:pPr>
        <w:pStyle w:val="ListParagraph"/>
        <w:numPr>
          <w:ilvl w:val="0"/>
          <w:numId w:val="2"/>
        </w:numPr>
        <w:spacing w:before="40" w:after="40"/>
      </w:pPr>
      <w:r>
        <w:t>Confirm the referral is within scope (see Section 2)</w:t>
      </w:r>
    </w:p>
    <w:p w:rsidR="00D61361" w:rsidRDefault="00433AF1">
      <w:pPr>
        <w:pStyle w:val="ListParagraph"/>
        <w:numPr>
          <w:ilvl w:val="0"/>
          <w:numId w:val="2"/>
        </w:numPr>
        <w:spacing w:before="40" w:after="40"/>
      </w:pPr>
      <w:r>
        <w:t>Identify any missing information and return the referral if incomplete, with a specific expla</w:t>
      </w:r>
      <w:r>
        <w:t>nation</w:t>
      </w:r>
    </w:p>
    <w:p w:rsidR="00D61361" w:rsidRDefault="00433AF1">
      <w:pPr>
        <w:pStyle w:val="ListParagraph"/>
        <w:numPr>
          <w:ilvl w:val="0"/>
          <w:numId w:val="2"/>
        </w:numPr>
        <w:spacing w:before="40" w:after="40"/>
      </w:pPr>
      <w:r>
        <w:t>Classify the referral as Routine or Urgent (see Section 4)</w:t>
      </w:r>
    </w:p>
    <w:p w:rsidR="00D61361" w:rsidRDefault="00433AF1">
      <w:pPr>
        <w:pStyle w:val="ListParagraph"/>
        <w:numPr>
          <w:ilvl w:val="0"/>
          <w:numId w:val="2"/>
        </w:numPr>
        <w:spacing w:before="40" w:after="40"/>
      </w:pPr>
      <w:r>
        <w:t>Contact the employee directly to arrange the appointment and issue the pre-assessment information and consent documentation</w:t>
      </w:r>
    </w:p>
    <w:p w:rsidR="00D61361" w:rsidRDefault="00D61361">
      <w:pPr>
        <w:spacing w:before="60"/>
      </w:pPr>
    </w:p>
    <w:p w:rsidR="00D61361" w:rsidRDefault="00433AF1">
      <w:pPr>
        <w:spacing w:before="60" w:after="100"/>
      </w:pPr>
      <w:r>
        <w:rPr>
          <w:color w:val="1A1A2E"/>
        </w:rPr>
        <w:t xml:space="preserve">Where a referral is outside scope, the employer will be notified </w:t>
      </w:r>
      <w:r>
        <w:rPr>
          <w:color w:val="1A1A2E"/>
        </w:rPr>
        <w:t>promptly with a clear explanation and, where possible, a recommendation for an appropriate alternative provider. The referral fee does not apply for declined referrals.</w:t>
      </w:r>
    </w:p>
    <w:p w:rsidR="00D61361" w:rsidRDefault="00D61361">
      <w:pPr>
        <w:spacing w:before="80"/>
      </w:pPr>
    </w:p>
    <w:p w:rsidR="00D61361" w:rsidRDefault="00433AF1">
      <w:pPr>
        <w:spacing w:before="400" w:after="120"/>
      </w:pPr>
      <w:r>
        <w:rPr>
          <w:b/>
          <w:bCs/>
          <w:color w:val="1B3A6B"/>
          <w:sz w:val="28"/>
          <w:szCs w:val="28"/>
        </w:rPr>
        <w:t>4.  Appointment Scheduling</w:t>
      </w:r>
    </w:p>
    <w:p w:rsidR="00D61361" w:rsidRDefault="00D61361">
      <w:pPr>
        <w:pBdr>
          <w:bottom w:val="single" w:sz="6" w:space="1" w:color="1B3A6B"/>
        </w:pBdr>
        <w:spacing w:before="60" w:after="200"/>
      </w:pPr>
    </w:p>
    <w:p w:rsidR="00D61361" w:rsidRDefault="00433AF1">
      <w:pPr>
        <w:spacing w:before="60" w:after="100"/>
      </w:pPr>
      <w:r>
        <w:rPr>
          <w:color w:val="1A1A2E"/>
        </w:rPr>
        <w:t>Appointments are arranged directly between HealthBridge and the employee, with the employer copied on scheduling correspondence. Appointment availability is subject to the Clinical Lead's schedule.</w:t>
      </w:r>
    </w:p>
    <w:p w:rsidR="00D61361" w:rsidRDefault="00D61361">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3313"/>
        <w:gridCol w:w="3313"/>
      </w:tblGrid>
      <w:tr w:rsidR="00D61361">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Classification</w:t>
            </w:r>
          </w:p>
        </w:tc>
        <w:tc>
          <w:tcPr>
            <w:tcW w:w="33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Routine</w:t>
            </w:r>
          </w:p>
        </w:tc>
        <w:tc>
          <w:tcPr>
            <w:tcW w:w="33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Urgent / Priority</w:t>
            </w:r>
          </w:p>
        </w:tc>
      </w:tr>
      <w:tr w:rsidR="00D61361">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Appointment scheduling</w:t>
            </w:r>
          </w:p>
        </w:tc>
        <w:tc>
          <w:tcPr>
            <w:tcW w:w="33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Within 3-5 working days of referral acceptance</w:t>
            </w:r>
          </w:p>
        </w:tc>
        <w:tc>
          <w:tcPr>
            <w:tcW w:w="33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Within 3-5 working days — same availability applies. Priority cases are flagged to minimise delay but cannot be guaranteed sooner than routine cases.</w:t>
            </w:r>
          </w:p>
        </w:tc>
      </w:tr>
      <w:tr w:rsidR="00D61361">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Typical use cases</w:t>
            </w:r>
          </w:p>
        </w:tc>
        <w:tc>
          <w:tcPr>
            <w:tcW w:w="33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Return to work advice; adjustment planning; wellbeing assessments; long-term absence reviews</w:t>
            </w:r>
          </w:p>
        </w:tc>
        <w:tc>
          <w:tcPr>
            <w:tcW w:w="33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Active disciplinary or capability process; suspension; imminent employment decision; employee on a short-term sick note expiring imminently</w:t>
            </w:r>
          </w:p>
        </w:tc>
      </w:tr>
    </w:tbl>
    <w:p w:rsidR="00D61361" w:rsidRDefault="00D61361">
      <w:pPr>
        <w:spacing w:before="60"/>
      </w:pPr>
    </w:p>
    <w:p w:rsidR="00D61361" w:rsidRDefault="00433AF1">
      <w:pPr>
        <w:spacing w:before="60" w:after="100"/>
      </w:pPr>
      <w:r>
        <w:rPr>
          <w:color w:val="1A1A2E"/>
        </w:rPr>
        <w:t>Employers should indi</w:t>
      </w:r>
      <w:r>
        <w:rPr>
          <w:color w:val="1A1A2E"/>
        </w:rPr>
        <w:t>cate at the point of referral if the case is urgent and explain why. This allows HealthBridge to prioritise scheduling appropriately within available capacity.</w:t>
      </w:r>
    </w:p>
    <w:p w:rsidR="00D61361" w:rsidRDefault="00D61361">
      <w:pPr>
        <w:spacing w:before="80"/>
      </w:pPr>
    </w:p>
    <w:p w:rsidR="00D61361" w:rsidRDefault="00433AF1">
      <w:pPr>
        <w:spacing w:before="400" w:after="120"/>
      </w:pPr>
      <w:r>
        <w:rPr>
          <w:b/>
          <w:bCs/>
          <w:color w:val="1B3A6B"/>
          <w:sz w:val="28"/>
          <w:szCs w:val="28"/>
        </w:rPr>
        <w:t>5.  The Assessment</w:t>
      </w:r>
    </w:p>
    <w:p w:rsidR="00D61361" w:rsidRDefault="00D61361">
      <w:pPr>
        <w:pBdr>
          <w:bottom w:val="single" w:sz="6" w:space="1" w:color="1B3A6B"/>
        </w:pBdr>
        <w:spacing w:before="60" w:after="200"/>
      </w:pPr>
    </w:p>
    <w:p w:rsidR="00D61361" w:rsidRDefault="00433AF1">
      <w:pPr>
        <w:spacing w:before="60" w:after="100"/>
      </w:pPr>
      <w:r>
        <w:rPr>
          <w:color w:val="1A1A2E"/>
        </w:rPr>
        <w:t>All HealthBridge assessments are conducted remotely by video or telephone by the Clinical Lead (Dr. James Stanley, GMC No. 7285162). Before the assessment begins, the employee will be:</w:t>
      </w:r>
    </w:p>
    <w:p w:rsidR="00D61361" w:rsidRDefault="00433AF1">
      <w:pPr>
        <w:pStyle w:val="ListParagraph"/>
        <w:numPr>
          <w:ilvl w:val="0"/>
          <w:numId w:val="2"/>
        </w:numPr>
        <w:spacing w:before="40" w:after="40"/>
      </w:pPr>
      <w:r>
        <w:t>Informed of the purpose of the assessment, who requested it, and who wi</w:t>
      </w:r>
      <w:r>
        <w:t>ll receive the report</w:t>
      </w:r>
    </w:p>
    <w:p w:rsidR="00D61361" w:rsidRDefault="00433AF1">
      <w:pPr>
        <w:pStyle w:val="ListParagraph"/>
        <w:numPr>
          <w:ilvl w:val="0"/>
          <w:numId w:val="2"/>
        </w:numPr>
        <w:spacing w:before="40" w:after="40"/>
      </w:pPr>
      <w:r>
        <w:t>Given the opportunity to ask questions</w:t>
      </w:r>
    </w:p>
    <w:p w:rsidR="00D61361" w:rsidRDefault="00433AF1">
      <w:pPr>
        <w:pStyle w:val="ListParagraph"/>
        <w:numPr>
          <w:ilvl w:val="0"/>
          <w:numId w:val="2"/>
        </w:numPr>
        <w:spacing w:before="40" w:after="40"/>
      </w:pPr>
      <w:r>
        <w:t>Asked to confirm their consent to proceed with the assessment</w:t>
      </w:r>
    </w:p>
    <w:p w:rsidR="00D61361" w:rsidRDefault="00D61361">
      <w:pPr>
        <w:spacing w:before="60"/>
      </w:pPr>
    </w:p>
    <w:p w:rsidR="00D61361" w:rsidRDefault="00433AF1">
      <w:pPr>
        <w:spacing w:before="60" w:after="100"/>
      </w:pPr>
      <w:r>
        <w:rPr>
          <w:color w:val="1A1A2E"/>
        </w:rPr>
        <w:lastRenderedPageBreak/>
        <w:t>The assessment is conducted in accordance with the Consent Policy and Confidentiality Policy. No assessment proceeds without the emp</w:t>
      </w:r>
      <w:r>
        <w:rPr>
          <w:color w:val="1A1A2E"/>
        </w:rPr>
        <w:t>loyee's informed consent. The Clinical Lead may request additional clinical information from a treating clinician (e.g., a GP or specialist letter) with the employee's separate, documented consent.</w:t>
      </w:r>
    </w:p>
    <w:p w:rsidR="00D61361" w:rsidRDefault="00D61361">
      <w:pPr>
        <w:spacing w:before="80"/>
      </w:pPr>
    </w:p>
    <w:p w:rsidR="00D61361" w:rsidRDefault="00433AF1">
      <w:pPr>
        <w:spacing w:before="400" w:after="120"/>
      </w:pPr>
      <w:r>
        <w:rPr>
          <w:b/>
          <w:bCs/>
          <w:color w:val="1B3A6B"/>
          <w:sz w:val="28"/>
          <w:szCs w:val="28"/>
        </w:rPr>
        <w:t>6.  OH Report Standards</w:t>
      </w:r>
    </w:p>
    <w:p w:rsidR="00D61361" w:rsidRDefault="00D61361">
      <w:pPr>
        <w:pBdr>
          <w:bottom w:val="single" w:sz="6" w:space="1" w:color="1B3A6B"/>
        </w:pBdr>
        <w:spacing w:before="60" w:after="200"/>
      </w:pPr>
    </w:p>
    <w:p w:rsidR="00D61361" w:rsidRDefault="00433AF1">
      <w:pPr>
        <w:spacing w:before="280" w:after="100"/>
      </w:pPr>
      <w:proofErr w:type="gramStart"/>
      <w:r>
        <w:rPr>
          <w:b/>
          <w:bCs/>
          <w:color w:val="1B3A6B"/>
          <w:sz w:val="22"/>
          <w:szCs w:val="22"/>
        </w:rPr>
        <w:t>6.1  What</w:t>
      </w:r>
      <w:proofErr w:type="gramEnd"/>
      <w:r>
        <w:rPr>
          <w:b/>
          <w:bCs/>
          <w:color w:val="1B3A6B"/>
          <w:sz w:val="22"/>
          <w:szCs w:val="22"/>
        </w:rPr>
        <w:t xml:space="preserve"> Every Report Contains</w:t>
      </w:r>
    </w:p>
    <w:p w:rsidR="00D61361" w:rsidRDefault="00433AF1">
      <w:pPr>
        <w:spacing w:before="60" w:after="100"/>
      </w:pPr>
      <w:r>
        <w:rPr>
          <w:color w:val="1A1A2E"/>
        </w:rPr>
        <w:t>All HealthBridge OH reports are structured to provide clear, actionable information to the employer while protecting employee confidentiality. Every report includes:</w:t>
      </w:r>
    </w:p>
    <w:p w:rsidR="00D61361" w:rsidRDefault="00D61361">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6026"/>
      </w:tblGrid>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Section</w:t>
            </w:r>
          </w:p>
        </w:tc>
        <w:tc>
          <w:tcPr>
            <w:tcW w:w="6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Content</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Identification</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Employee name, date of birth, job title, employer, date of assessment, assessing clinician.</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Referral questions addressed</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 direct response to each question posed in the referral. Reports are structured around the employer'</w:t>
            </w:r>
            <w:r>
              <w:rPr>
                <w:sz w:val="19"/>
                <w:szCs w:val="19"/>
              </w:rPr>
              <w:t>s stated OH questions, not a generic clinical write-up.</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Functional assessment</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 clinical opinion on the employee's functional capacity in relation to their role. This is work-relevant clinical information only — not a clinical summary of the employee'</w:t>
            </w:r>
            <w:r>
              <w:rPr>
                <w:sz w:val="19"/>
                <w:szCs w:val="19"/>
              </w:rPr>
              <w:t>s medical history.</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Fitness opinion</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 clear clinical classification: Fit for current role / Fit with adjustments / Currently unfit (with estimated duration, where possible) / Requires further specialist assessment.</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Recommended adjustments (if applicable)</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Practical workplace recommendations where adjustments may support the employee's health or return to work. Recommendations are clinical in nature; the employer is responsible for assessing the feasibility and cost of any adjustment.</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Equality Act 2010 note</w:t>
            </w:r>
            <w:r>
              <w:rPr>
                <w:b/>
                <w:bCs/>
                <w:sz w:val="19"/>
                <w:szCs w:val="19"/>
              </w:rPr>
              <w:t xml:space="preserve"> (if applicable)</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Where the employee's condition may meet the EA 2010 definition of disability, this is noted and the employer is advised to take appropriate legal advice regarding their reasonable adjustment obligations.</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Advisory disclaimer</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Every report includes the standard HealthBridge advisory disclaimer: 'This report represents the professional clinical opinion of the assessing GP for workplace decision-making purposes. Employment decisions remain the sole responsibility of the employer.'</w:t>
            </w:r>
          </w:p>
        </w:tc>
      </w:tr>
    </w:tbl>
    <w:p w:rsidR="00D61361" w:rsidRDefault="00D61361">
      <w:pPr>
        <w:spacing w:before="80"/>
      </w:pPr>
    </w:p>
    <w:p w:rsidR="00D61361" w:rsidRDefault="00433AF1">
      <w:pPr>
        <w:spacing w:before="280" w:after="100"/>
      </w:pPr>
      <w:proofErr w:type="gramStart"/>
      <w:r>
        <w:rPr>
          <w:b/>
          <w:bCs/>
          <w:color w:val="1B3A6B"/>
          <w:sz w:val="22"/>
          <w:szCs w:val="22"/>
        </w:rPr>
        <w:t>6.2  What</w:t>
      </w:r>
      <w:proofErr w:type="gramEnd"/>
      <w:r>
        <w:rPr>
          <w:b/>
          <w:bCs/>
          <w:color w:val="1B3A6B"/>
          <w:sz w:val="22"/>
          <w:szCs w:val="22"/>
        </w:rPr>
        <w:t xml:space="preserve"> Reports Do Not Contain</w:t>
      </w:r>
    </w:p>
    <w:p w:rsidR="00D61361" w:rsidRDefault="00433AF1">
      <w:pPr>
        <w:spacing w:before="60" w:after="100"/>
      </w:pPr>
      <w:r>
        <w:rPr>
          <w:color w:val="1A1A2E"/>
        </w:rPr>
        <w:t>To protect employee confidentiality, HealthBridge reports do not contain:</w:t>
      </w:r>
    </w:p>
    <w:p w:rsidR="00D61361" w:rsidRDefault="00433AF1">
      <w:pPr>
        <w:pStyle w:val="ListParagraph"/>
        <w:numPr>
          <w:ilvl w:val="0"/>
          <w:numId w:val="2"/>
        </w:numPr>
        <w:spacing w:before="40" w:after="40"/>
      </w:pPr>
      <w:r>
        <w:t>Clinical diagnoses — unless the employee has given explicit consent for a specific diagnosis to be disclosed</w:t>
      </w:r>
    </w:p>
    <w:p w:rsidR="00D61361" w:rsidRDefault="00433AF1">
      <w:pPr>
        <w:pStyle w:val="ListParagraph"/>
        <w:numPr>
          <w:ilvl w:val="0"/>
          <w:numId w:val="2"/>
        </w:numPr>
        <w:spacing w:before="40" w:after="40"/>
      </w:pPr>
      <w:r>
        <w:t xml:space="preserve">Medication names or dosages — unless </w:t>
      </w:r>
      <w:r>
        <w:t>directly relevant to functional capacity and specifically consented</w:t>
      </w:r>
    </w:p>
    <w:p w:rsidR="00D61361" w:rsidRDefault="00433AF1">
      <w:pPr>
        <w:pStyle w:val="ListParagraph"/>
        <w:numPr>
          <w:ilvl w:val="0"/>
          <w:numId w:val="2"/>
        </w:numPr>
        <w:spacing w:before="40" w:after="40"/>
      </w:pPr>
      <w:r>
        <w:t>Medical history beyond what is directly relevant to the occupational health question</w:t>
      </w:r>
    </w:p>
    <w:p w:rsidR="00D61361" w:rsidRDefault="00433AF1">
      <w:pPr>
        <w:pStyle w:val="ListParagraph"/>
        <w:numPr>
          <w:ilvl w:val="0"/>
          <w:numId w:val="2"/>
        </w:numPr>
        <w:spacing w:before="40" w:after="40"/>
      </w:pPr>
      <w:r>
        <w:t>Information the employee has specifically requested to withhold that is not directly material to the re</w:t>
      </w:r>
      <w:r>
        <w:t>ferral question</w:t>
      </w:r>
    </w:p>
    <w:p w:rsidR="00D61361" w:rsidRDefault="00D61361">
      <w:pPr>
        <w:spacing w:before="80"/>
      </w:pPr>
    </w:p>
    <w:p w:rsidR="00D61361" w:rsidRDefault="00433AF1">
      <w:pPr>
        <w:spacing w:before="280" w:after="100"/>
      </w:pPr>
      <w:proofErr w:type="gramStart"/>
      <w:r>
        <w:rPr>
          <w:b/>
          <w:bCs/>
          <w:color w:val="1B3A6B"/>
          <w:sz w:val="22"/>
          <w:szCs w:val="22"/>
        </w:rPr>
        <w:lastRenderedPageBreak/>
        <w:t>6.3  Report</w:t>
      </w:r>
      <w:proofErr w:type="gramEnd"/>
      <w:r>
        <w:rPr>
          <w:b/>
          <w:bCs/>
          <w:color w:val="1B3A6B"/>
          <w:sz w:val="22"/>
          <w:szCs w:val="22"/>
        </w:rPr>
        <w:t xml:space="preserve"> Turnaround and Release</w:t>
      </w:r>
    </w:p>
    <w:p w:rsidR="00D61361" w:rsidRDefault="00D61361">
      <w:pPr>
        <w:spacing w:before="4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D61361">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D61361" w:rsidRDefault="00433AF1">
            <w:r>
              <w:rPr>
                <w:i/>
                <w:iCs/>
                <w:color w:val="1B3A6B"/>
                <w:sz w:val="19"/>
                <w:szCs w:val="19"/>
              </w:rPr>
              <w:t>All reports are subject to the Access to Medical Reports Act 1988. The employee has the right to review the report before it is released to the employer. The report is NOT automatically sent to the employer on completion — release requires the employee's e</w:t>
            </w:r>
            <w:r>
              <w:rPr>
                <w:i/>
                <w:iCs/>
                <w:color w:val="1B3A6B"/>
                <w:sz w:val="19"/>
                <w:szCs w:val="19"/>
              </w:rPr>
              <w:t>xplicit consent. This applies to all reports, regardless of urgency.</w:t>
            </w:r>
          </w:p>
        </w:tc>
      </w:tr>
    </w:tbl>
    <w:p w:rsidR="00D61361" w:rsidRDefault="00D61361">
      <w:pPr>
        <w:spacing w:before="10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3013"/>
        <w:gridCol w:w="3013"/>
      </w:tblGrid>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Stage</w:t>
            </w:r>
          </w:p>
        </w:tc>
        <w:tc>
          <w:tcPr>
            <w:tcW w:w="30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Routine</w:t>
            </w:r>
          </w:p>
        </w:tc>
        <w:tc>
          <w:tcPr>
            <w:tcW w:w="30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Urgent / Priority</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Draft report completed</w:t>
            </w:r>
          </w:p>
        </w:tc>
        <w:tc>
          <w:tcPr>
            <w:tcW w:w="30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Within 3-5 working days of assessment</w:t>
            </w:r>
          </w:p>
        </w:tc>
        <w:tc>
          <w:tcPr>
            <w:tcW w:w="30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Within 24-48 hours of assessment</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Employee review window</w:t>
            </w:r>
          </w:p>
        </w:tc>
        <w:tc>
          <w:tcPr>
            <w:tcW w:w="30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7 calendar days from draft completion (AMRA 1988). Employee may waive this in writing if they wish to release sooner.</w:t>
            </w:r>
          </w:p>
        </w:tc>
        <w:tc>
          <w:tcPr>
            <w:tcW w:w="30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Same — 7 calendar days applies regardless of urgency. Employee may choose to waive or expedite review if they wish.</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Report released to em</w:t>
            </w:r>
            <w:r>
              <w:rPr>
                <w:b/>
                <w:bCs/>
                <w:sz w:val="19"/>
                <w:szCs w:val="19"/>
              </w:rPr>
              <w:t>ployer</w:t>
            </w:r>
          </w:p>
        </w:tc>
        <w:tc>
          <w:tcPr>
            <w:tcW w:w="30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Following employee's confirmed consent to release. Not before.</w:t>
            </w:r>
          </w:p>
        </w:tc>
        <w:tc>
          <w:tcPr>
            <w:tcW w:w="30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Following employee's confirmed consent to release. Not before.</w:t>
            </w:r>
          </w:p>
        </w:tc>
      </w:tr>
    </w:tbl>
    <w:p w:rsidR="00D61361" w:rsidRDefault="00D61361">
      <w:pPr>
        <w:spacing w:before="60"/>
      </w:pPr>
    </w:p>
    <w:p w:rsidR="00D61361" w:rsidRDefault="00433AF1">
      <w:pPr>
        <w:spacing w:before="60" w:after="100"/>
      </w:pPr>
      <w:r>
        <w:rPr>
          <w:color w:val="1A1A2E"/>
        </w:rPr>
        <w:t>Employers should factor the employee review window into their planning. A typical end-to-end timeframe from referral acce</w:t>
      </w:r>
      <w:r>
        <w:rPr>
          <w:color w:val="1A1A2E"/>
        </w:rPr>
        <w:t>ptance to report in the employer's hands is approximately 2 weeks for a routine case, assuming the employee engages promptly and consents to release within the standard 7-day window.</w:t>
      </w:r>
    </w:p>
    <w:p w:rsidR="00D61361" w:rsidRDefault="00D61361">
      <w:pPr>
        <w:spacing w:before="80"/>
      </w:pPr>
    </w:p>
    <w:p w:rsidR="00D61361" w:rsidRDefault="00433AF1">
      <w:pPr>
        <w:spacing w:before="280" w:after="100"/>
      </w:pPr>
      <w:proofErr w:type="gramStart"/>
      <w:r>
        <w:rPr>
          <w:b/>
          <w:bCs/>
          <w:color w:val="1B3A6B"/>
          <w:sz w:val="22"/>
          <w:szCs w:val="22"/>
        </w:rPr>
        <w:t>6.4  Minor</w:t>
      </w:r>
      <w:proofErr w:type="gramEnd"/>
      <w:r>
        <w:rPr>
          <w:b/>
          <w:bCs/>
          <w:color w:val="1B3A6B"/>
          <w:sz w:val="22"/>
          <w:szCs w:val="22"/>
        </w:rPr>
        <w:t xml:space="preserve"> Report Amendments</w:t>
      </w:r>
    </w:p>
    <w:p w:rsidR="00D61361" w:rsidRDefault="00433AF1">
      <w:pPr>
        <w:spacing w:before="60" w:after="100"/>
      </w:pPr>
      <w:r>
        <w:rPr>
          <w:color w:val="1A1A2E"/>
        </w:rPr>
        <w:t xml:space="preserve">Where a minor factual or typographical error is identified in a released report, HealthBridge will correct it at no charge within 7 days of report release. Where the employee requests an amendment to the clinical content they disagree with, the process in </w:t>
      </w:r>
      <w:r>
        <w:rPr>
          <w:color w:val="1A1A2E"/>
        </w:rPr>
        <w:t>the Consent Policy (Section 7 — AMRA 1988) and the Complaints Policy applies.</w:t>
      </w:r>
    </w:p>
    <w:p w:rsidR="00D61361" w:rsidRDefault="00D61361">
      <w:pPr>
        <w:spacing w:before="80"/>
      </w:pPr>
    </w:p>
    <w:p w:rsidR="00D61361" w:rsidRDefault="00433AF1">
      <w:pPr>
        <w:spacing w:before="400" w:after="120"/>
      </w:pPr>
      <w:r>
        <w:rPr>
          <w:b/>
          <w:bCs/>
          <w:color w:val="1B3A6B"/>
          <w:sz w:val="28"/>
          <w:szCs w:val="28"/>
        </w:rPr>
        <w:t>7.  Data Handling</w:t>
      </w:r>
    </w:p>
    <w:p w:rsidR="00D61361" w:rsidRDefault="00D61361">
      <w:pPr>
        <w:pBdr>
          <w:bottom w:val="single" w:sz="6" w:space="1" w:color="1B3A6B"/>
        </w:pBdr>
        <w:spacing w:before="60" w:after="200"/>
      </w:pPr>
    </w:p>
    <w:p w:rsidR="00D61361" w:rsidRDefault="00433AF1">
      <w:pPr>
        <w:spacing w:before="60" w:after="100"/>
      </w:pPr>
      <w:r>
        <w:rPr>
          <w:color w:val="1A1A2E"/>
        </w:rPr>
        <w:t>All referral documentation and OH reports are handled in accordance with the Confidentiality Policy and the Medical Records Retention Policy. In summary:</w:t>
      </w:r>
    </w:p>
    <w:p w:rsidR="00D61361" w:rsidRDefault="00D61361">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3213"/>
        <w:gridCol w:w="3213"/>
      </w:tblGrid>
      <w:tr w:rsidR="00D61361">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Dat</w:t>
            </w:r>
            <w:r>
              <w:rPr>
                <w:b/>
                <w:bCs/>
                <w:color w:val="FFFFFF"/>
                <w:sz w:val="19"/>
                <w:szCs w:val="19"/>
              </w:rPr>
              <w:t>a Type</w:t>
            </w:r>
          </w:p>
        </w:tc>
        <w:tc>
          <w:tcPr>
            <w:tcW w:w="32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Storage</w:t>
            </w:r>
          </w:p>
        </w:tc>
        <w:tc>
          <w:tcPr>
            <w:tcW w:w="32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Transmission</w:t>
            </w:r>
          </w:p>
        </w:tc>
      </w:tr>
      <w:tr w:rsidR="00D61361">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OH reports (clinical records)</w:t>
            </w:r>
          </w:p>
        </w:tc>
        <w:tc>
          <w:tcPr>
            <w:tcW w:w="32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AES-256 encrypted cloud storage; access restricted to Clinical Lead</w:t>
            </w:r>
          </w:p>
        </w:tc>
        <w:tc>
          <w:tcPr>
            <w:tcW w:w="32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Encrypted email only — standard unencrypted email is not used for clinical content</w:t>
            </w:r>
          </w:p>
        </w:tc>
      </w:tr>
      <w:tr w:rsidR="00D61361">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Referral documentation</w:t>
            </w:r>
          </w:p>
        </w:tc>
        <w:tc>
          <w:tcPr>
            <w:tcW w:w="32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AES-256 encrypted storage; password-protected</w:t>
            </w:r>
          </w:p>
        </w:tc>
        <w:tc>
          <w:tcPr>
            <w:tcW w:w="32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Encrypted email; secure web form</w:t>
            </w:r>
          </w:p>
        </w:tc>
      </w:tr>
      <w:tr w:rsidR="00D61361">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b/>
                <w:bCs/>
                <w:sz w:val="19"/>
                <w:szCs w:val="19"/>
              </w:rPr>
              <w:t>Consent records</w:t>
            </w:r>
          </w:p>
        </w:tc>
        <w:tc>
          <w:tcPr>
            <w:tcW w:w="32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Retained with the associated clinical record</w:t>
            </w:r>
          </w:p>
        </w:tc>
        <w:tc>
          <w:tcPr>
            <w:tcW w:w="32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Not transmitted separately</w:t>
            </w:r>
          </w:p>
        </w:tc>
      </w:tr>
    </w:tbl>
    <w:p w:rsidR="00D61361" w:rsidRDefault="00D61361">
      <w:pPr>
        <w:spacing w:before="60"/>
      </w:pPr>
    </w:p>
    <w:p w:rsidR="00D61361" w:rsidRDefault="00433AF1">
      <w:pPr>
        <w:spacing w:before="60" w:after="100"/>
      </w:pPr>
      <w:r>
        <w:rPr>
          <w:color w:val="1A1A2E"/>
        </w:rPr>
        <w:lastRenderedPageBreak/>
        <w:t>Retention periods: OH reports and clinical records — 8 years from last contact (NHS En</w:t>
      </w:r>
      <w:r>
        <w:rPr>
          <w:color w:val="1A1A2E"/>
        </w:rPr>
        <w:t xml:space="preserve">gland Records Management Code of Practice 2023). </w:t>
      </w:r>
      <w:proofErr w:type="gramStart"/>
      <w:r>
        <w:rPr>
          <w:color w:val="1A1A2E"/>
        </w:rPr>
        <w:t>Referral documentation — 8 years from case closure.</w:t>
      </w:r>
      <w:proofErr w:type="gramEnd"/>
      <w:r>
        <w:rPr>
          <w:color w:val="1A1A2E"/>
        </w:rPr>
        <w:t xml:space="preserve"> </w:t>
      </w:r>
      <w:proofErr w:type="gramStart"/>
      <w:r>
        <w:rPr>
          <w:color w:val="1A1A2E"/>
        </w:rPr>
        <w:t>Full schedule in the Medical Records Retention Policy.</w:t>
      </w:r>
      <w:proofErr w:type="gramEnd"/>
    </w:p>
    <w:p w:rsidR="00D61361" w:rsidRDefault="00D61361">
      <w:pPr>
        <w:spacing w:before="80"/>
      </w:pPr>
    </w:p>
    <w:p w:rsidR="00D61361" w:rsidRDefault="00433AF1">
      <w:pPr>
        <w:spacing w:before="400" w:after="120"/>
      </w:pPr>
      <w:r>
        <w:rPr>
          <w:b/>
          <w:bCs/>
          <w:color w:val="1B3A6B"/>
          <w:sz w:val="28"/>
          <w:szCs w:val="28"/>
        </w:rPr>
        <w:t>8.  Employer Responsibilities</w:t>
      </w:r>
    </w:p>
    <w:p w:rsidR="00D61361" w:rsidRDefault="00D61361">
      <w:pPr>
        <w:pBdr>
          <w:bottom w:val="single" w:sz="6" w:space="1" w:color="1B3A6B"/>
        </w:pBdr>
        <w:spacing w:before="60" w:after="200"/>
      </w:pPr>
    </w:p>
    <w:p w:rsidR="00D61361" w:rsidRDefault="00433AF1">
      <w:pPr>
        <w:spacing w:before="60" w:after="100"/>
      </w:pPr>
      <w:r>
        <w:rPr>
          <w:color w:val="1A1A2E"/>
        </w:rPr>
        <w:t>By submitting a referral, the referring employer accepts the following responsibilities:</w:t>
      </w:r>
    </w:p>
    <w:p w:rsidR="00D61361" w:rsidRDefault="00433AF1">
      <w:pPr>
        <w:pStyle w:val="ListParagraph"/>
        <w:numPr>
          <w:ilvl w:val="0"/>
          <w:numId w:val="2"/>
        </w:numPr>
        <w:spacing w:before="40" w:after="40"/>
      </w:pPr>
      <w:r>
        <w:t>Ensuring the employee is aware that a referral has been made, the identity of the OH provider, and the purpose of the assessment — before the referral is submitted</w:t>
      </w:r>
    </w:p>
    <w:p w:rsidR="00D61361" w:rsidRDefault="00433AF1">
      <w:pPr>
        <w:pStyle w:val="ListParagraph"/>
        <w:numPr>
          <w:ilvl w:val="0"/>
          <w:numId w:val="2"/>
        </w:numPr>
        <w:spacing w:before="40" w:after="40"/>
      </w:pPr>
      <w:r>
        <w:t>Not placing pressure on the employee to consent to the assessment or to release the report (see Consent Policy, Section 9)</w:t>
      </w:r>
    </w:p>
    <w:p w:rsidR="00D61361" w:rsidRDefault="00433AF1">
      <w:pPr>
        <w:pStyle w:val="ListParagraph"/>
        <w:numPr>
          <w:ilvl w:val="0"/>
          <w:numId w:val="2"/>
        </w:numPr>
        <w:spacing w:before="40" w:after="40"/>
      </w:pPr>
      <w:r>
        <w:t>Storing the OH report securely once received, limiting access to those with a legitimate need (typically named HR contacts and the re</w:t>
      </w:r>
      <w:r>
        <w:t>levant line manager)</w:t>
      </w:r>
    </w:p>
    <w:p w:rsidR="00D61361" w:rsidRDefault="00433AF1">
      <w:pPr>
        <w:pStyle w:val="ListParagraph"/>
        <w:numPr>
          <w:ilvl w:val="0"/>
          <w:numId w:val="2"/>
        </w:numPr>
        <w:spacing w:before="40" w:after="40"/>
      </w:pPr>
      <w:r>
        <w:t>Treating the report as confidential and not distributing it beyond those named as report recipients at the time of consent</w:t>
      </w:r>
    </w:p>
    <w:p w:rsidR="00D61361" w:rsidRDefault="00433AF1">
      <w:pPr>
        <w:pStyle w:val="ListParagraph"/>
        <w:numPr>
          <w:ilvl w:val="0"/>
          <w:numId w:val="2"/>
        </w:numPr>
        <w:spacing w:before="40" w:after="40"/>
      </w:pPr>
      <w:r>
        <w:t>Deleting or destroying the report at the end of the employer's own reasonable retention period or at the employe</w:t>
      </w:r>
      <w:r>
        <w:t>e's lawful request</w:t>
      </w:r>
    </w:p>
    <w:p w:rsidR="00D61361" w:rsidRDefault="00433AF1">
      <w:pPr>
        <w:pStyle w:val="ListParagraph"/>
        <w:numPr>
          <w:ilvl w:val="0"/>
          <w:numId w:val="2"/>
        </w:numPr>
        <w:spacing w:before="40" w:after="40"/>
      </w:pPr>
      <w:r>
        <w:t>Accepting that the OH report is advisory — it does not determine the employment outcome, and the employer retains sole responsibility for employment decisions</w:t>
      </w:r>
    </w:p>
    <w:p w:rsidR="00D61361" w:rsidRDefault="00D61361">
      <w:pPr>
        <w:spacing w:before="80"/>
      </w:pPr>
    </w:p>
    <w:p w:rsidR="00D61361" w:rsidRDefault="00433AF1">
      <w:pPr>
        <w:spacing w:before="400" w:after="120"/>
      </w:pPr>
      <w:r>
        <w:rPr>
          <w:b/>
          <w:bCs/>
          <w:color w:val="1B3A6B"/>
          <w:sz w:val="28"/>
          <w:szCs w:val="28"/>
        </w:rPr>
        <w:t>9.  Non-Compliance</w:t>
      </w:r>
    </w:p>
    <w:p w:rsidR="00D61361" w:rsidRDefault="00D61361">
      <w:pPr>
        <w:pBdr>
          <w:bottom w:val="single" w:sz="6" w:space="1" w:color="1B3A6B"/>
        </w:pBdr>
        <w:spacing w:before="60" w:after="200"/>
      </w:pPr>
    </w:p>
    <w:p w:rsidR="00D61361" w:rsidRDefault="00D61361">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4226"/>
        <w:gridCol w:w="1800"/>
      </w:tblGrid>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Issue</w:t>
            </w:r>
          </w:p>
        </w:tc>
        <w:tc>
          <w:tcPr>
            <w:tcW w:w="42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Action</w:t>
            </w:r>
          </w:p>
        </w:tc>
        <w:tc>
          <w:tcPr>
            <w:tcW w:w="1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Timeline</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Incomplete referral received</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Returned to referrer with a specific explanation of what is missing. No appointment is scheduled until the referral is complete.</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Within 1 working day</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Referral outside scope</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Declined with explanation and, where possible, recommendation for appropriate alternative. No fee applies.</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Within 1 working day of triage</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Data or GDPR breach</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Assessed for severity; ICO notified within 72 hours if reportable; MPS consulted immediately; aff</w:t>
            </w:r>
            <w:r>
              <w:rPr>
                <w:sz w:val="19"/>
                <w:szCs w:val="19"/>
              </w:rPr>
              <w:t>ected individuals notified as required. Full incident response per the Confidentiality Policy (Section 9).</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72 hours (ICO notification where required)</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Employer applies pressure on employee re consent</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 xml:space="preserve">Assessment paused. Clinical Lead contacts both parties. </w:t>
            </w:r>
            <w:r>
              <w:rPr>
                <w:sz w:val="19"/>
                <w:szCs w:val="19"/>
              </w:rPr>
              <w:t>If coercion is confirmed, the referral may be declined and the matter documented. See Consent Policy, Section 9.</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Immediately on identification</w:t>
            </w:r>
          </w:p>
        </w:tc>
      </w:tr>
      <w:tr w:rsidR="00D61361">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Repeated employer process failures (e.g., incomplete referrals, report misuse)</w:t>
            </w:r>
          </w:p>
        </w:tc>
        <w:tc>
          <w:tcPr>
            <w:tcW w:w="42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 xml:space="preserve">Clinical Lead </w:t>
            </w:r>
            <w:proofErr w:type="gramStart"/>
            <w:r>
              <w:rPr>
                <w:sz w:val="19"/>
                <w:szCs w:val="19"/>
              </w:rPr>
              <w:t>raises</w:t>
            </w:r>
            <w:proofErr w:type="gramEnd"/>
            <w:r>
              <w:rPr>
                <w:sz w:val="19"/>
                <w:szCs w:val="19"/>
              </w:rPr>
              <w:t xml:space="preserve"> directly with the employer. Continued failures may result in suspension of the service relationship pending discussion.</w:t>
            </w:r>
          </w:p>
        </w:tc>
        <w:tc>
          <w:tcPr>
            <w:tcW w:w="1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Following second confirmed instance</w:t>
            </w:r>
          </w:p>
        </w:tc>
      </w:tr>
    </w:tbl>
    <w:p w:rsidR="00D61361" w:rsidRDefault="00D61361">
      <w:pPr>
        <w:spacing w:before="80"/>
      </w:pPr>
    </w:p>
    <w:p w:rsidR="00D61361" w:rsidRDefault="00433AF1">
      <w:pPr>
        <w:spacing w:before="400" w:after="120"/>
      </w:pPr>
      <w:r>
        <w:rPr>
          <w:b/>
          <w:bCs/>
          <w:color w:val="1B3A6B"/>
          <w:sz w:val="28"/>
          <w:szCs w:val="28"/>
        </w:rPr>
        <w:t>10.  Quality Assurance</w:t>
      </w:r>
    </w:p>
    <w:p w:rsidR="00D61361" w:rsidRDefault="00D61361">
      <w:pPr>
        <w:pBdr>
          <w:bottom w:val="single" w:sz="6" w:space="1" w:color="1B3A6B"/>
        </w:pBdr>
        <w:spacing w:before="60" w:after="200"/>
      </w:pPr>
    </w:p>
    <w:p w:rsidR="00D61361" w:rsidRDefault="00433AF1">
      <w:pPr>
        <w:pStyle w:val="ListParagraph"/>
        <w:numPr>
          <w:ilvl w:val="0"/>
          <w:numId w:val="2"/>
        </w:numPr>
        <w:spacing w:before="40" w:after="40"/>
      </w:pPr>
      <w:r>
        <w:t>Monthly self-audit: a minimum 10% random sample of ca</w:t>
      </w:r>
      <w:r>
        <w:t>se records reviewed for clinical quality, consent compliance, GDPR compliance, and report completeness.</w:t>
      </w:r>
    </w:p>
    <w:p w:rsidR="00D61361" w:rsidRDefault="00433AF1">
      <w:pPr>
        <w:pStyle w:val="ListParagraph"/>
        <w:numPr>
          <w:ilvl w:val="0"/>
          <w:numId w:val="2"/>
        </w:numPr>
        <w:spacing w:before="40" w:after="40"/>
      </w:pPr>
      <w:r>
        <w:t>Quarterly: turnaround time performance reviewed; any referrals declined or outside scope logged.</w:t>
      </w:r>
    </w:p>
    <w:p w:rsidR="00D61361" w:rsidRDefault="00433AF1">
      <w:pPr>
        <w:pStyle w:val="ListParagraph"/>
        <w:numPr>
          <w:ilvl w:val="0"/>
          <w:numId w:val="2"/>
        </w:numPr>
        <w:spacing w:before="40" w:after="40"/>
      </w:pPr>
      <w:r>
        <w:t>Annual: full review of this policy against GMC Good Medical Practice, UK GDPR requirements, and AMRA 1988.</w:t>
      </w:r>
    </w:p>
    <w:p w:rsidR="00D61361" w:rsidRDefault="00433AF1">
      <w:pPr>
        <w:pStyle w:val="ListParagraph"/>
        <w:numPr>
          <w:ilvl w:val="0"/>
          <w:numId w:val="2"/>
        </w:numPr>
        <w:spacing w:before="40" w:after="40"/>
      </w:pPr>
      <w:r>
        <w:t>Post-consultation feedback surveys: employers and employees invited to rate clarity, communication, and accessibility. Target: 90% satisfaction.</w:t>
      </w:r>
    </w:p>
    <w:p w:rsidR="00D61361" w:rsidRDefault="00D61361">
      <w:pPr>
        <w:spacing w:before="80"/>
      </w:pPr>
    </w:p>
    <w:p w:rsidR="00D61361" w:rsidRDefault="00433AF1">
      <w:pPr>
        <w:spacing w:before="400" w:after="120"/>
      </w:pPr>
      <w:r>
        <w:rPr>
          <w:b/>
          <w:bCs/>
          <w:color w:val="1B3A6B"/>
          <w:sz w:val="28"/>
          <w:szCs w:val="28"/>
        </w:rPr>
        <w:t>11.</w:t>
      </w:r>
      <w:r>
        <w:rPr>
          <w:b/>
          <w:bCs/>
          <w:color w:val="1B3A6B"/>
          <w:sz w:val="28"/>
          <w:szCs w:val="28"/>
        </w:rPr>
        <w:t xml:space="preserve">  Policy Review</w:t>
      </w:r>
    </w:p>
    <w:p w:rsidR="00D61361" w:rsidRDefault="00D61361">
      <w:pPr>
        <w:pBdr>
          <w:bottom w:val="single" w:sz="6" w:space="1" w:color="1B3A6B"/>
        </w:pBdr>
        <w:spacing w:before="60" w:after="200"/>
      </w:pPr>
    </w:p>
    <w:p w:rsidR="00D61361" w:rsidRDefault="00433AF1">
      <w:pPr>
        <w:pStyle w:val="ListParagraph"/>
        <w:numPr>
          <w:ilvl w:val="0"/>
          <w:numId w:val="2"/>
        </w:numPr>
        <w:spacing w:before="40" w:after="40"/>
      </w:pPr>
      <w:r>
        <w:t>Formal annual review — next scheduled: 13 June 2027.</w:t>
      </w:r>
    </w:p>
    <w:p w:rsidR="00D61361" w:rsidRDefault="00433AF1">
      <w:pPr>
        <w:pStyle w:val="ListParagraph"/>
        <w:numPr>
          <w:ilvl w:val="0"/>
          <w:numId w:val="2"/>
        </w:numPr>
        <w:spacing w:before="40" w:after="40"/>
      </w:pPr>
      <w:r>
        <w:t>Ad-hoc review following: material changes to GMC guidance, AMRA 1988, or UK GDPR; any clinical incident or complaint that reveals a referral or reporting gap.</w:t>
      </w:r>
    </w:p>
    <w:p w:rsidR="00D61361" w:rsidRDefault="00433AF1">
      <w:pPr>
        <w:pStyle w:val="ListParagraph"/>
        <w:numPr>
          <w:ilvl w:val="0"/>
          <w:numId w:val="2"/>
        </w:numPr>
        <w:spacing w:before="40" w:after="40"/>
      </w:pPr>
      <w:r>
        <w:t>This policy is read in conj</w:t>
      </w:r>
      <w:r>
        <w:t>unction with the Consent Policy, Confidentiality Policy, Clinical Governance Policy, and Complaints Policy.</w:t>
      </w:r>
    </w:p>
    <w:p w:rsidR="00D61361" w:rsidRDefault="00D61361">
      <w:pPr>
        <w:spacing w:before="80"/>
      </w:pPr>
    </w:p>
    <w:p w:rsidR="00D61361" w:rsidRDefault="00433AF1">
      <w:pPr>
        <w:spacing w:before="400" w:after="120"/>
      </w:pPr>
      <w:r>
        <w:rPr>
          <w:b/>
          <w:bCs/>
          <w:color w:val="1B3A6B"/>
          <w:sz w:val="28"/>
          <w:szCs w:val="28"/>
        </w:rPr>
        <w:t>12.  Version Control</w:t>
      </w:r>
    </w:p>
    <w:p w:rsidR="00D61361" w:rsidRDefault="00D61361">
      <w:pPr>
        <w:pBdr>
          <w:bottom w:val="single" w:sz="6" w:space="1" w:color="1B3A6B"/>
        </w:pBdr>
        <w:spacing w:before="60" w:after="200"/>
      </w:pPr>
    </w:p>
    <w:p w:rsidR="00D61361" w:rsidRDefault="00D61361">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D61361">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D61361" w:rsidRDefault="00433AF1">
            <w:r>
              <w:rPr>
                <w:b/>
                <w:bCs/>
                <w:color w:val="FFFFFF"/>
                <w:sz w:val="19"/>
                <w:szCs w:val="19"/>
              </w:rPr>
              <w:t>Approved By</w:t>
            </w:r>
          </w:p>
        </w:tc>
      </w:tr>
      <w:tr w:rsidR="00D61361">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Dr. James Stanley</w:t>
            </w:r>
          </w:p>
        </w:tc>
      </w:tr>
      <w:tr w:rsidR="00D61361">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Comprehensive review: FOM references removed; scope table added (in/out of scope referrals); employee photo ID requirement removed (excessive GDPR data collection — identity confirmed at assessment); turnaround times updated to reflect actual practice (rou</w:t>
            </w:r>
            <w:r>
              <w:rPr>
                <w:sz w:val="19"/>
                <w:szCs w:val="19"/>
              </w:rPr>
              <w:t xml:space="preserve">tine and urgent both 3-5 working days for appointment; report draft 3-5 days routine / 24-48h urgent); AMRA 1988 employee review window (7 calendar days) added as a mandatory stage before any report release — this was entirely absent from v1.0; </w:t>
            </w:r>
            <w:proofErr w:type="spellStart"/>
            <w:r>
              <w:rPr>
                <w:sz w:val="19"/>
                <w:szCs w:val="19"/>
              </w:rPr>
              <w:t>NHSmail</w:t>
            </w:r>
            <w:proofErr w:type="spellEnd"/>
            <w:r>
              <w:rPr>
                <w:sz w:val="19"/>
                <w:szCs w:val="19"/>
              </w:rPr>
              <w:t xml:space="preserve"> ref</w:t>
            </w:r>
            <w:r>
              <w:rPr>
                <w:sz w:val="19"/>
                <w:szCs w:val="19"/>
              </w:rPr>
              <w:t xml:space="preserve">erences replaced with encrypted email (HealthBridge does not have </w:t>
            </w:r>
            <w:proofErr w:type="spellStart"/>
            <w:r>
              <w:rPr>
                <w:sz w:val="19"/>
                <w:szCs w:val="19"/>
              </w:rPr>
              <w:t>NHSmail</w:t>
            </w:r>
            <w:proofErr w:type="spellEnd"/>
            <w:r>
              <w:rPr>
                <w:sz w:val="19"/>
                <w:szCs w:val="19"/>
              </w:rPr>
              <w:t xml:space="preserve"> access); 40-year retention corrected to 8 years; '</w:t>
            </w:r>
            <w:proofErr w:type="spellStart"/>
            <w:r>
              <w:rPr>
                <w:sz w:val="19"/>
                <w:szCs w:val="19"/>
              </w:rPr>
              <w:t>costed</w:t>
            </w:r>
            <w:proofErr w:type="spellEnd"/>
            <w:r>
              <w:rPr>
                <w:sz w:val="19"/>
                <w:szCs w:val="19"/>
              </w:rPr>
              <w:t xml:space="preserve"> solutions' removed from report structure (HealthBridge makes clinical recommendations; employers assess feasibility and cost)</w:t>
            </w:r>
            <w:r>
              <w:rPr>
                <w:sz w:val="19"/>
                <w:szCs w:val="19"/>
              </w:rPr>
              <w:t>; employer SLA for adjustments removed (HealthBridge cannot set timelines for employers' internal decisions); staff training/biannual workshops replaced with sole-practitioner CPD; non-</w:t>
            </w:r>
            <w:r>
              <w:rPr>
                <w:sz w:val="19"/>
                <w:szCs w:val="19"/>
              </w:rPr>
              <w:lastRenderedPageBreak/>
              <w:t>compliance table expanded; scope triage process added.</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lastRenderedPageBreak/>
              <w:t>Dr. James Stanle</w:t>
            </w:r>
            <w:r>
              <w:rPr>
                <w:sz w:val="19"/>
                <w:szCs w:val="19"/>
              </w:rPr>
              <w:t>y</w:t>
            </w:r>
          </w:p>
        </w:tc>
      </w:tr>
      <w:tr w:rsidR="00D61361">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lastRenderedPageBreak/>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433AF1">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D61361"/>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D61361" w:rsidRDefault="00D61361"/>
        </w:tc>
      </w:tr>
    </w:tbl>
    <w:p w:rsidR="00D61361" w:rsidRDefault="00D61361">
      <w:pPr>
        <w:spacing w:before="160"/>
      </w:pPr>
    </w:p>
    <w:p w:rsidR="00D61361" w:rsidRDefault="00433AF1">
      <w:pPr>
        <w:spacing w:before="60" w:after="100"/>
      </w:pPr>
      <w:r>
        <w:rPr>
          <w:b/>
          <w:bCs/>
          <w:color w:val="1A1A2E"/>
        </w:rPr>
        <w:t>Approved by: Dr. James Stanley, Clinical Lead</w:t>
      </w:r>
    </w:p>
    <w:p w:rsidR="00D61361" w:rsidRDefault="00433AF1">
      <w:pPr>
        <w:spacing w:before="60" w:after="100"/>
      </w:pPr>
      <w:r>
        <w:rPr>
          <w:color w:val="1A1A2E"/>
        </w:rPr>
        <w:t>GMC Registration No: 7285162</w:t>
      </w:r>
    </w:p>
    <w:p w:rsidR="00D61361" w:rsidRDefault="00433AF1">
      <w:pPr>
        <w:spacing w:before="60" w:after="100"/>
      </w:pPr>
      <w:r>
        <w:rPr>
          <w:color w:val="1A1A2E"/>
        </w:rPr>
        <w:t>Contact: contact@healthbridge.org.uk</w:t>
      </w:r>
    </w:p>
    <w:p w:rsidR="00D61361" w:rsidRDefault="00D61361">
      <w:pPr>
        <w:spacing w:before="60"/>
      </w:pPr>
    </w:p>
    <w:p w:rsidR="00D61361" w:rsidRDefault="00433AF1">
      <w:pPr>
        <w:spacing w:before="60" w:after="100"/>
      </w:pPr>
      <w:r>
        <w:rPr>
          <w:i/>
          <w:iCs/>
          <w:color w:val="6B7280"/>
        </w:rPr>
        <w:t xml:space="preserve">HealthBridge Occupational Health </w:t>
      </w:r>
      <w:proofErr w:type="gramStart"/>
      <w:r>
        <w:rPr>
          <w:i/>
          <w:iCs/>
          <w:color w:val="6B7280"/>
        </w:rPr>
        <w:t>Ltd  |</w:t>
      </w:r>
      <w:proofErr w:type="gramEnd"/>
      <w:r>
        <w:rPr>
          <w:i/>
          <w:iCs/>
          <w:color w:val="6B7280"/>
        </w:rPr>
        <w:t xml:space="preserve">  Company No: 16615396</w:t>
      </w:r>
    </w:p>
    <w:p w:rsidR="00D61361" w:rsidRDefault="00433AF1">
      <w:pPr>
        <w:spacing w:before="60" w:after="100"/>
      </w:pPr>
      <w:r>
        <w:rPr>
          <w:i/>
          <w:iCs/>
          <w:color w:val="6B7280"/>
        </w:rPr>
        <w:t xml:space="preserve">Registered Address: 50 </w:t>
      </w:r>
      <w:proofErr w:type="spellStart"/>
      <w:r>
        <w:rPr>
          <w:i/>
          <w:iCs/>
          <w:color w:val="6B7280"/>
        </w:rPr>
        <w:t>Hadow</w:t>
      </w:r>
      <w:proofErr w:type="spellEnd"/>
      <w:r>
        <w:rPr>
          <w:i/>
          <w:iCs/>
          <w:color w:val="6B7280"/>
        </w:rPr>
        <w:t xml:space="preserve"> Way, Gloucester, GL2 4YJ</w:t>
      </w:r>
    </w:p>
    <w:p w:rsidR="00D61361" w:rsidRDefault="00433AF1">
      <w:pPr>
        <w:spacing w:before="60" w:after="100"/>
      </w:pPr>
      <w:proofErr w:type="gramStart"/>
      <w:r>
        <w:rPr>
          <w:i/>
          <w:iCs/>
          <w:color w:val="6B7280"/>
        </w:rPr>
        <w:t>© HealthBridge Occupational Health Ltd. Unauthorised distribution prohibited.</w:t>
      </w:r>
      <w:proofErr w:type="gramEnd"/>
    </w:p>
    <w:sectPr w:rsidR="00D61361" w:rsidSect="00D61361">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361" w:rsidRDefault="00D61361" w:rsidP="00D61361">
      <w:r>
        <w:separator/>
      </w:r>
    </w:p>
  </w:endnote>
  <w:endnote w:type="continuationSeparator" w:id="0">
    <w:p w:rsidR="00D61361" w:rsidRDefault="00D61361" w:rsidP="00D6136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361" w:rsidRDefault="00433AF1">
    <w:pPr>
      <w:pBdr>
        <w:top w:val="single" w:sz="4" w:space="2" w:color="1B3A6B"/>
      </w:pBdr>
      <w:tabs>
        <w:tab w:val="right" w:pos="9026"/>
      </w:tabs>
      <w:spacing w:before="120"/>
    </w:pPr>
    <w:r>
      <w:rPr>
        <w:color w:val="6B7280"/>
        <w:sz w:val="16"/>
        <w:szCs w:val="16"/>
      </w:rPr>
      <w:t>Hea</w:t>
    </w:r>
    <w:r>
      <w:rPr>
        <w:color w:val="6B7280"/>
        <w:sz w:val="16"/>
        <w:szCs w:val="16"/>
      </w:rPr>
      <w:t xml:space="preserve">lthBridge Occupational Health </w:t>
    </w:r>
    <w:proofErr w:type="gramStart"/>
    <w:r>
      <w:rPr>
        <w:color w:val="6B7280"/>
        <w:sz w:val="16"/>
        <w:szCs w:val="16"/>
      </w:rPr>
      <w:t>Ltd  |</w:t>
    </w:r>
    <w:proofErr w:type="gramEnd"/>
    <w:r>
      <w:rPr>
        <w:color w:val="6B7280"/>
        <w:sz w:val="16"/>
        <w:szCs w:val="16"/>
      </w:rPr>
      <w:t xml:space="preserve">  Co. No: </w:t>
    </w:r>
    <w:proofErr w:type="gramStart"/>
    <w:r>
      <w:rPr>
        <w:color w:val="6B7280"/>
        <w:sz w:val="16"/>
        <w:szCs w:val="16"/>
      </w:rPr>
      <w:t>16615396  |</w:t>
    </w:r>
    <w:proofErr w:type="gramEnd"/>
    <w:r>
      <w:rPr>
        <w:color w:val="6B7280"/>
        <w:sz w:val="16"/>
        <w:szCs w:val="16"/>
      </w:rPr>
      <w:t xml:space="preserve">  50 </w:t>
    </w:r>
    <w:proofErr w:type="spellStart"/>
    <w:r>
      <w:rPr>
        <w:color w:val="6B7280"/>
        <w:sz w:val="16"/>
        <w:szCs w:val="16"/>
      </w:rPr>
      <w:t>Hadow</w:t>
    </w:r>
    <w:proofErr w:type="spellEnd"/>
    <w:r>
      <w:rPr>
        <w:color w:val="6B7280"/>
        <w:sz w:val="16"/>
        <w:szCs w:val="16"/>
      </w:rPr>
      <w:t xml:space="preserve"> Way, Gloucester, GL2 4YJ</w:t>
    </w:r>
    <w:r>
      <w:rPr>
        <w:color w:val="6B7280"/>
        <w:sz w:val="16"/>
        <w:szCs w:val="16"/>
      </w:rPr>
      <w:tab/>
      <w:t xml:space="preserve">Page </w:t>
    </w:r>
    <w:r w:rsidR="00D61361">
      <w:rPr>
        <w:color w:val="6B7280"/>
        <w:sz w:val="16"/>
        <w:szCs w:val="16"/>
      </w:rPr>
      <w:fldChar w:fldCharType="begin"/>
    </w:r>
    <w:r>
      <w:rPr>
        <w:color w:val="6B7280"/>
        <w:sz w:val="16"/>
        <w:szCs w:val="16"/>
      </w:rPr>
      <w:instrText>PAGE</w:instrText>
    </w:r>
    <w:r w:rsidR="001A0EA2">
      <w:rPr>
        <w:color w:val="6B7280"/>
        <w:sz w:val="16"/>
        <w:szCs w:val="16"/>
      </w:rPr>
      <w:fldChar w:fldCharType="separate"/>
    </w:r>
    <w:r>
      <w:rPr>
        <w:noProof/>
        <w:color w:val="6B7280"/>
        <w:sz w:val="16"/>
        <w:szCs w:val="16"/>
      </w:rPr>
      <w:t>2</w:t>
    </w:r>
    <w:r w:rsidR="00D61361">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361" w:rsidRDefault="00D61361" w:rsidP="00D61361">
      <w:r>
        <w:separator/>
      </w:r>
    </w:p>
  </w:footnote>
  <w:footnote w:type="continuationSeparator" w:id="0">
    <w:p w:rsidR="00D61361" w:rsidRDefault="00D61361" w:rsidP="00D613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361" w:rsidRDefault="00433AF1">
    <w:pPr>
      <w:tabs>
        <w:tab w:val="right" w:pos="9026"/>
      </w:tabs>
      <w:spacing w:after="100"/>
    </w:pPr>
    <w:r>
      <w:rPr>
        <w:color w:val="6B7280"/>
        <w:sz w:val="16"/>
        <w:szCs w:val="16"/>
      </w:rPr>
      <w:t xml:space="preserve">Version </w:t>
    </w:r>
    <w:proofErr w:type="gramStart"/>
    <w:r>
      <w:rPr>
        <w:color w:val="6B7280"/>
        <w:sz w:val="16"/>
        <w:szCs w:val="16"/>
      </w:rPr>
      <w:t>2.0  |</w:t>
    </w:r>
    <w:proofErr w:type="gramEnd"/>
    <w:r>
      <w:rPr>
        <w:color w:val="6B7280"/>
        <w:sz w:val="16"/>
        <w:szCs w:val="16"/>
      </w:rPr>
      <w:t xml:space="preserve">  Effective: 13/06/2026  |  Owner: Dr. James Stanley  |  GMC: 7285162</w:t>
    </w:r>
    <w:r>
      <w:rPr>
        <w:color w:val="6B7280"/>
        <w:sz w:val="16"/>
        <w:szCs w:val="16"/>
      </w:rPr>
      <w:tab/>
      <w:t>Next Review: 13/06/2027</w:t>
    </w:r>
  </w:p>
  <w:p w:rsidR="00D61361" w:rsidRDefault="00D61361">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3CE6"/>
    <w:multiLevelType w:val="hybridMultilevel"/>
    <w:tmpl w:val="E55A5BEA"/>
    <w:lvl w:ilvl="0" w:tplc="98FC8C3A">
      <w:start w:val="1"/>
      <w:numFmt w:val="bullet"/>
      <w:lvlText w:val="•"/>
      <w:lvlJc w:val="left"/>
      <w:pPr>
        <w:ind w:left="540" w:hanging="360"/>
      </w:pPr>
    </w:lvl>
    <w:lvl w:ilvl="1" w:tplc="00F4E610">
      <w:numFmt w:val="decimal"/>
      <w:lvlText w:val=""/>
      <w:lvlJc w:val="left"/>
    </w:lvl>
    <w:lvl w:ilvl="2" w:tplc="88D4B68A">
      <w:numFmt w:val="decimal"/>
      <w:lvlText w:val=""/>
      <w:lvlJc w:val="left"/>
    </w:lvl>
    <w:lvl w:ilvl="3" w:tplc="486475CA">
      <w:numFmt w:val="decimal"/>
      <w:lvlText w:val=""/>
      <w:lvlJc w:val="left"/>
    </w:lvl>
    <w:lvl w:ilvl="4" w:tplc="30FEC93E">
      <w:numFmt w:val="decimal"/>
      <w:lvlText w:val=""/>
      <w:lvlJc w:val="left"/>
    </w:lvl>
    <w:lvl w:ilvl="5" w:tplc="041E4E7C">
      <w:numFmt w:val="decimal"/>
      <w:lvlText w:val=""/>
      <w:lvlJc w:val="left"/>
    </w:lvl>
    <w:lvl w:ilvl="6" w:tplc="5EDC85D0">
      <w:numFmt w:val="decimal"/>
      <w:lvlText w:val=""/>
      <w:lvlJc w:val="left"/>
    </w:lvl>
    <w:lvl w:ilvl="7" w:tplc="17FA3CE6">
      <w:numFmt w:val="decimal"/>
      <w:lvlText w:val=""/>
      <w:lvlJc w:val="left"/>
    </w:lvl>
    <w:lvl w:ilvl="8" w:tplc="C398158E">
      <w:numFmt w:val="decimal"/>
      <w:lvlText w:val=""/>
      <w:lvlJc w:val="left"/>
    </w:lvl>
  </w:abstractNum>
  <w:abstractNum w:abstractNumId="1">
    <w:nsid w:val="3E8F42EB"/>
    <w:multiLevelType w:val="hybridMultilevel"/>
    <w:tmpl w:val="19E82C22"/>
    <w:lvl w:ilvl="0" w:tplc="7A50B4FC">
      <w:start w:val="1"/>
      <w:numFmt w:val="bullet"/>
      <w:lvlText w:val="●"/>
      <w:lvlJc w:val="left"/>
      <w:pPr>
        <w:ind w:left="720" w:hanging="360"/>
      </w:pPr>
    </w:lvl>
    <w:lvl w:ilvl="1" w:tplc="CE02E072">
      <w:start w:val="1"/>
      <w:numFmt w:val="bullet"/>
      <w:lvlText w:val="○"/>
      <w:lvlJc w:val="left"/>
      <w:pPr>
        <w:ind w:left="1440" w:hanging="360"/>
      </w:pPr>
    </w:lvl>
    <w:lvl w:ilvl="2" w:tplc="18A27694">
      <w:start w:val="1"/>
      <w:numFmt w:val="bullet"/>
      <w:lvlText w:val="■"/>
      <w:lvlJc w:val="left"/>
      <w:pPr>
        <w:ind w:left="2160" w:hanging="360"/>
      </w:pPr>
    </w:lvl>
    <w:lvl w:ilvl="3" w:tplc="9142378E">
      <w:start w:val="1"/>
      <w:numFmt w:val="bullet"/>
      <w:lvlText w:val="●"/>
      <w:lvlJc w:val="left"/>
      <w:pPr>
        <w:ind w:left="2880" w:hanging="360"/>
      </w:pPr>
    </w:lvl>
    <w:lvl w:ilvl="4" w:tplc="D062D47A">
      <w:start w:val="1"/>
      <w:numFmt w:val="bullet"/>
      <w:lvlText w:val="○"/>
      <w:lvlJc w:val="left"/>
      <w:pPr>
        <w:ind w:left="3600" w:hanging="360"/>
      </w:pPr>
    </w:lvl>
    <w:lvl w:ilvl="5" w:tplc="F9F83EA0">
      <w:start w:val="1"/>
      <w:numFmt w:val="bullet"/>
      <w:lvlText w:val="■"/>
      <w:lvlJc w:val="left"/>
      <w:pPr>
        <w:ind w:left="4320" w:hanging="360"/>
      </w:pPr>
    </w:lvl>
    <w:lvl w:ilvl="6" w:tplc="11320862">
      <w:start w:val="1"/>
      <w:numFmt w:val="bullet"/>
      <w:lvlText w:val="●"/>
      <w:lvlJc w:val="left"/>
      <w:pPr>
        <w:ind w:left="5040" w:hanging="360"/>
      </w:pPr>
    </w:lvl>
    <w:lvl w:ilvl="7" w:tplc="19EA6C98">
      <w:start w:val="1"/>
      <w:numFmt w:val="bullet"/>
      <w:lvlText w:val="●"/>
      <w:lvlJc w:val="left"/>
      <w:pPr>
        <w:ind w:left="5760" w:hanging="360"/>
      </w:pPr>
    </w:lvl>
    <w:lvl w:ilvl="8" w:tplc="6BC6FAC6">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D61361"/>
    <w:rsid w:val="001A0EA2"/>
    <w:rsid w:val="00433AF1"/>
    <w:rsid w:val="00D6136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D61361"/>
    <w:pPr>
      <w:outlineLvl w:val="0"/>
    </w:pPr>
    <w:rPr>
      <w:color w:val="2E74B5"/>
      <w:sz w:val="32"/>
      <w:szCs w:val="32"/>
    </w:rPr>
  </w:style>
  <w:style w:type="paragraph" w:styleId="Heading2">
    <w:name w:val="heading 2"/>
    <w:qFormat/>
    <w:rsid w:val="00D61361"/>
    <w:pPr>
      <w:outlineLvl w:val="1"/>
    </w:pPr>
    <w:rPr>
      <w:color w:val="2E74B5"/>
      <w:sz w:val="26"/>
      <w:szCs w:val="26"/>
    </w:rPr>
  </w:style>
  <w:style w:type="paragraph" w:styleId="Heading3">
    <w:name w:val="heading 3"/>
    <w:qFormat/>
    <w:rsid w:val="00D61361"/>
    <w:pPr>
      <w:outlineLvl w:val="2"/>
    </w:pPr>
    <w:rPr>
      <w:color w:val="1F4D78"/>
      <w:sz w:val="24"/>
      <w:szCs w:val="24"/>
    </w:rPr>
  </w:style>
  <w:style w:type="paragraph" w:styleId="Heading4">
    <w:name w:val="heading 4"/>
    <w:qFormat/>
    <w:rsid w:val="00D61361"/>
    <w:pPr>
      <w:outlineLvl w:val="3"/>
    </w:pPr>
    <w:rPr>
      <w:i/>
      <w:iCs/>
      <w:color w:val="2E74B5"/>
    </w:rPr>
  </w:style>
  <w:style w:type="paragraph" w:styleId="Heading5">
    <w:name w:val="heading 5"/>
    <w:qFormat/>
    <w:rsid w:val="00D61361"/>
    <w:pPr>
      <w:outlineLvl w:val="4"/>
    </w:pPr>
    <w:rPr>
      <w:color w:val="2E74B5"/>
    </w:rPr>
  </w:style>
  <w:style w:type="paragraph" w:styleId="Heading6">
    <w:name w:val="heading 6"/>
    <w:qFormat/>
    <w:rsid w:val="00D61361"/>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D61361"/>
    <w:rPr>
      <w:sz w:val="56"/>
      <w:szCs w:val="56"/>
    </w:rPr>
  </w:style>
  <w:style w:type="paragraph" w:customStyle="1" w:styleId="Strong1">
    <w:name w:val="Strong1"/>
    <w:qFormat/>
    <w:rsid w:val="00D61361"/>
    <w:rPr>
      <w:b/>
      <w:bCs/>
    </w:rPr>
  </w:style>
  <w:style w:type="paragraph" w:styleId="ListParagraph">
    <w:name w:val="List Paragraph"/>
    <w:qFormat/>
    <w:rsid w:val="00D61361"/>
  </w:style>
  <w:style w:type="character" w:styleId="Hyperlink">
    <w:name w:val="Hyperlink"/>
    <w:uiPriority w:val="99"/>
    <w:unhideWhenUsed/>
    <w:rsid w:val="00D61361"/>
    <w:rPr>
      <w:color w:val="0563C1"/>
      <w:u w:val="single"/>
    </w:rPr>
  </w:style>
  <w:style w:type="character" w:styleId="FootnoteReference">
    <w:name w:val="footnote reference"/>
    <w:uiPriority w:val="99"/>
    <w:semiHidden/>
    <w:unhideWhenUsed/>
    <w:rsid w:val="00D61361"/>
    <w:rPr>
      <w:vertAlign w:val="superscript"/>
    </w:rPr>
  </w:style>
  <w:style w:type="paragraph" w:styleId="FootnoteText">
    <w:name w:val="footnote text"/>
    <w:link w:val="FootnoteTextChar"/>
    <w:uiPriority w:val="99"/>
    <w:semiHidden/>
    <w:unhideWhenUsed/>
    <w:rsid w:val="00D61361"/>
  </w:style>
  <w:style w:type="character" w:customStyle="1" w:styleId="FootnoteTextChar">
    <w:name w:val="Footnote Text Char"/>
    <w:link w:val="FootnoteText"/>
    <w:uiPriority w:val="99"/>
    <w:semiHidden/>
    <w:unhideWhenUsed/>
    <w:rsid w:val="00D61361"/>
    <w:rPr>
      <w:sz w:val="20"/>
      <w:szCs w:val="20"/>
    </w:rPr>
  </w:style>
  <w:style w:type="character" w:styleId="EndnoteReference">
    <w:name w:val="endnote reference"/>
    <w:uiPriority w:val="99"/>
    <w:semiHidden/>
    <w:unhideWhenUsed/>
    <w:rsid w:val="00D61361"/>
    <w:rPr>
      <w:vertAlign w:val="superscript"/>
    </w:rPr>
  </w:style>
  <w:style w:type="paragraph" w:styleId="EndnoteText">
    <w:name w:val="endnote text"/>
    <w:link w:val="EndnoteTextChar"/>
    <w:uiPriority w:val="99"/>
    <w:semiHidden/>
    <w:unhideWhenUsed/>
    <w:rsid w:val="00D61361"/>
  </w:style>
  <w:style w:type="character" w:customStyle="1" w:styleId="EndnoteTextChar">
    <w:name w:val="Endnote Text Char"/>
    <w:link w:val="EndnoteText"/>
    <w:uiPriority w:val="99"/>
    <w:semiHidden/>
    <w:unhideWhenUsed/>
    <w:rsid w:val="00D61361"/>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2404</Words>
  <Characters>13709</Characters>
  <Application>Microsoft Office Word</Application>
  <DocSecurity>0</DocSecurity>
  <Lines>114</Lines>
  <Paragraphs>32</Paragraphs>
  <ScaleCrop>false</ScaleCrop>
  <Company>Grizli777</Company>
  <LinksUpToDate>false</LinksUpToDate>
  <CharactersWithSpaces>16081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2026-06-17T11:28:00Z</dcterms:created>
  <dcterms:modified xsi:type="dcterms:W3CDTF">2026-06-17T11:28:00Z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