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699F" w:rsidRDefault="004C062F">
      <w:pPr>
        <w:spacing w:before="200" w:after="60"/>
      </w:pPr>
      <w:r>
        <w:rPr>
          <w:b/>
          <w:bCs/>
          <w:color w:val="1B3A6B"/>
          <w:sz w:val="40"/>
          <w:szCs w:val="40"/>
        </w:rPr>
        <w:t>HEALTHBRIDGE OCCUPATIONAL HEALTH LTD</w:t>
      </w:r>
    </w:p>
    <w:p w:rsidR="00F6699F" w:rsidRDefault="004C062F">
      <w:pPr>
        <w:spacing w:after="80"/>
      </w:pPr>
      <w:r>
        <w:rPr>
          <w:b/>
          <w:bCs/>
          <w:color w:val="1B3A6B"/>
          <w:sz w:val="28"/>
          <w:szCs w:val="28"/>
        </w:rPr>
        <w:t>Consent Policy</w:t>
      </w:r>
    </w:p>
    <w:p w:rsidR="00F6699F" w:rsidRDefault="004C062F">
      <w:pPr>
        <w:pBdr>
          <w:bottom w:val="thick" w:sz="12" w:space="3" w:color="1B3A6B"/>
        </w:pBdr>
        <w:spacing w:after="240"/>
      </w:pPr>
      <w:r>
        <w:rPr>
          <w:i/>
          <w:iCs/>
          <w:color w:val="6B7280"/>
          <w:sz w:val="19"/>
          <w:szCs w:val="19"/>
        </w:rPr>
        <w:t>GP-Led Occupational Health Services   |   Version 2.0   |   Effective 13 June 2026</w:t>
      </w:r>
    </w:p>
    <w:p w:rsidR="00F6699F" w:rsidRDefault="00F6699F">
      <w:pPr>
        <w:spacing w:before="80"/>
      </w:pPr>
    </w:p>
    <w:p w:rsidR="00F6699F" w:rsidRDefault="004C062F">
      <w:pPr>
        <w:spacing w:before="400" w:after="120"/>
      </w:pPr>
      <w:r>
        <w:rPr>
          <w:b/>
          <w:bCs/>
          <w:color w:val="1B3A6B"/>
          <w:sz w:val="28"/>
          <w:szCs w:val="28"/>
        </w:rPr>
        <w:t>1.  Purpose</w:t>
      </w:r>
    </w:p>
    <w:p w:rsidR="00F6699F" w:rsidRDefault="00F6699F">
      <w:pPr>
        <w:pBdr>
          <w:bottom w:val="single" w:sz="6" w:space="1" w:color="1B3A6B"/>
        </w:pBdr>
        <w:spacing w:before="60" w:after="200"/>
      </w:pPr>
    </w:p>
    <w:p w:rsidR="00F6699F" w:rsidRDefault="004C062F">
      <w:pPr>
        <w:spacing w:before="60" w:after="100"/>
      </w:pPr>
      <w:r>
        <w:rPr>
          <w:color w:val="1A1A2E"/>
        </w:rPr>
        <w:t xml:space="preserve">This policy sets out how HealthBridge Occupational Health Ltd </w:t>
      </w:r>
      <w:proofErr w:type="gramStart"/>
      <w:r>
        <w:rPr>
          <w:color w:val="1A1A2E"/>
        </w:rPr>
        <w:t>obtains,</w:t>
      </w:r>
      <w:proofErr w:type="gramEnd"/>
      <w:r>
        <w:rPr>
          <w:color w:val="1A1A2E"/>
        </w:rPr>
        <w:t xml:space="preserve"> records, manages, and respects consent in the course of providing GP-led occupational health services. It ensures that all employees referred for assessment are treated with dignity, ar</w:t>
      </w:r>
      <w:r>
        <w:rPr>
          <w:color w:val="1A1A2E"/>
        </w:rPr>
        <w:t>e fully informed, and retain meaningful control over their medical information at every stage.</w:t>
      </w:r>
    </w:p>
    <w:p w:rsidR="00F6699F" w:rsidRDefault="00F6699F">
      <w:pPr>
        <w:spacing w:before="60"/>
      </w:pPr>
    </w:p>
    <w:p w:rsidR="00F6699F" w:rsidRDefault="004C062F">
      <w:pPr>
        <w:spacing w:before="60" w:after="100"/>
      </w:pPr>
      <w:r>
        <w:rPr>
          <w:color w:val="1A1A2E"/>
        </w:rPr>
        <w:t>This policy provides for compliance with:</w:t>
      </w:r>
    </w:p>
    <w:p w:rsidR="00F6699F" w:rsidRDefault="004C062F">
      <w:pPr>
        <w:pStyle w:val="ListParagraph"/>
        <w:numPr>
          <w:ilvl w:val="0"/>
          <w:numId w:val="2"/>
        </w:numPr>
        <w:spacing w:before="40" w:after="40"/>
      </w:pPr>
      <w:r>
        <w:t>UK GDPR (Articles 6 and 9) and the Data Protection Act 2018</w:t>
      </w:r>
    </w:p>
    <w:p w:rsidR="00F6699F" w:rsidRDefault="004C062F">
      <w:pPr>
        <w:pStyle w:val="ListParagraph"/>
        <w:numPr>
          <w:ilvl w:val="0"/>
          <w:numId w:val="2"/>
        </w:numPr>
        <w:spacing w:before="40" w:after="40"/>
      </w:pPr>
      <w:r>
        <w:t>GMC Good Medical Practice and GMC Confidentiality Guidance</w:t>
      </w:r>
      <w:r>
        <w:t xml:space="preserve"> (2017)</w:t>
      </w:r>
    </w:p>
    <w:p w:rsidR="00F6699F" w:rsidRDefault="004C062F">
      <w:pPr>
        <w:pStyle w:val="ListParagraph"/>
        <w:numPr>
          <w:ilvl w:val="0"/>
          <w:numId w:val="2"/>
        </w:numPr>
        <w:spacing w:before="40" w:after="40"/>
      </w:pPr>
      <w:r>
        <w:t>Access to Medical Reports Act 1988</w:t>
      </w:r>
    </w:p>
    <w:p w:rsidR="00F6699F" w:rsidRDefault="004C062F">
      <w:pPr>
        <w:pStyle w:val="ListParagraph"/>
        <w:numPr>
          <w:ilvl w:val="0"/>
          <w:numId w:val="2"/>
        </w:numPr>
        <w:spacing w:before="40" w:after="40"/>
      </w:pPr>
      <w:r>
        <w:t>Mental Capacity Act 2005 (where applicable)</w:t>
      </w:r>
    </w:p>
    <w:p w:rsidR="00F6699F" w:rsidRDefault="004C062F">
      <w:pPr>
        <w:pStyle w:val="ListParagraph"/>
        <w:numPr>
          <w:ilvl w:val="0"/>
          <w:numId w:val="2"/>
        </w:numPr>
        <w:spacing w:before="40" w:after="40"/>
      </w:pPr>
      <w:r>
        <w:t>Equality Act 2010</w:t>
      </w:r>
    </w:p>
    <w:p w:rsidR="00F6699F" w:rsidRDefault="00F6699F">
      <w:pPr>
        <w:spacing w:before="80"/>
      </w:pPr>
    </w:p>
    <w:p w:rsidR="00F6699F" w:rsidRDefault="004C062F">
      <w:pPr>
        <w:spacing w:before="400" w:after="120"/>
      </w:pPr>
      <w:r>
        <w:rPr>
          <w:b/>
          <w:bCs/>
          <w:color w:val="1B3A6B"/>
          <w:sz w:val="28"/>
          <w:szCs w:val="28"/>
        </w:rPr>
        <w:t>2.  An Important Distinction: Clinical Consent and GDPR Lawful Basis</w:t>
      </w:r>
    </w:p>
    <w:p w:rsidR="00F6699F" w:rsidRDefault="00F6699F">
      <w:pPr>
        <w:pBdr>
          <w:bottom w:val="single" w:sz="6" w:space="1" w:color="1B3A6B"/>
        </w:pBdr>
        <w:spacing w:before="60" w:after="200"/>
      </w:pPr>
    </w:p>
    <w:tbl>
      <w:tblPr>
        <w:tblW w:w="902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9026"/>
      </w:tblGrid>
      <w:tr w:rsidR="00F6699F">
        <w:tblPrEx>
          <w:tblCellMar>
            <w:top w:w="0" w:type="dxa"/>
            <w:bottom w:w="0" w:type="dxa"/>
          </w:tblCellMar>
        </w:tblPrEx>
        <w:tc>
          <w:tcPr>
            <w:tcW w:w="9026" w:type="dxa"/>
            <w:tcBorders>
              <w:top w:val="single" w:sz="4" w:space="0" w:color="1B3A6B"/>
              <w:left w:val="single" w:sz="18" w:space="0" w:color="1B3A6B"/>
              <w:bottom w:val="single" w:sz="4" w:space="0" w:color="1B3A6B"/>
              <w:right w:val="single" w:sz="4" w:space="0" w:color="1B3A6B"/>
            </w:tcBorders>
            <w:shd w:val="clear" w:color="auto" w:fill="E8EEF5"/>
            <w:tcMar>
              <w:top w:w="180" w:type="dxa"/>
              <w:left w:w="260" w:type="dxa"/>
              <w:bottom w:w="180" w:type="dxa"/>
              <w:right w:w="260" w:type="dxa"/>
            </w:tcMar>
          </w:tcPr>
          <w:p w:rsidR="00F6699F" w:rsidRDefault="004C062F">
            <w:pPr>
              <w:spacing w:before="40" w:after="40"/>
            </w:pPr>
            <w:r>
              <w:rPr>
                <w:b/>
                <w:bCs/>
                <w:color w:val="1B3A6B"/>
                <w:sz w:val="19"/>
                <w:szCs w:val="19"/>
              </w:rPr>
              <w:t>This policy addresses two distinct but related concepts that are sometimes confu</w:t>
            </w:r>
            <w:r>
              <w:rPr>
                <w:b/>
                <w:bCs/>
                <w:color w:val="1B3A6B"/>
                <w:sz w:val="19"/>
                <w:szCs w:val="19"/>
              </w:rPr>
              <w:t>sed:</w:t>
            </w:r>
          </w:p>
          <w:p w:rsidR="00F6699F" w:rsidRDefault="004C062F">
            <w:pPr>
              <w:spacing w:before="40" w:after="40"/>
            </w:pPr>
            <w:r>
              <w:rPr>
                <w:i/>
                <w:iCs/>
                <w:color w:val="1B3A6B"/>
                <w:sz w:val="19"/>
                <w:szCs w:val="19"/>
              </w:rPr>
              <w:t>Clinical / operational consent — the employee's informed agreement to participate in an OH assessment and to have their information shared in specified ways. This is an ethical and professional requirement.</w:t>
            </w:r>
          </w:p>
          <w:p w:rsidR="00F6699F" w:rsidRDefault="004C062F">
            <w:pPr>
              <w:spacing w:before="40" w:after="40"/>
            </w:pPr>
            <w:r>
              <w:rPr>
                <w:i/>
                <w:iCs/>
                <w:color w:val="1B3A6B"/>
                <w:sz w:val="19"/>
                <w:szCs w:val="19"/>
              </w:rPr>
              <w:t>GDPR lawful basis for processing — HealthBri</w:t>
            </w:r>
            <w:r>
              <w:rPr>
                <w:i/>
                <w:iCs/>
                <w:color w:val="1B3A6B"/>
                <w:sz w:val="19"/>
                <w:szCs w:val="19"/>
              </w:rPr>
              <w:t>dge does NOT rely on consent as the UK GDPR lawful basis for processing employees' health data. The lawful basis is UK GDPR Article 9(2)(h) (medical purposes by a health professional subject to professional secrecy obligations) supported by DPA 2018 Schedu</w:t>
            </w:r>
            <w:r>
              <w:rPr>
                <w:i/>
                <w:iCs/>
                <w:color w:val="1B3A6B"/>
                <w:sz w:val="19"/>
                <w:szCs w:val="19"/>
              </w:rPr>
              <w:t>le 1, Part 1, Para 2(2)(b) (occupational medicine purposes).</w:t>
            </w:r>
          </w:p>
          <w:p w:rsidR="00F6699F" w:rsidRDefault="004C062F">
            <w:pPr>
              <w:spacing w:before="40" w:after="40"/>
            </w:pPr>
            <w:r>
              <w:rPr>
                <w:i/>
                <w:iCs/>
                <w:color w:val="1B3A6B"/>
                <w:sz w:val="19"/>
                <w:szCs w:val="19"/>
              </w:rPr>
              <w:t>This distinction matters: if GDPR consent were the lawful basis, an employee could withdraw it at any time and require erasure of all records, including records that HealthBridge has a legal obligation to retain. The clinical consent described in this poli</w:t>
            </w:r>
            <w:r>
              <w:rPr>
                <w:i/>
                <w:iCs/>
                <w:color w:val="1B3A6B"/>
                <w:sz w:val="19"/>
                <w:szCs w:val="19"/>
              </w:rPr>
              <w:t>cy governs what is shared and how — not whether processing is lawful.</w:t>
            </w:r>
          </w:p>
        </w:tc>
      </w:tr>
    </w:tbl>
    <w:p w:rsidR="00F6699F" w:rsidRDefault="00F6699F">
      <w:pPr>
        <w:spacing w:before="80"/>
      </w:pPr>
    </w:p>
    <w:p w:rsidR="00F6699F" w:rsidRDefault="004C062F">
      <w:pPr>
        <w:spacing w:before="400" w:after="120"/>
      </w:pPr>
      <w:r>
        <w:rPr>
          <w:b/>
          <w:bCs/>
          <w:color w:val="1B3A6B"/>
          <w:sz w:val="28"/>
          <w:szCs w:val="28"/>
        </w:rPr>
        <w:t>3.  Scope</w:t>
      </w:r>
    </w:p>
    <w:p w:rsidR="00F6699F" w:rsidRDefault="00F6699F">
      <w:pPr>
        <w:pBdr>
          <w:bottom w:val="single" w:sz="6" w:space="1" w:color="1B3A6B"/>
        </w:pBdr>
        <w:spacing w:before="60" w:after="200"/>
      </w:pPr>
    </w:p>
    <w:p w:rsidR="00F6699F" w:rsidRDefault="004C062F">
      <w:pPr>
        <w:spacing w:before="60" w:after="100"/>
      </w:pPr>
      <w:r>
        <w:rPr>
          <w:color w:val="1A1A2E"/>
        </w:rPr>
        <w:t>This policy applies to all consent obtained in connection with HealthBridge services, including:</w:t>
      </w:r>
    </w:p>
    <w:p w:rsidR="00F6699F" w:rsidRDefault="004C062F">
      <w:pPr>
        <w:pStyle w:val="ListParagraph"/>
        <w:numPr>
          <w:ilvl w:val="0"/>
          <w:numId w:val="2"/>
        </w:numPr>
        <w:spacing w:before="40" w:after="40"/>
      </w:pPr>
      <w:r>
        <w:t>Consent to participate in an OH assessment (video or telephone)</w:t>
      </w:r>
    </w:p>
    <w:p w:rsidR="00F6699F" w:rsidRDefault="004C062F">
      <w:pPr>
        <w:pStyle w:val="ListParagraph"/>
        <w:numPr>
          <w:ilvl w:val="0"/>
          <w:numId w:val="2"/>
        </w:numPr>
        <w:spacing w:before="40" w:after="40"/>
      </w:pPr>
      <w:r>
        <w:t>Consent to t</w:t>
      </w:r>
      <w:r>
        <w:t>he release of an OH report to the referring employer</w:t>
      </w:r>
    </w:p>
    <w:p w:rsidR="00F6699F" w:rsidRDefault="004C062F">
      <w:pPr>
        <w:pStyle w:val="ListParagraph"/>
        <w:numPr>
          <w:ilvl w:val="0"/>
          <w:numId w:val="2"/>
        </w:numPr>
        <w:spacing w:before="40" w:after="40"/>
      </w:pPr>
      <w:r>
        <w:t>Consent to contact a treating clinician (e.g., GP or specialist) for further information</w:t>
      </w:r>
    </w:p>
    <w:p w:rsidR="00F6699F" w:rsidRDefault="004C062F">
      <w:pPr>
        <w:pStyle w:val="ListParagraph"/>
        <w:numPr>
          <w:ilvl w:val="0"/>
          <w:numId w:val="2"/>
        </w:numPr>
        <w:spacing w:before="40" w:after="40"/>
      </w:pPr>
      <w:r>
        <w:lastRenderedPageBreak/>
        <w:t xml:space="preserve">Consent to the use of </w:t>
      </w:r>
      <w:proofErr w:type="spellStart"/>
      <w:r>
        <w:t>anonymised</w:t>
      </w:r>
      <w:proofErr w:type="spellEnd"/>
      <w:r>
        <w:t xml:space="preserve"> data for quality improvement purposes</w:t>
      </w:r>
    </w:p>
    <w:p w:rsidR="00F6699F" w:rsidRDefault="004C062F">
      <w:pPr>
        <w:pStyle w:val="ListParagraph"/>
        <w:numPr>
          <w:ilvl w:val="0"/>
          <w:numId w:val="2"/>
        </w:numPr>
        <w:spacing w:before="40" w:after="40"/>
      </w:pPr>
      <w:r>
        <w:t>Any other consent obtained in the course of service delivery</w:t>
      </w:r>
    </w:p>
    <w:p w:rsidR="00F6699F" w:rsidRDefault="00F6699F">
      <w:pPr>
        <w:spacing w:before="80"/>
      </w:pPr>
    </w:p>
    <w:p w:rsidR="00F6699F" w:rsidRDefault="004C062F">
      <w:pPr>
        <w:spacing w:before="400" w:after="120"/>
      </w:pPr>
      <w:r>
        <w:rPr>
          <w:b/>
          <w:bCs/>
          <w:color w:val="1B3A6B"/>
          <w:sz w:val="28"/>
          <w:szCs w:val="28"/>
        </w:rPr>
        <w:t>4.  Principles of Valid Consent</w:t>
      </w:r>
    </w:p>
    <w:p w:rsidR="00F6699F" w:rsidRDefault="00F6699F">
      <w:pPr>
        <w:pBdr>
          <w:bottom w:val="single" w:sz="6" w:space="1" w:color="1B3A6B"/>
        </w:pBdr>
        <w:spacing w:before="60" w:after="200"/>
      </w:pPr>
    </w:p>
    <w:p w:rsidR="00F6699F" w:rsidRDefault="004C062F">
      <w:pPr>
        <w:spacing w:before="60" w:after="100"/>
      </w:pPr>
      <w:r>
        <w:rPr>
          <w:color w:val="1A1A2E"/>
        </w:rPr>
        <w:t>All consent obtained by HealthBridge must meet the following criteria to be valid:</w:t>
      </w:r>
    </w:p>
    <w:p w:rsidR="00F6699F" w:rsidRDefault="00F6699F">
      <w:pPr>
        <w:spacing w:before="60"/>
      </w:pPr>
    </w:p>
    <w:tbl>
      <w:tblPr>
        <w:tblW w:w="9026" w:type="dxa"/>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2400"/>
        <w:gridCol w:w="6626"/>
      </w:tblGrid>
      <w:tr w:rsidR="00F6699F">
        <w:tblPrEx>
          <w:tblCellMar>
            <w:top w:w="0" w:type="dxa"/>
            <w:bottom w:w="0" w:type="dxa"/>
          </w:tblCellMar>
        </w:tblPrEx>
        <w:tc>
          <w:tcPr>
            <w:tcW w:w="2400" w:type="dxa"/>
            <w:tcBorders>
              <w:top w:val="single" w:sz="1" w:space="0" w:color="C5CEDE"/>
              <w:left w:val="single" w:sz="1" w:space="0" w:color="C5CEDE"/>
              <w:bottom w:val="single" w:sz="1" w:space="0" w:color="C5CEDE"/>
              <w:right w:val="single" w:sz="1" w:space="0" w:color="C5CEDE"/>
            </w:tcBorders>
            <w:shd w:val="clear" w:color="auto" w:fill="1B3A6B"/>
            <w:tcMar>
              <w:top w:w="120" w:type="dxa"/>
              <w:left w:w="160" w:type="dxa"/>
              <w:bottom w:w="120" w:type="dxa"/>
              <w:right w:w="160" w:type="dxa"/>
            </w:tcMar>
          </w:tcPr>
          <w:p w:rsidR="00F6699F" w:rsidRDefault="004C062F">
            <w:r>
              <w:rPr>
                <w:b/>
                <w:bCs/>
                <w:color w:val="FFFFFF"/>
                <w:sz w:val="19"/>
                <w:szCs w:val="19"/>
              </w:rPr>
              <w:t>Principle</w:t>
            </w:r>
          </w:p>
        </w:tc>
        <w:tc>
          <w:tcPr>
            <w:tcW w:w="6626" w:type="dxa"/>
            <w:tcBorders>
              <w:top w:val="single" w:sz="1" w:space="0" w:color="C5CEDE"/>
              <w:left w:val="single" w:sz="1" w:space="0" w:color="C5CEDE"/>
              <w:bottom w:val="single" w:sz="1" w:space="0" w:color="C5CEDE"/>
              <w:right w:val="single" w:sz="1" w:space="0" w:color="C5CEDE"/>
            </w:tcBorders>
            <w:shd w:val="clear" w:color="auto" w:fill="1B3A6B"/>
            <w:tcMar>
              <w:top w:w="120" w:type="dxa"/>
              <w:left w:w="160" w:type="dxa"/>
              <w:bottom w:w="120" w:type="dxa"/>
              <w:right w:w="160" w:type="dxa"/>
            </w:tcMar>
          </w:tcPr>
          <w:p w:rsidR="00F6699F" w:rsidRDefault="004C062F">
            <w:r>
              <w:rPr>
                <w:b/>
                <w:bCs/>
                <w:color w:val="FFFFFF"/>
                <w:sz w:val="19"/>
                <w:szCs w:val="19"/>
              </w:rPr>
              <w:t>What This Means in Practice</w:t>
            </w:r>
          </w:p>
        </w:tc>
      </w:tr>
      <w:tr w:rsidR="00F6699F">
        <w:tblPrEx>
          <w:tblCellMar>
            <w:top w:w="0" w:type="dxa"/>
            <w:bottom w:w="0" w:type="dxa"/>
          </w:tblCellMar>
        </w:tblPrEx>
        <w:tc>
          <w:tcPr>
            <w:tcW w:w="24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F6699F" w:rsidRDefault="004C062F">
            <w:r>
              <w:rPr>
                <w:b/>
                <w:bCs/>
                <w:sz w:val="19"/>
                <w:szCs w:val="19"/>
              </w:rPr>
              <w:t>Freely given</w:t>
            </w:r>
          </w:p>
        </w:tc>
        <w:tc>
          <w:tcPr>
            <w:tcW w:w="6626"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F6699F" w:rsidRDefault="004C062F">
            <w:r>
              <w:rPr>
                <w:sz w:val="19"/>
                <w:szCs w:val="19"/>
              </w:rPr>
              <w:t>Consent must not be obtained under duress, pressure, or coercion. Employees must be explicitly informed that participation is voluntary, that declining consent will not result in adverse clinical consequences, and that any employment consequences of non-pa</w:t>
            </w:r>
            <w:r>
              <w:rPr>
                <w:sz w:val="19"/>
                <w:szCs w:val="19"/>
              </w:rPr>
              <w:t>rticipation are solely a matter between the employee and their employer — not something HealthBridge can influence or determine.</w:t>
            </w:r>
          </w:p>
        </w:tc>
      </w:tr>
      <w:tr w:rsidR="00F6699F">
        <w:tblPrEx>
          <w:tblCellMar>
            <w:top w:w="0" w:type="dxa"/>
            <w:bottom w:w="0" w:type="dxa"/>
          </w:tblCellMar>
        </w:tblPrEx>
        <w:tc>
          <w:tcPr>
            <w:tcW w:w="24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F6699F" w:rsidRDefault="004C062F">
            <w:r>
              <w:rPr>
                <w:b/>
                <w:bCs/>
                <w:sz w:val="19"/>
                <w:szCs w:val="19"/>
              </w:rPr>
              <w:t>Specific</w:t>
            </w:r>
          </w:p>
        </w:tc>
        <w:tc>
          <w:tcPr>
            <w:tcW w:w="6626"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F6699F" w:rsidRDefault="004C062F">
            <w:r>
              <w:rPr>
                <w:sz w:val="19"/>
                <w:szCs w:val="19"/>
              </w:rPr>
              <w:t>Consent is sought for each distinct purpose separately. Consent to assessment does not imply consent to report release. Consent to release does not imply consent to contact the employee's GP. Each element requires a separate, explicit agreement.</w:t>
            </w:r>
          </w:p>
        </w:tc>
      </w:tr>
      <w:tr w:rsidR="00F6699F">
        <w:tblPrEx>
          <w:tblCellMar>
            <w:top w:w="0" w:type="dxa"/>
            <w:bottom w:w="0" w:type="dxa"/>
          </w:tblCellMar>
        </w:tblPrEx>
        <w:tc>
          <w:tcPr>
            <w:tcW w:w="24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F6699F" w:rsidRDefault="004C062F">
            <w:r>
              <w:rPr>
                <w:b/>
                <w:bCs/>
                <w:sz w:val="19"/>
                <w:szCs w:val="19"/>
              </w:rPr>
              <w:t>Informed</w:t>
            </w:r>
          </w:p>
        </w:tc>
        <w:tc>
          <w:tcPr>
            <w:tcW w:w="6626"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F6699F" w:rsidRDefault="004C062F">
            <w:r>
              <w:rPr>
                <w:sz w:val="19"/>
                <w:szCs w:val="19"/>
              </w:rPr>
              <w:t>Employees must receive clear, plain-language information before consenting. This includes: the purpose of the assessment; who requested it; what the report will contain; who will receive it; how long data will be held; and how to withdraw consent. No legal</w:t>
            </w:r>
            <w:r>
              <w:rPr>
                <w:sz w:val="19"/>
                <w:szCs w:val="19"/>
              </w:rPr>
              <w:t>ese; no assumptions that employees already understand.</w:t>
            </w:r>
          </w:p>
        </w:tc>
      </w:tr>
      <w:tr w:rsidR="00F6699F">
        <w:tblPrEx>
          <w:tblCellMar>
            <w:top w:w="0" w:type="dxa"/>
            <w:bottom w:w="0" w:type="dxa"/>
          </w:tblCellMar>
        </w:tblPrEx>
        <w:tc>
          <w:tcPr>
            <w:tcW w:w="24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F6699F" w:rsidRDefault="004C062F">
            <w:r>
              <w:rPr>
                <w:b/>
                <w:bCs/>
                <w:sz w:val="19"/>
                <w:szCs w:val="19"/>
              </w:rPr>
              <w:t>Unambiguous</w:t>
            </w:r>
          </w:p>
        </w:tc>
        <w:tc>
          <w:tcPr>
            <w:tcW w:w="6626"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F6699F" w:rsidRDefault="004C062F">
            <w:r>
              <w:rPr>
                <w:sz w:val="19"/>
                <w:szCs w:val="19"/>
              </w:rPr>
              <w:t>Consent must be a positive, active act — a signature, a digital confirmation, or a clearly documented verbal affirmation. Silence, inaction, or pre-ticked boxes do not constitute valid con</w:t>
            </w:r>
            <w:r>
              <w:rPr>
                <w:sz w:val="19"/>
                <w:szCs w:val="19"/>
              </w:rPr>
              <w:t>sent.</w:t>
            </w:r>
          </w:p>
        </w:tc>
      </w:tr>
      <w:tr w:rsidR="00F6699F">
        <w:tblPrEx>
          <w:tblCellMar>
            <w:top w:w="0" w:type="dxa"/>
            <w:bottom w:w="0" w:type="dxa"/>
          </w:tblCellMar>
        </w:tblPrEx>
        <w:tc>
          <w:tcPr>
            <w:tcW w:w="24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F6699F" w:rsidRDefault="004C062F">
            <w:r>
              <w:rPr>
                <w:b/>
                <w:bCs/>
                <w:sz w:val="19"/>
                <w:szCs w:val="19"/>
              </w:rPr>
              <w:t>Revocable</w:t>
            </w:r>
          </w:p>
        </w:tc>
        <w:tc>
          <w:tcPr>
            <w:tcW w:w="6626"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F6699F" w:rsidRDefault="004C062F">
            <w:r>
              <w:rPr>
                <w:sz w:val="19"/>
                <w:szCs w:val="19"/>
              </w:rPr>
              <w:t>Employees may withdraw consent at any time without detriment to their NHS care or their relationship with HealthBridge. Withdrawal is effective immediately for future processing. It does not affect the lawfulness of processing already comp</w:t>
            </w:r>
            <w:r>
              <w:rPr>
                <w:sz w:val="19"/>
                <w:szCs w:val="19"/>
              </w:rPr>
              <w:t>leted.</w:t>
            </w:r>
          </w:p>
        </w:tc>
      </w:tr>
      <w:tr w:rsidR="00F6699F">
        <w:tblPrEx>
          <w:tblCellMar>
            <w:top w:w="0" w:type="dxa"/>
            <w:bottom w:w="0" w:type="dxa"/>
          </w:tblCellMar>
        </w:tblPrEx>
        <w:tc>
          <w:tcPr>
            <w:tcW w:w="24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F6699F" w:rsidRDefault="004C062F">
            <w:r>
              <w:rPr>
                <w:b/>
                <w:bCs/>
                <w:sz w:val="19"/>
                <w:szCs w:val="19"/>
              </w:rPr>
              <w:t>Capacity</w:t>
            </w:r>
          </w:p>
        </w:tc>
        <w:tc>
          <w:tcPr>
            <w:tcW w:w="6626"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F6699F" w:rsidRDefault="004C062F">
            <w:r>
              <w:rPr>
                <w:sz w:val="19"/>
                <w:szCs w:val="19"/>
              </w:rPr>
              <w:t>Consent is valid only where the employee has the mental capacity to give it, as defined by the Mental Capacity Act 2005. Where capacity is in doubt, the assessment is deferred and the employer notified that the assessment cannot proceed at</w:t>
            </w:r>
            <w:r>
              <w:rPr>
                <w:sz w:val="19"/>
                <w:szCs w:val="19"/>
              </w:rPr>
              <w:t xml:space="preserve"> this time. HealthBridge does not conduct formal capacity assessments.</w:t>
            </w:r>
          </w:p>
        </w:tc>
      </w:tr>
    </w:tbl>
    <w:p w:rsidR="00F6699F" w:rsidRDefault="00F6699F">
      <w:pPr>
        <w:spacing w:before="120"/>
      </w:pPr>
    </w:p>
    <w:p w:rsidR="00F6699F" w:rsidRDefault="004C062F">
      <w:pPr>
        <w:spacing w:before="400" w:after="120"/>
      </w:pPr>
      <w:r>
        <w:rPr>
          <w:b/>
          <w:bCs/>
          <w:color w:val="1B3A6B"/>
          <w:sz w:val="28"/>
          <w:szCs w:val="28"/>
        </w:rPr>
        <w:t xml:space="preserve">5.  What Consent is </w:t>
      </w:r>
      <w:proofErr w:type="gramStart"/>
      <w:r>
        <w:rPr>
          <w:b/>
          <w:bCs/>
          <w:color w:val="1B3A6B"/>
          <w:sz w:val="28"/>
          <w:szCs w:val="28"/>
        </w:rPr>
        <w:t>Required</w:t>
      </w:r>
      <w:proofErr w:type="gramEnd"/>
      <w:r>
        <w:rPr>
          <w:b/>
          <w:bCs/>
          <w:color w:val="1B3A6B"/>
          <w:sz w:val="28"/>
          <w:szCs w:val="28"/>
        </w:rPr>
        <w:t xml:space="preserve"> For</w:t>
      </w:r>
    </w:p>
    <w:p w:rsidR="00F6699F" w:rsidRDefault="00F6699F">
      <w:pPr>
        <w:pBdr>
          <w:bottom w:val="single" w:sz="6" w:space="1" w:color="1B3A6B"/>
        </w:pBdr>
        <w:spacing w:before="60" w:after="200"/>
      </w:pPr>
    </w:p>
    <w:p w:rsidR="00F6699F" w:rsidRDefault="004C062F">
      <w:pPr>
        <w:spacing w:before="60" w:after="100"/>
      </w:pPr>
      <w:r>
        <w:rPr>
          <w:color w:val="1A1A2E"/>
        </w:rPr>
        <w:t xml:space="preserve">The following table sets out the specific consent requirements for each stage of </w:t>
      </w:r>
      <w:proofErr w:type="spellStart"/>
      <w:r>
        <w:rPr>
          <w:color w:val="1A1A2E"/>
        </w:rPr>
        <w:t>HealthBridge'</w:t>
      </w:r>
      <w:r>
        <w:rPr>
          <w:color w:val="1A1A2E"/>
        </w:rPr>
        <w:t>s</w:t>
      </w:r>
      <w:proofErr w:type="spellEnd"/>
      <w:r>
        <w:rPr>
          <w:color w:val="1A1A2E"/>
        </w:rPr>
        <w:t xml:space="preserve"> service. These are listed in the order in which they arise during the assessment process.</w:t>
      </w:r>
    </w:p>
    <w:p w:rsidR="00F6699F" w:rsidRDefault="00F6699F">
      <w:pPr>
        <w:spacing w:before="60"/>
      </w:pPr>
    </w:p>
    <w:tbl>
      <w:tblPr>
        <w:tblW w:w="9026" w:type="dxa"/>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3000"/>
        <w:gridCol w:w="2226"/>
        <w:gridCol w:w="3800"/>
      </w:tblGrid>
      <w:tr w:rsidR="00F6699F">
        <w:tblPrEx>
          <w:tblCellMar>
            <w:top w:w="0" w:type="dxa"/>
            <w:bottom w:w="0" w:type="dxa"/>
          </w:tblCellMar>
        </w:tblPrEx>
        <w:tc>
          <w:tcPr>
            <w:tcW w:w="3000" w:type="dxa"/>
            <w:tcBorders>
              <w:top w:val="single" w:sz="1" w:space="0" w:color="C5CEDE"/>
              <w:left w:val="single" w:sz="1" w:space="0" w:color="C5CEDE"/>
              <w:bottom w:val="single" w:sz="1" w:space="0" w:color="C5CEDE"/>
              <w:right w:val="single" w:sz="1" w:space="0" w:color="C5CEDE"/>
            </w:tcBorders>
            <w:shd w:val="clear" w:color="auto" w:fill="1B3A6B"/>
            <w:tcMar>
              <w:top w:w="120" w:type="dxa"/>
              <w:left w:w="160" w:type="dxa"/>
              <w:bottom w:w="120" w:type="dxa"/>
              <w:right w:w="160" w:type="dxa"/>
            </w:tcMar>
          </w:tcPr>
          <w:p w:rsidR="00F6699F" w:rsidRDefault="004C062F">
            <w:r>
              <w:rPr>
                <w:b/>
                <w:bCs/>
                <w:color w:val="FFFFFF"/>
                <w:sz w:val="19"/>
                <w:szCs w:val="19"/>
              </w:rPr>
              <w:t>Activity</w:t>
            </w:r>
          </w:p>
        </w:tc>
        <w:tc>
          <w:tcPr>
            <w:tcW w:w="2226" w:type="dxa"/>
            <w:tcBorders>
              <w:top w:val="single" w:sz="1" w:space="0" w:color="C5CEDE"/>
              <w:left w:val="single" w:sz="1" w:space="0" w:color="C5CEDE"/>
              <w:bottom w:val="single" w:sz="1" w:space="0" w:color="C5CEDE"/>
              <w:right w:val="single" w:sz="1" w:space="0" w:color="C5CEDE"/>
            </w:tcBorders>
            <w:shd w:val="clear" w:color="auto" w:fill="1B3A6B"/>
            <w:tcMar>
              <w:top w:w="120" w:type="dxa"/>
              <w:left w:w="160" w:type="dxa"/>
              <w:bottom w:w="120" w:type="dxa"/>
              <w:right w:w="160" w:type="dxa"/>
            </w:tcMar>
          </w:tcPr>
          <w:p w:rsidR="00F6699F" w:rsidRDefault="004C062F">
            <w:r>
              <w:rPr>
                <w:b/>
                <w:bCs/>
                <w:color w:val="FFFFFF"/>
                <w:sz w:val="19"/>
                <w:szCs w:val="19"/>
              </w:rPr>
              <w:t>Consent Type</w:t>
            </w:r>
          </w:p>
        </w:tc>
        <w:tc>
          <w:tcPr>
            <w:tcW w:w="3800" w:type="dxa"/>
            <w:tcBorders>
              <w:top w:val="single" w:sz="1" w:space="0" w:color="C5CEDE"/>
              <w:left w:val="single" w:sz="1" w:space="0" w:color="C5CEDE"/>
              <w:bottom w:val="single" w:sz="1" w:space="0" w:color="C5CEDE"/>
              <w:right w:val="single" w:sz="1" w:space="0" w:color="C5CEDE"/>
            </w:tcBorders>
            <w:shd w:val="clear" w:color="auto" w:fill="1B3A6B"/>
            <w:tcMar>
              <w:top w:w="120" w:type="dxa"/>
              <w:left w:w="160" w:type="dxa"/>
              <w:bottom w:w="120" w:type="dxa"/>
              <w:right w:w="160" w:type="dxa"/>
            </w:tcMar>
          </w:tcPr>
          <w:p w:rsidR="00F6699F" w:rsidRDefault="004C062F">
            <w:r>
              <w:rPr>
                <w:b/>
                <w:bCs/>
                <w:color w:val="FFFFFF"/>
                <w:sz w:val="19"/>
                <w:szCs w:val="19"/>
              </w:rPr>
              <w:t>Sample Wording / Notes</w:t>
            </w:r>
          </w:p>
        </w:tc>
      </w:tr>
      <w:tr w:rsidR="00F6699F">
        <w:tblPrEx>
          <w:tblCellMar>
            <w:top w:w="0" w:type="dxa"/>
            <w:bottom w:w="0" w:type="dxa"/>
          </w:tblCellMar>
        </w:tblPrEx>
        <w:tc>
          <w:tcPr>
            <w:tcW w:w="30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F6699F" w:rsidRDefault="004C062F">
            <w:r>
              <w:rPr>
                <w:b/>
                <w:bCs/>
                <w:sz w:val="19"/>
                <w:szCs w:val="19"/>
              </w:rPr>
              <w:t>Participation in OH assessment</w:t>
            </w:r>
          </w:p>
        </w:tc>
        <w:tc>
          <w:tcPr>
            <w:tcW w:w="2226"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F6699F" w:rsidRDefault="004C062F">
            <w:r>
              <w:rPr>
                <w:sz w:val="19"/>
                <w:szCs w:val="19"/>
              </w:rPr>
              <w:t>Explicit — written or verbally confirmed and documented</w:t>
            </w:r>
          </w:p>
        </w:tc>
        <w:tc>
          <w:tcPr>
            <w:tcW w:w="38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F6699F" w:rsidRDefault="004C062F">
            <w:r>
              <w:rPr>
                <w:sz w:val="19"/>
                <w:szCs w:val="19"/>
              </w:rPr>
              <w:t>'</w:t>
            </w:r>
            <w:r>
              <w:rPr>
                <w:sz w:val="19"/>
                <w:szCs w:val="19"/>
              </w:rPr>
              <w:t>I consent to a remote OH assessment conducted by HealthBridge Occupational Health Ltd on behalf of [Employer].'</w:t>
            </w:r>
          </w:p>
        </w:tc>
      </w:tr>
      <w:tr w:rsidR="00F6699F">
        <w:tblPrEx>
          <w:tblCellMar>
            <w:top w:w="0" w:type="dxa"/>
            <w:bottom w:w="0" w:type="dxa"/>
          </w:tblCellMar>
        </w:tblPrEx>
        <w:tc>
          <w:tcPr>
            <w:tcW w:w="30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F6699F" w:rsidRDefault="004C062F">
            <w:r>
              <w:rPr>
                <w:b/>
                <w:bCs/>
                <w:sz w:val="19"/>
                <w:szCs w:val="19"/>
              </w:rPr>
              <w:t xml:space="preserve">Release of OH report to </w:t>
            </w:r>
            <w:r>
              <w:rPr>
                <w:b/>
                <w:bCs/>
                <w:sz w:val="19"/>
                <w:szCs w:val="19"/>
              </w:rPr>
              <w:lastRenderedPageBreak/>
              <w:t>referring employer</w:t>
            </w:r>
          </w:p>
        </w:tc>
        <w:tc>
          <w:tcPr>
            <w:tcW w:w="2226"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F6699F" w:rsidRDefault="004C062F">
            <w:r>
              <w:rPr>
                <w:sz w:val="19"/>
                <w:szCs w:val="19"/>
              </w:rPr>
              <w:lastRenderedPageBreak/>
              <w:t xml:space="preserve">Explicit — separate </w:t>
            </w:r>
            <w:r>
              <w:rPr>
                <w:sz w:val="19"/>
                <w:szCs w:val="19"/>
              </w:rPr>
              <w:lastRenderedPageBreak/>
              <w:t>from assessment consent; obtained after report is drafted</w:t>
            </w:r>
          </w:p>
        </w:tc>
        <w:tc>
          <w:tcPr>
            <w:tcW w:w="38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F6699F" w:rsidRDefault="004C062F">
            <w:r>
              <w:rPr>
                <w:sz w:val="19"/>
                <w:szCs w:val="19"/>
              </w:rPr>
              <w:lastRenderedPageBreak/>
              <w:t>'</w:t>
            </w:r>
            <w:r>
              <w:rPr>
                <w:sz w:val="19"/>
                <w:szCs w:val="19"/>
              </w:rPr>
              <w:t xml:space="preserve">I have reviewed the OH report and </w:t>
            </w:r>
            <w:r>
              <w:rPr>
                <w:sz w:val="19"/>
                <w:szCs w:val="19"/>
              </w:rPr>
              <w:lastRenderedPageBreak/>
              <w:t>consent to its release to [Employer / named recipient(s)]. I understand I may withhold this consent without my medical care being affected.' Consent to release is obtained AFTER the employee has had the opportunity to revi</w:t>
            </w:r>
            <w:r>
              <w:rPr>
                <w:sz w:val="19"/>
                <w:szCs w:val="19"/>
              </w:rPr>
              <w:t>ew the report (AMRA 1988 — see Section 7).</w:t>
            </w:r>
          </w:p>
        </w:tc>
      </w:tr>
      <w:tr w:rsidR="00F6699F">
        <w:tblPrEx>
          <w:tblCellMar>
            <w:top w:w="0" w:type="dxa"/>
            <w:bottom w:w="0" w:type="dxa"/>
          </w:tblCellMar>
        </w:tblPrEx>
        <w:tc>
          <w:tcPr>
            <w:tcW w:w="30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F6699F" w:rsidRDefault="004C062F">
            <w:r>
              <w:rPr>
                <w:b/>
                <w:bCs/>
                <w:sz w:val="19"/>
                <w:szCs w:val="19"/>
              </w:rPr>
              <w:lastRenderedPageBreak/>
              <w:t>Contact with treating clinician (GP or specialist)</w:t>
            </w:r>
          </w:p>
        </w:tc>
        <w:tc>
          <w:tcPr>
            <w:tcW w:w="2226"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F6699F" w:rsidRDefault="004C062F">
            <w:r>
              <w:rPr>
                <w:sz w:val="19"/>
                <w:szCs w:val="19"/>
              </w:rPr>
              <w:t>Separate explicit opt-in</w:t>
            </w:r>
          </w:p>
        </w:tc>
        <w:tc>
          <w:tcPr>
            <w:tcW w:w="38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F6699F" w:rsidRDefault="004C062F">
            <w:r>
              <w:rPr>
                <w:sz w:val="19"/>
                <w:szCs w:val="19"/>
              </w:rPr>
              <w:t xml:space="preserve">'I consent to HealthBridge contacting [my GP / named specialist] to obtain information relevant to this OH assessment.' Named clinician </w:t>
            </w:r>
            <w:r>
              <w:rPr>
                <w:sz w:val="19"/>
                <w:szCs w:val="19"/>
              </w:rPr>
              <w:t>and purpose must be specified.</w:t>
            </w:r>
          </w:p>
        </w:tc>
      </w:tr>
      <w:tr w:rsidR="00F6699F">
        <w:tblPrEx>
          <w:tblCellMar>
            <w:top w:w="0" w:type="dxa"/>
            <w:bottom w:w="0" w:type="dxa"/>
          </w:tblCellMar>
        </w:tblPrEx>
        <w:tc>
          <w:tcPr>
            <w:tcW w:w="30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F6699F" w:rsidRDefault="004C062F">
            <w:r>
              <w:rPr>
                <w:b/>
                <w:bCs/>
                <w:sz w:val="19"/>
                <w:szCs w:val="19"/>
              </w:rPr>
              <w:t>Sharing report with additional third parties (e.g., solicitors, insurers, occupational therapists)</w:t>
            </w:r>
          </w:p>
        </w:tc>
        <w:tc>
          <w:tcPr>
            <w:tcW w:w="2226"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F6699F" w:rsidRDefault="004C062F">
            <w:r>
              <w:rPr>
                <w:sz w:val="19"/>
                <w:szCs w:val="19"/>
              </w:rPr>
              <w:t>Specific explicit consent for each recipient</w:t>
            </w:r>
          </w:p>
        </w:tc>
        <w:tc>
          <w:tcPr>
            <w:tcW w:w="38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F6699F" w:rsidRDefault="004C062F">
            <w:r>
              <w:rPr>
                <w:sz w:val="19"/>
                <w:szCs w:val="19"/>
              </w:rPr>
              <w:t>Each additional recipient requires separate named consent. Generalised consent t</w:t>
            </w:r>
            <w:r>
              <w:rPr>
                <w:sz w:val="19"/>
                <w:szCs w:val="19"/>
              </w:rPr>
              <w:t>o 'share with relevant parties' is not sufficient.</w:t>
            </w:r>
          </w:p>
        </w:tc>
      </w:tr>
      <w:tr w:rsidR="00F6699F">
        <w:tblPrEx>
          <w:tblCellMar>
            <w:top w:w="0" w:type="dxa"/>
            <w:bottom w:w="0" w:type="dxa"/>
          </w:tblCellMar>
        </w:tblPrEx>
        <w:tc>
          <w:tcPr>
            <w:tcW w:w="30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F6699F" w:rsidRDefault="004C062F">
            <w:r>
              <w:rPr>
                <w:b/>
                <w:bCs/>
                <w:sz w:val="19"/>
                <w:szCs w:val="19"/>
              </w:rPr>
              <w:t xml:space="preserve">Use of </w:t>
            </w:r>
            <w:proofErr w:type="spellStart"/>
            <w:r>
              <w:rPr>
                <w:b/>
                <w:bCs/>
                <w:sz w:val="19"/>
                <w:szCs w:val="19"/>
              </w:rPr>
              <w:t>anonymised</w:t>
            </w:r>
            <w:proofErr w:type="spellEnd"/>
            <w:r>
              <w:rPr>
                <w:b/>
                <w:bCs/>
                <w:sz w:val="19"/>
                <w:szCs w:val="19"/>
              </w:rPr>
              <w:t xml:space="preserve"> data for audit or quality improvement</w:t>
            </w:r>
          </w:p>
        </w:tc>
        <w:tc>
          <w:tcPr>
            <w:tcW w:w="2226"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F6699F" w:rsidRDefault="004C062F">
            <w:r>
              <w:rPr>
                <w:sz w:val="19"/>
                <w:szCs w:val="19"/>
              </w:rPr>
              <w:t>Optional — separate from clinical consent</w:t>
            </w:r>
          </w:p>
        </w:tc>
        <w:tc>
          <w:tcPr>
            <w:tcW w:w="38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F6699F" w:rsidRDefault="004C062F">
            <w:r>
              <w:rPr>
                <w:sz w:val="19"/>
                <w:szCs w:val="19"/>
              </w:rPr>
              <w:t>'</w:t>
            </w:r>
            <w:r>
              <w:rPr>
                <w:sz w:val="19"/>
                <w:szCs w:val="19"/>
              </w:rPr>
              <w:t xml:space="preserve">I agree that </w:t>
            </w:r>
            <w:proofErr w:type="spellStart"/>
            <w:r>
              <w:rPr>
                <w:sz w:val="19"/>
                <w:szCs w:val="19"/>
              </w:rPr>
              <w:t>anonymised</w:t>
            </w:r>
            <w:proofErr w:type="spellEnd"/>
            <w:r>
              <w:rPr>
                <w:sz w:val="19"/>
                <w:szCs w:val="19"/>
              </w:rPr>
              <w:t>, non-identifiable data from my assessment may be used for HealthBridge quality improvement purposes.' Declining this consent has no effect on the assessment or report.</w:t>
            </w:r>
          </w:p>
        </w:tc>
      </w:tr>
    </w:tbl>
    <w:p w:rsidR="00F6699F" w:rsidRDefault="00F6699F">
      <w:pPr>
        <w:spacing w:before="120"/>
      </w:pPr>
    </w:p>
    <w:p w:rsidR="00F6699F" w:rsidRDefault="004C062F">
      <w:pPr>
        <w:spacing w:before="400" w:after="120"/>
      </w:pPr>
      <w:r>
        <w:rPr>
          <w:b/>
          <w:bCs/>
          <w:color w:val="1B3A6B"/>
          <w:sz w:val="28"/>
          <w:szCs w:val="28"/>
        </w:rPr>
        <w:t>6.  Pre-Consent Information</w:t>
      </w:r>
    </w:p>
    <w:p w:rsidR="00F6699F" w:rsidRDefault="00F6699F">
      <w:pPr>
        <w:pBdr>
          <w:bottom w:val="single" w:sz="6" w:space="1" w:color="1B3A6B"/>
        </w:pBdr>
        <w:spacing w:before="60" w:after="200"/>
      </w:pPr>
    </w:p>
    <w:p w:rsidR="00F6699F" w:rsidRDefault="004C062F">
      <w:pPr>
        <w:spacing w:before="60" w:after="100"/>
      </w:pPr>
      <w:r>
        <w:rPr>
          <w:color w:val="1A1A2E"/>
        </w:rPr>
        <w:t>Before any consent is sought, the</w:t>
      </w:r>
      <w:r>
        <w:rPr>
          <w:color w:val="1A1A2E"/>
        </w:rPr>
        <w:t xml:space="preserve"> employee must be provided with the following information in plain language. This is delivered via the pre-assessment intake documentation and verbally at the start of each assessment:</w:t>
      </w:r>
    </w:p>
    <w:p w:rsidR="00F6699F" w:rsidRDefault="00F6699F">
      <w:pPr>
        <w:spacing w:before="60"/>
      </w:pPr>
    </w:p>
    <w:tbl>
      <w:tblPr>
        <w:tblW w:w="9026" w:type="dxa"/>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3200"/>
        <w:gridCol w:w="5826"/>
      </w:tblGrid>
      <w:tr w:rsidR="00F6699F">
        <w:tblPrEx>
          <w:tblCellMar>
            <w:top w:w="0" w:type="dxa"/>
            <w:bottom w:w="0" w:type="dxa"/>
          </w:tblCellMar>
        </w:tblPrEx>
        <w:tc>
          <w:tcPr>
            <w:tcW w:w="3200" w:type="dxa"/>
            <w:tcBorders>
              <w:top w:val="single" w:sz="1" w:space="0" w:color="C5CEDE"/>
              <w:left w:val="single" w:sz="1" w:space="0" w:color="C5CEDE"/>
              <w:bottom w:val="single" w:sz="1" w:space="0" w:color="C5CEDE"/>
              <w:right w:val="single" w:sz="1" w:space="0" w:color="C5CEDE"/>
            </w:tcBorders>
            <w:shd w:val="clear" w:color="auto" w:fill="1B3A6B"/>
            <w:tcMar>
              <w:top w:w="120" w:type="dxa"/>
              <w:left w:w="160" w:type="dxa"/>
              <w:bottom w:w="120" w:type="dxa"/>
              <w:right w:w="160" w:type="dxa"/>
            </w:tcMar>
          </w:tcPr>
          <w:p w:rsidR="00F6699F" w:rsidRDefault="004C062F">
            <w:r>
              <w:rPr>
                <w:b/>
                <w:bCs/>
                <w:color w:val="FFFFFF"/>
                <w:sz w:val="19"/>
                <w:szCs w:val="19"/>
              </w:rPr>
              <w:t>Information Required</w:t>
            </w:r>
          </w:p>
        </w:tc>
        <w:tc>
          <w:tcPr>
            <w:tcW w:w="5826" w:type="dxa"/>
            <w:tcBorders>
              <w:top w:val="single" w:sz="1" w:space="0" w:color="C5CEDE"/>
              <w:left w:val="single" w:sz="1" w:space="0" w:color="C5CEDE"/>
              <w:bottom w:val="single" w:sz="1" w:space="0" w:color="C5CEDE"/>
              <w:right w:val="single" w:sz="1" w:space="0" w:color="C5CEDE"/>
            </w:tcBorders>
            <w:shd w:val="clear" w:color="auto" w:fill="1B3A6B"/>
            <w:tcMar>
              <w:top w:w="120" w:type="dxa"/>
              <w:left w:w="160" w:type="dxa"/>
              <w:bottom w:w="120" w:type="dxa"/>
              <w:right w:w="160" w:type="dxa"/>
            </w:tcMar>
          </w:tcPr>
          <w:p w:rsidR="00F6699F" w:rsidRDefault="004C062F">
            <w:r>
              <w:rPr>
                <w:b/>
                <w:bCs/>
                <w:color w:val="FFFFFF"/>
                <w:sz w:val="19"/>
                <w:szCs w:val="19"/>
              </w:rPr>
              <w:t>Details</w:t>
            </w:r>
          </w:p>
        </w:tc>
      </w:tr>
      <w:tr w:rsidR="00F6699F">
        <w:tblPrEx>
          <w:tblCellMar>
            <w:top w:w="0" w:type="dxa"/>
            <w:bottom w:w="0" w:type="dxa"/>
          </w:tblCellMar>
        </w:tblPrEx>
        <w:tc>
          <w:tcPr>
            <w:tcW w:w="32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F6699F" w:rsidRDefault="004C062F">
            <w:r>
              <w:rPr>
                <w:b/>
                <w:bCs/>
                <w:sz w:val="19"/>
                <w:szCs w:val="19"/>
              </w:rPr>
              <w:t>Identity of requesting party</w:t>
            </w:r>
          </w:p>
        </w:tc>
        <w:tc>
          <w:tcPr>
            <w:tcW w:w="5826"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F6699F" w:rsidRDefault="004C062F">
            <w:r>
              <w:rPr>
                <w:sz w:val="19"/>
                <w:szCs w:val="19"/>
              </w:rPr>
              <w:t>The name of the employer or organisation that has made the referral.</w:t>
            </w:r>
          </w:p>
        </w:tc>
      </w:tr>
      <w:tr w:rsidR="00F6699F">
        <w:tblPrEx>
          <w:tblCellMar>
            <w:top w:w="0" w:type="dxa"/>
            <w:bottom w:w="0" w:type="dxa"/>
          </w:tblCellMar>
        </w:tblPrEx>
        <w:tc>
          <w:tcPr>
            <w:tcW w:w="32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F6699F" w:rsidRDefault="004C062F">
            <w:r>
              <w:rPr>
                <w:b/>
                <w:bCs/>
                <w:sz w:val="19"/>
                <w:szCs w:val="19"/>
              </w:rPr>
              <w:t>Purpose of the assessment</w:t>
            </w:r>
          </w:p>
        </w:tc>
        <w:tc>
          <w:tcPr>
            <w:tcW w:w="5826"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F6699F" w:rsidRDefault="004C062F">
            <w:r>
              <w:rPr>
                <w:sz w:val="19"/>
                <w:szCs w:val="19"/>
              </w:rPr>
              <w:t>The specific occupational health question the referral is seeking to address.</w:t>
            </w:r>
          </w:p>
        </w:tc>
      </w:tr>
      <w:tr w:rsidR="00F6699F">
        <w:tblPrEx>
          <w:tblCellMar>
            <w:top w:w="0" w:type="dxa"/>
            <w:bottom w:w="0" w:type="dxa"/>
          </w:tblCellMar>
        </w:tblPrEx>
        <w:tc>
          <w:tcPr>
            <w:tcW w:w="32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F6699F" w:rsidRDefault="004C062F">
            <w:r>
              <w:rPr>
                <w:b/>
                <w:bCs/>
                <w:sz w:val="19"/>
                <w:szCs w:val="19"/>
              </w:rPr>
              <w:t>Nature of the assessment</w:t>
            </w:r>
          </w:p>
        </w:tc>
        <w:tc>
          <w:tcPr>
            <w:tcW w:w="5826"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F6699F" w:rsidRDefault="004C062F">
            <w:r>
              <w:rPr>
                <w:sz w:val="19"/>
                <w:szCs w:val="19"/>
              </w:rPr>
              <w:t>Remote consultation (video or telephone); approximate duration; who will conduct it.</w:t>
            </w:r>
          </w:p>
        </w:tc>
      </w:tr>
      <w:tr w:rsidR="00F6699F">
        <w:tblPrEx>
          <w:tblCellMar>
            <w:top w:w="0" w:type="dxa"/>
            <w:bottom w:w="0" w:type="dxa"/>
          </w:tblCellMar>
        </w:tblPrEx>
        <w:tc>
          <w:tcPr>
            <w:tcW w:w="32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F6699F" w:rsidRDefault="004C062F">
            <w:r>
              <w:rPr>
                <w:b/>
                <w:bCs/>
                <w:sz w:val="19"/>
                <w:szCs w:val="19"/>
              </w:rPr>
              <w:t>Report recipients</w:t>
            </w:r>
          </w:p>
        </w:tc>
        <w:tc>
          <w:tcPr>
            <w:tcW w:w="5826"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F6699F" w:rsidRDefault="004C062F">
            <w:r>
              <w:rPr>
                <w:sz w:val="19"/>
                <w:szCs w:val="19"/>
              </w:rPr>
              <w:t>Specific named individuals or roles who will receive the completed report (e.g., 'HR Manager' — not 'the company').</w:t>
            </w:r>
          </w:p>
        </w:tc>
      </w:tr>
      <w:tr w:rsidR="00F6699F">
        <w:tblPrEx>
          <w:tblCellMar>
            <w:top w:w="0" w:type="dxa"/>
            <w:bottom w:w="0" w:type="dxa"/>
          </w:tblCellMar>
        </w:tblPrEx>
        <w:tc>
          <w:tcPr>
            <w:tcW w:w="32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F6699F" w:rsidRDefault="004C062F">
            <w:r>
              <w:rPr>
                <w:b/>
                <w:bCs/>
                <w:sz w:val="19"/>
                <w:szCs w:val="19"/>
              </w:rPr>
              <w:t>Right to see report before release</w:t>
            </w:r>
          </w:p>
        </w:tc>
        <w:tc>
          <w:tcPr>
            <w:tcW w:w="5826"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F6699F" w:rsidRDefault="004C062F">
            <w:r>
              <w:rPr>
                <w:sz w:val="19"/>
                <w:szCs w:val="19"/>
              </w:rPr>
              <w:t>Explicit statement that the employee has the right to review the report before it is sent to the employer and may withhold consent for its release.</w:t>
            </w:r>
          </w:p>
        </w:tc>
      </w:tr>
      <w:tr w:rsidR="00F6699F">
        <w:tblPrEx>
          <w:tblCellMar>
            <w:top w:w="0" w:type="dxa"/>
            <w:bottom w:w="0" w:type="dxa"/>
          </w:tblCellMar>
        </w:tblPrEx>
        <w:tc>
          <w:tcPr>
            <w:tcW w:w="32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F6699F" w:rsidRDefault="004C062F">
            <w:r>
              <w:rPr>
                <w:b/>
                <w:bCs/>
                <w:sz w:val="19"/>
                <w:szCs w:val="19"/>
              </w:rPr>
              <w:t>Right to decline or withdraw</w:t>
            </w:r>
          </w:p>
        </w:tc>
        <w:tc>
          <w:tcPr>
            <w:tcW w:w="5826"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F6699F" w:rsidRDefault="004C062F">
            <w:r>
              <w:rPr>
                <w:sz w:val="19"/>
                <w:szCs w:val="19"/>
              </w:rPr>
              <w:t>The employee may decline the assessment or withdraw consent at any time. Any e</w:t>
            </w:r>
            <w:r>
              <w:rPr>
                <w:sz w:val="19"/>
                <w:szCs w:val="19"/>
              </w:rPr>
              <w:t>mployment consequences are between the employee and their employer, not HealthBridge.</w:t>
            </w:r>
          </w:p>
        </w:tc>
      </w:tr>
      <w:tr w:rsidR="00F6699F">
        <w:tblPrEx>
          <w:tblCellMar>
            <w:top w:w="0" w:type="dxa"/>
            <w:bottom w:w="0" w:type="dxa"/>
          </w:tblCellMar>
        </w:tblPrEx>
        <w:tc>
          <w:tcPr>
            <w:tcW w:w="32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F6699F" w:rsidRDefault="004C062F">
            <w:r>
              <w:rPr>
                <w:b/>
                <w:bCs/>
                <w:sz w:val="19"/>
                <w:szCs w:val="19"/>
              </w:rPr>
              <w:t>Data retention</w:t>
            </w:r>
          </w:p>
        </w:tc>
        <w:tc>
          <w:tcPr>
            <w:tcW w:w="5826"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F6699F" w:rsidRDefault="004C062F">
            <w:r>
              <w:rPr>
                <w:sz w:val="19"/>
                <w:szCs w:val="19"/>
              </w:rPr>
              <w:t>Records are retained for a minimum of 8 years from the date of assessment in line with standard medical record retention guidance.</w:t>
            </w:r>
          </w:p>
        </w:tc>
      </w:tr>
      <w:tr w:rsidR="00F6699F">
        <w:tblPrEx>
          <w:tblCellMar>
            <w:top w:w="0" w:type="dxa"/>
            <w:bottom w:w="0" w:type="dxa"/>
          </w:tblCellMar>
        </w:tblPrEx>
        <w:tc>
          <w:tcPr>
            <w:tcW w:w="32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F6699F" w:rsidRDefault="004C062F">
            <w:r>
              <w:rPr>
                <w:b/>
                <w:bCs/>
                <w:sz w:val="19"/>
                <w:szCs w:val="19"/>
              </w:rPr>
              <w:t>How to withdraw consent</w:t>
            </w:r>
          </w:p>
        </w:tc>
        <w:tc>
          <w:tcPr>
            <w:tcW w:w="5826"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F6699F" w:rsidRDefault="004C062F">
            <w:r>
              <w:rPr>
                <w:sz w:val="19"/>
                <w:szCs w:val="19"/>
              </w:rPr>
              <w:t>By email to contact@healthbridge.org.uk or in writing. Effective immediately on receipt.</w:t>
            </w:r>
          </w:p>
        </w:tc>
      </w:tr>
    </w:tbl>
    <w:p w:rsidR="00F6699F" w:rsidRDefault="00F6699F">
      <w:pPr>
        <w:spacing w:before="120"/>
      </w:pPr>
    </w:p>
    <w:p w:rsidR="00F6699F" w:rsidRDefault="004C062F">
      <w:pPr>
        <w:spacing w:before="400" w:after="120"/>
      </w:pPr>
      <w:r>
        <w:rPr>
          <w:b/>
          <w:bCs/>
          <w:color w:val="1B3A6B"/>
          <w:sz w:val="28"/>
          <w:szCs w:val="28"/>
        </w:rPr>
        <w:t>7.  Access to Medical Reports Act 1988 — Consent to Release</w:t>
      </w:r>
    </w:p>
    <w:p w:rsidR="00F6699F" w:rsidRDefault="00F6699F">
      <w:pPr>
        <w:pBdr>
          <w:bottom w:val="single" w:sz="6" w:space="1" w:color="1B3A6B"/>
        </w:pBdr>
        <w:spacing w:before="60" w:after="200"/>
      </w:pPr>
    </w:p>
    <w:p w:rsidR="00F6699F" w:rsidRDefault="004C062F">
      <w:pPr>
        <w:spacing w:before="60" w:after="100"/>
      </w:pPr>
      <w:r>
        <w:rPr>
          <w:color w:val="1A1A2E"/>
        </w:rPr>
        <w:t>The Access to Medical Reports Act 1988 (AMRA) establishes specific employee rights regarding OH reports prepared for employers. These rights are a distinct and mandatory layer of consent, separate from consent to assessment:</w:t>
      </w:r>
    </w:p>
    <w:p w:rsidR="00F6699F" w:rsidRDefault="00F6699F">
      <w:pPr>
        <w:spacing w:before="60"/>
      </w:pPr>
    </w:p>
    <w:p w:rsidR="00F6699F" w:rsidRDefault="004C062F">
      <w:pPr>
        <w:pStyle w:val="ListParagraph"/>
        <w:numPr>
          <w:ilvl w:val="0"/>
          <w:numId w:val="2"/>
        </w:numPr>
        <w:spacing w:before="40" w:after="40"/>
      </w:pPr>
      <w:r>
        <w:t>The OH report is completed and provided to the employee for review before it is sent to the employer.</w:t>
      </w:r>
    </w:p>
    <w:p w:rsidR="00F6699F" w:rsidRDefault="004C062F">
      <w:pPr>
        <w:pStyle w:val="ListParagraph"/>
        <w:numPr>
          <w:ilvl w:val="0"/>
          <w:numId w:val="2"/>
        </w:numPr>
        <w:spacing w:before="40" w:after="40"/>
      </w:pPr>
      <w:r>
        <w:t xml:space="preserve">The employee has a default 7 calendar days to review the report and decide whether to consent to its release. This window may be extended at the Clinical </w:t>
      </w:r>
      <w:r>
        <w:t>Lead's discretion.</w:t>
      </w:r>
    </w:p>
    <w:p w:rsidR="00F6699F" w:rsidRDefault="004C062F">
      <w:pPr>
        <w:pStyle w:val="ListParagraph"/>
        <w:numPr>
          <w:ilvl w:val="0"/>
          <w:numId w:val="2"/>
        </w:numPr>
        <w:spacing w:before="40" w:after="40"/>
      </w:pPr>
      <w:r>
        <w:t>The employee may: (a) consent to release as drafted; (b) consent to release with amendments agreed by the Clinical Lead; (c) consent to release with their own statement of disagreement appended; or (d) withhold consent to release entirel</w:t>
      </w:r>
      <w:r>
        <w:t>y.</w:t>
      </w:r>
    </w:p>
    <w:p w:rsidR="00F6699F" w:rsidRDefault="004C062F">
      <w:pPr>
        <w:pStyle w:val="ListParagraph"/>
        <w:numPr>
          <w:ilvl w:val="0"/>
          <w:numId w:val="2"/>
        </w:numPr>
        <w:spacing w:before="40" w:after="40"/>
      </w:pPr>
      <w:r>
        <w:t>Where the employee withholds consent to release, the employer is notified only that an assessment has been completed but that the employee has not consented to report release. No clinical information is disclosed to the employer.</w:t>
      </w:r>
    </w:p>
    <w:p w:rsidR="00F6699F" w:rsidRDefault="004C062F">
      <w:pPr>
        <w:pStyle w:val="ListParagraph"/>
        <w:numPr>
          <w:ilvl w:val="0"/>
          <w:numId w:val="2"/>
        </w:numPr>
        <w:spacing w:before="40" w:after="40"/>
      </w:pPr>
      <w:r>
        <w:t>The report is never rel</w:t>
      </w:r>
      <w:r>
        <w:t>eased to the employer before confirmed written or documented verbal consent to release has been obtained from the employee.</w:t>
      </w:r>
    </w:p>
    <w:p w:rsidR="00F6699F" w:rsidRDefault="00F6699F">
      <w:pPr>
        <w:spacing w:before="60"/>
      </w:pPr>
    </w:p>
    <w:tbl>
      <w:tblPr>
        <w:tblW w:w="902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9026"/>
      </w:tblGrid>
      <w:tr w:rsidR="00F6699F">
        <w:tblPrEx>
          <w:tblCellMar>
            <w:top w:w="0" w:type="dxa"/>
            <w:bottom w:w="0" w:type="dxa"/>
          </w:tblCellMar>
        </w:tblPrEx>
        <w:tc>
          <w:tcPr>
            <w:tcW w:w="9026" w:type="dxa"/>
            <w:tcBorders>
              <w:top w:val="single" w:sz="4" w:space="0" w:color="1B3A6B"/>
              <w:left w:val="single" w:sz="18" w:space="0" w:color="1B3A6B"/>
              <w:bottom w:val="single" w:sz="4" w:space="0" w:color="1B3A6B"/>
              <w:right w:val="single" w:sz="4" w:space="0" w:color="1B3A6B"/>
            </w:tcBorders>
            <w:shd w:val="clear" w:color="auto" w:fill="E8EEF5"/>
            <w:tcMar>
              <w:top w:w="180" w:type="dxa"/>
              <w:left w:w="260" w:type="dxa"/>
              <w:bottom w:w="180" w:type="dxa"/>
              <w:right w:w="260" w:type="dxa"/>
            </w:tcMar>
          </w:tcPr>
          <w:p w:rsidR="00F6699F" w:rsidRDefault="004C062F">
            <w:r>
              <w:rPr>
                <w:i/>
                <w:iCs/>
                <w:color w:val="1B3A6B"/>
                <w:sz w:val="19"/>
                <w:szCs w:val="19"/>
              </w:rPr>
              <w:t xml:space="preserve">Consent to release is recorded separately from consent to assessment and is obtained after the report is drafted — not before. </w:t>
            </w:r>
            <w:proofErr w:type="gramStart"/>
            <w:r>
              <w:rPr>
                <w:i/>
                <w:iCs/>
                <w:color w:val="1B3A6B"/>
                <w:sz w:val="19"/>
                <w:szCs w:val="19"/>
              </w:rPr>
              <w:t>A pr</w:t>
            </w:r>
            <w:r>
              <w:rPr>
                <w:i/>
                <w:iCs/>
                <w:color w:val="1B3A6B"/>
                <w:sz w:val="19"/>
                <w:szCs w:val="19"/>
              </w:rPr>
              <w:t>e-signed</w:t>
            </w:r>
            <w:proofErr w:type="gramEnd"/>
            <w:r>
              <w:rPr>
                <w:i/>
                <w:iCs/>
                <w:color w:val="1B3A6B"/>
                <w:sz w:val="19"/>
                <w:szCs w:val="19"/>
              </w:rPr>
              <w:t xml:space="preserve"> blanket consent to 'share any report produced' does not satisfy the requirements of AMRA 1988 and will not be accepted as valid release consent.</w:t>
            </w:r>
          </w:p>
        </w:tc>
      </w:tr>
    </w:tbl>
    <w:p w:rsidR="00F6699F" w:rsidRDefault="00F6699F">
      <w:pPr>
        <w:spacing w:before="80"/>
      </w:pPr>
    </w:p>
    <w:p w:rsidR="00F6699F" w:rsidRDefault="004C062F">
      <w:pPr>
        <w:spacing w:before="400" w:after="120"/>
      </w:pPr>
      <w:r>
        <w:rPr>
          <w:b/>
          <w:bCs/>
          <w:color w:val="1B3A6B"/>
          <w:sz w:val="28"/>
          <w:szCs w:val="28"/>
        </w:rPr>
        <w:t>8.  How Consent is Obtained and Recorded</w:t>
      </w:r>
    </w:p>
    <w:p w:rsidR="00F6699F" w:rsidRDefault="00F6699F">
      <w:pPr>
        <w:pBdr>
          <w:bottom w:val="single" w:sz="6" w:space="1" w:color="1B3A6B"/>
        </w:pBdr>
        <w:spacing w:before="60" w:after="200"/>
      </w:pPr>
    </w:p>
    <w:p w:rsidR="00F6699F" w:rsidRDefault="004C062F">
      <w:pPr>
        <w:spacing w:before="280" w:after="100"/>
      </w:pPr>
      <w:proofErr w:type="gramStart"/>
      <w:r>
        <w:rPr>
          <w:b/>
          <w:bCs/>
          <w:color w:val="1B3A6B"/>
          <w:sz w:val="22"/>
          <w:szCs w:val="22"/>
        </w:rPr>
        <w:t>8.1  Digital</w:t>
      </w:r>
      <w:proofErr w:type="gramEnd"/>
      <w:r>
        <w:rPr>
          <w:b/>
          <w:bCs/>
          <w:color w:val="1B3A6B"/>
          <w:sz w:val="22"/>
          <w:szCs w:val="22"/>
        </w:rPr>
        <w:t xml:space="preserve"> Consent (Standard Method)</w:t>
      </w:r>
    </w:p>
    <w:p w:rsidR="00F6699F" w:rsidRDefault="004C062F">
      <w:pPr>
        <w:spacing w:before="60" w:after="100"/>
      </w:pPr>
      <w:r>
        <w:rPr>
          <w:color w:val="1A1A2E"/>
        </w:rPr>
        <w:t>The preferred and primary method for obtaining consent is via the HealthBridge secure digital intake form, transmitted and stored on encrypted platforms (AES-256 standard). Digital consent records include a timestamp and the specific consent statements agr</w:t>
      </w:r>
      <w:r>
        <w:rPr>
          <w:color w:val="1A1A2E"/>
        </w:rPr>
        <w:t>eed. These records are retained for a minimum of 8 years from the date of assessment, as part of the clinical record.</w:t>
      </w:r>
    </w:p>
    <w:p w:rsidR="00F6699F" w:rsidRDefault="00F6699F">
      <w:pPr>
        <w:spacing w:before="80"/>
      </w:pPr>
    </w:p>
    <w:p w:rsidR="00F6699F" w:rsidRDefault="004C062F">
      <w:pPr>
        <w:spacing w:before="280" w:after="100"/>
      </w:pPr>
      <w:proofErr w:type="gramStart"/>
      <w:r>
        <w:rPr>
          <w:b/>
          <w:bCs/>
          <w:color w:val="1B3A6B"/>
          <w:sz w:val="22"/>
          <w:szCs w:val="22"/>
        </w:rPr>
        <w:t>8.2  Written</w:t>
      </w:r>
      <w:proofErr w:type="gramEnd"/>
      <w:r>
        <w:rPr>
          <w:b/>
          <w:bCs/>
          <w:color w:val="1B3A6B"/>
          <w:sz w:val="22"/>
          <w:szCs w:val="22"/>
        </w:rPr>
        <w:t xml:space="preserve"> / Paper Consent</w:t>
      </w:r>
    </w:p>
    <w:p w:rsidR="00F6699F" w:rsidRDefault="004C062F">
      <w:pPr>
        <w:spacing w:before="60" w:after="100"/>
      </w:pPr>
      <w:r>
        <w:rPr>
          <w:color w:val="1A1A2E"/>
        </w:rPr>
        <w:t>Where paper consent forms are used (e.g., at the employee's request or where digital access is unavailable),</w:t>
      </w:r>
      <w:r>
        <w:rPr>
          <w:color w:val="1A1A2E"/>
        </w:rPr>
        <w:t xml:space="preserve"> the signed form is scanned to an encrypted drive and the digital copy retained as part of the clinical record for the full 8-year retention period. The original paper form is retained securely alongside the digital record — paper forms are not destroyed a</w:t>
      </w:r>
      <w:r>
        <w:rPr>
          <w:color w:val="1A1A2E"/>
        </w:rPr>
        <w:t>fter scanning.</w:t>
      </w:r>
    </w:p>
    <w:p w:rsidR="00F6699F" w:rsidRDefault="00F6699F">
      <w:pPr>
        <w:spacing w:before="80"/>
      </w:pPr>
    </w:p>
    <w:p w:rsidR="00F6699F" w:rsidRDefault="004C062F">
      <w:pPr>
        <w:spacing w:before="280" w:after="100"/>
      </w:pPr>
      <w:proofErr w:type="gramStart"/>
      <w:r>
        <w:rPr>
          <w:b/>
          <w:bCs/>
          <w:color w:val="1B3A6B"/>
          <w:sz w:val="22"/>
          <w:szCs w:val="22"/>
        </w:rPr>
        <w:t>8.3  Verbal</w:t>
      </w:r>
      <w:proofErr w:type="gramEnd"/>
      <w:r>
        <w:rPr>
          <w:b/>
          <w:bCs/>
          <w:color w:val="1B3A6B"/>
          <w:sz w:val="22"/>
          <w:szCs w:val="22"/>
        </w:rPr>
        <w:t xml:space="preserve"> Consent</w:t>
      </w:r>
    </w:p>
    <w:p w:rsidR="00F6699F" w:rsidRDefault="004C062F">
      <w:pPr>
        <w:spacing w:before="60" w:after="100"/>
      </w:pPr>
      <w:r>
        <w:rPr>
          <w:color w:val="1A1A2E"/>
        </w:rPr>
        <w:t>Verbal consent may be used where written or digital consent cannot be obtained at the time of assessment (e.g., where the employee does not have access to the pre-assessment form). Where verbal consent is relied upon:</w:t>
      </w:r>
    </w:p>
    <w:p w:rsidR="00F6699F" w:rsidRDefault="004C062F">
      <w:pPr>
        <w:pStyle w:val="ListParagraph"/>
        <w:numPr>
          <w:ilvl w:val="0"/>
          <w:numId w:val="2"/>
        </w:numPr>
        <w:spacing w:before="40" w:after="40"/>
      </w:pPr>
      <w:r>
        <w:t>Th</w:t>
      </w:r>
      <w:r>
        <w:t>e Clinical Lead reads the key consent statements aloud and the employee's agreement is confirmed verbally.</w:t>
      </w:r>
    </w:p>
    <w:p w:rsidR="00F6699F" w:rsidRDefault="004C062F">
      <w:pPr>
        <w:pStyle w:val="ListParagraph"/>
        <w:numPr>
          <w:ilvl w:val="0"/>
          <w:numId w:val="2"/>
        </w:numPr>
        <w:spacing w:before="40" w:after="40"/>
      </w:pPr>
      <w:r>
        <w:lastRenderedPageBreak/>
        <w:t>The Clinical Lead documents the verbal consent in the clinical record immediately, noting: the date and time; the statements read; the employee's res</w:t>
      </w:r>
      <w:r>
        <w:t>ponse; and the fact that written consent will be sought promptly by follow-up email.</w:t>
      </w:r>
    </w:p>
    <w:p w:rsidR="00F6699F" w:rsidRDefault="004C062F">
      <w:pPr>
        <w:pStyle w:val="ListParagraph"/>
        <w:numPr>
          <w:ilvl w:val="0"/>
          <w:numId w:val="2"/>
        </w:numPr>
        <w:spacing w:before="40" w:after="40"/>
      </w:pPr>
      <w:r>
        <w:t xml:space="preserve">A written consent confirmation is sent to the employee by email immediately after the assessment, requesting written confirmation. Verbal consent remains valid whether or </w:t>
      </w:r>
      <w:r>
        <w:t>not written confirmation is received, provided it is fully documented.</w:t>
      </w:r>
    </w:p>
    <w:p w:rsidR="00F6699F" w:rsidRDefault="004C062F">
      <w:pPr>
        <w:pStyle w:val="ListParagraph"/>
        <w:numPr>
          <w:ilvl w:val="0"/>
          <w:numId w:val="2"/>
        </w:numPr>
        <w:spacing w:before="40" w:after="40"/>
      </w:pPr>
      <w:r>
        <w:t>Verbal consent for report release alone is not sufficient — written or digitally documented consent to release is required before any report is dispatched.</w:t>
      </w:r>
    </w:p>
    <w:p w:rsidR="00F6699F" w:rsidRDefault="00F6699F">
      <w:pPr>
        <w:spacing w:before="80"/>
      </w:pPr>
    </w:p>
    <w:p w:rsidR="00F6699F" w:rsidRDefault="004C062F">
      <w:pPr>
        <w:spacing w:before="400" w:after="120"/>
      </w:pPr>
      <w:r>
        <w:rPr>
          <w:b/>
          <w:bCs/>
          <w:color w:val="1B3A6B"/>
          <w:sz w:val="28"/>
          <w:szCs w:val="28"/>
        </w:rPr>
        <w:t>9.  Coercion, Undue Pressure</w:t>
      </w:r>
      <w:r>
        <w:rPr>
          <w:b/>
          <w:bCs/>
          <w:color w:val="1B3A6B"/>
          <w:sz w:val="28"/>
          <w:szCs w:val="28"/>
        </w:rPr>
        <w:t>, and the Role of the Employer</w:t>
      </w:r>
    </w:p>
    <w:p w:rsidR="00F6699F" w:rsidRDefault="00F6699F">
      <w:pPr>
        <w:pBdr>
          <w:bottom w:val="single" w:sz="6" w:space="1" w:color="1B3A6B"/>
        </w:pBdr>
        <w:spacing w:before="60" w:after="200"/>
      </w:pPr>
    </w:p>
    <w:p w:rsidR="00F6699F" w:rsidRDefault="004C062F">
      <w:pPr>
        <w:spacing w:before="60" w:after="100"/>
      </w:pPr>
      <w:r>
        <w:rPr>
          <w:color w:val="1A1A2E"/>
        </w:rPr>
        <w:t>The employment relationship creates an inherent power imbalance that can compromise the validity of consent. HealthBridge has a professional obligation to ensure consent remains genuinely free.</w:t>
      </w:r>
    </w:p>
    <w:p w:rsidR="00F6699F" w:rsidRDefault="00F6699F">
      <w:pPr>
        <w:spacing w:before="60"/>
      </w:pPr>
    </w:p>
    <w:p w:rsidR="00F6699F" w:rsidRDefault="004C062F">
      <w:pPr>
        <w:spacing w:before="280" w:after="100"/>
      </w:pPr>
      <w:proofErr w:type="gramStart"/>
      <w:r>
        <w:rPr>
          <w:b/>
          <w:bCs/>
          <w:color w:val="1B3A6B"/>
          <w:sz w:val="22"/>
          <w:szCs w:val="22"/>
        </w:rPr>
        <w:t>9.1  What</w:t>
      </w:r>
      <w:proofErr w:type="gramEnd"/>
      <w:r>
        <w:rPr>
          <w:b/>
          <w:bCs/>
          <w:color w:val="1B3A6B"/>
          <w:sz w:val="22"/>
          <w:szCs w:val="22"/>
        </w:rPr>
        <w:t xml:space="preserve"> HealthBridge Will D</w:t>
      </w:r>
      <w:r>
        <w:rPr>
          <w:b/>
          <w:bCs/>
          <w:color w:val="1B3A6B"/>
          <w:sz w:val="22"/>
          <w:szCs w:val="22"/>
        </w:rPr>
        <w:t>o</w:t>
      </w:r>
    </w:p>
    <w:p w:rsidR="00F6699F" w:rsidRDefault="004C062F">
      <w:pPr>
        <w:pStyle w:val="ListParagraph"/>
        <w:numPr>
          <w:ilvl w:val="0"/>
          <w:numId w:val="2"/>
        </w:numPr>
        <w:spacing w:before="40" w:after="40"/>
      </w:pPr>
      <w:r>
        <w:t xml:space="preserve">Explicitly inform each employee at the start of every assessment that participation is voluntary and not a condition of their employment at </w:t>
      </w:r>
      <w:proofErr w:type="spellStart"/>
      <w:r>
        <w:t>HealthBridge's</w:t>
      </w:r>
      <w:proofErr w:type="spellEnd"/>
      <w:r>
        <w:t xml:space="preserve"> direction.</w:t>
      </w:r>
    </w:p>
    <w:p w:rsidR="00F6699F" w:rsidRDefault="004C062F">
      <w:pPr>
        <w:pStyle w:val="ListParagraph"/>
        <w:numPr>
          <w:ilvl w:val="0"/>
          <w:numId w:val="2"/>
        </w:numPr>
        <w:spacing w:before="40" w:after="40"/>
      </w:pPr>
      <w:r>
        <w:t>Advise the employee that any consequences of declining to participate are employment mat</w:t>
      </w:r>
      <w:r>
        <w:t>ters between them and their employer, which HealthBridge has no role in determining.</w:t>
      </w:r>
    </w:p>
    <w:p w:rsidR="00F6699F" w:rsidRDefault="004C062F">
      <w:pPr>
        <w:pStyle w:val="ListParagraph"/>
        <w:numPr>
          <w:ilvl w:val="0"/>
          <w:numId w:val="2"/>
        </w:numPr>
        <w:spacing w:before="40" w:after="40"/>
      </w:pPr>
      <w:r>
        <w:t>If an employee indicates they feel pressured to consent, the assessment is paused. The employee is given time and space to consider their position. The assessment may be r</w:t>
      </w:r>
      <w:r>
        <w:t>escheduled.</w:t>
      </w:r>
    </w:p>
    <w:p w:rsidR="00F6699F" w:rsidRDefault="004C062F">
      <w:pPr>
        <w:pStyle w:val="ListParagraph"/>
        <w:numPr>
          <w:ilvl w:val="0"/>
          <w:numId w:val="2"/>
        </w:numPr>
        <w:spacing w:before="40" w:after="40"/>
      </w:pPr>
      <w:r>
        <w:t>Where coercion by an employer is suspected or reported, this is documented and the matter may be referenced in the report or escalated as appropriate under professional duties.</w:t>
      </w:r>
    </w:p>
    <w:p w:rsidR="00F6699F" w:rsidRDefault="00F6699F">
      <w:pPr>
        <w:spacing w:before="80"/>
      </w:pPr>
    </w:p>
    <w:p w:rsidR="00F6699F" w:rsidRDefault="004C062F">
      <w:pPr>
        <w:spacing w:before="280" w:after="100"/>
      </w:pPr>
      <w:proofErr w:type="gramStart"/>
      <w:r>
        <w:rPr>
          <w:b/>
          <w:bCs/>
          <w:color w:val="1B3A6B"/>
          <w:sz w:val="22"/>
          <w:szCs w:val="22"/>
        </w:rPr>
        <w:t>9.2  Employer</w:t>
      </w:r>
      <w:proofErr w:type="gramEnd"/>
      <w:r>
        <w:rPr>
          <w:b/>
          <w:bCs/>
          <w:color w:val="1B3A6B"/>
          <w:sz w:val="22"/>
          <w:szCs w:val="22"/>
        </w:rPr>
        <w:t xml:space="preserve"> Responsibilities Regarding Consent</w:t>
      </w:r>
    </w:p>
    <w:p w:rsidR="00F6699F" w:rsidRDefault="004C062F">
      <w:pPr>
        <w:spacing w:before="60" w:after="100"/>
      </w:pPr>
      <w:r>
        <w:rPr>
          <w:color w:val="1A1A2E"/>
        </w:rPr>
        <w:t>Referring employers must not:</w:t>
      </w:r>
    </w:p>
    <w:p w:rsidR="00F6699F" w:rsidRDefault="004C062F">
      <w:pPr>
        <w:pStyle w:val="ListParagraph"/>
        <w:numPr>
          <w:ilvl w:val="0"/>
          <w:numId w:val="2"/>
        </w:numPr>
        <w:spacing w:before="40" w:after="40"/>
      </w:pPr>
      <w:proofErr w:type="spellStart"/>
      <w:r>
        <w:t>Instruct or</w:t>
      </w:r>
      <w:proofErr w:type="spellEnd"/>
      <w:r>
        <w:t xml:space="preserve"> pressure employees to sign consent forms as a condition of employment or as part of a disciplinary process</w:t>
      </w:r>
    </w:p>
    <w:p w:rsidR="00F6699F" w:rsidRDefault="004C062F">
      <w:pPr>
        <w:pStyle w:val="ListParagraph"/>
        <w:numPr>
          <w:ilvl w:val="0"/>
          <w:numId w:val="2"/>
        </w:numPr>
        <w:spacing w:before="40" w:after="40"/>
      </w:pPr>
      <w:r>
        <w:t>Represent to employees that consent is mandatory or that refusal will have specific consequences</w:t>
      </w:r>
    </w:p>
    <w:p w:rsidR="00F6699F" w:rsidRDefault="004C062F">
      <w:pPr>
        <w:pStyle w:val="ListParagraph"/>
        <w:numPr>
          <w:ilvl w:val="0"/>
          <w:numId w:val="2"/>
        </w:numPr>
        <w:spacing w:before="40" w:after="40"/>
      </w:pPr>
      <w:r>
        <w:t xml:space="preserve">Access or </w:t>
      </w:r>
      <w:r>
        <w:t>share OH reports beyond the named recipients agreed at the time of consent</w:t>
      </w:r>
    </w:p>
    <w:p w:rsidR="00F6699F" w:rsidRDefault="004C062F">
      <w:pPr>
        <w:pStyle w:val="ListParagraph"/>
        <w:numPr>
          <w:ilvl w:val="0"/>
          <w:numId w:val="2"/>
        </w:numPr>
        <w:spacing w:before="40" w:after="40"/>
      </w:pPr>
      <w:r>
        <w:t>Retain OH reports beyond their own reasonable retention needs or following an employee's lawful request for deletion</w:t>
      </w:r>
    </w:p>
    <w:p w:rsidR="00F6699F" w:rsidRDefault="00F6699F">
      <w:pPr>
        <w:spacing w:before="60"/>
      </w:pPr>
    </w:p>
    <w:p w:rsidR="00F6699F" w:rsidRDefault="004C062F">
      <w:pPr>
        <w:spacing w:before="60" w:after="100"/>
      </w:pPr>
      <w:r>
        <w:rPr>
          <w:color w:val="1A1A2E"/>
        </w:rPr>
        <w:t>HealthBridge reserves the right to decline or terminate a referral where there is evidence that the referring employer is applying undue pressure on an employee in relation to the OH process.</w:t>
      </w:r>
    </w:p>
    <w:p w:rsidR="00F6699F" w:rsidRDefault="00F6699F">
      <w:pPr>
        <w:spacing w:before="80"/>
      </w:pPr>
    </w:p>
    <w:p w:rsidR="00F6699F" w:rsidRDefault="004C062F">
      <w:pPr>
        <w:spacing w:before="400" w:after="120"/>
      </w:pPr>
      <w:r>
        <w:rPr>
          <w:b/>
          <w:bCs/>
          <w:color w:val="1B3A6B"/>
          <w:sz w:val="28"/>
          <w:szCs w:val="28"/>
        </w:rPr>
        <w:t>10.  When an Employee Declines or Withdraws Consent</w:t>
      </w:r>
    </w:p>
    <w:p w:rsidR="00F6699F" w:rsidRDefault="00F6699F">
      <w:pPr>
        <w:pBdr>
          <w:bottom w:val="single" w:sz="6" w:space="1" w:color="1B3A6B"/>
        </w:pBdr>
        <w:spacing w:before="60" w:after="200"/>
      </w:pPr>
    </w:p>
    <w:p w:rsidR="00F6699F" w:rsidRDefault="004C062F">
      <w:pPr>
        <w:spacing w:before="280" w:after="100"/>
      </w:pPr>
      <w:proofErr w:type="gramStart"/>
      <w:r>
        <w:rPr>
          <w:b/>
          <w:bCs/>
          <w:color w:val="1B3A6B"/>
          <w:sz w:val="22"/>
          <w:szCs w:val="22"/>
        </w:rPr>
        <w:t>10.1  Decl</w:t>
      </w:r>
      <w:r>
        <w:rPr>
          <w:b/>
          <w:bCs/>
          <w:color w:val="1B3A6B"/>
          <w:sz w:val="22"/>
          <w:szCs w:val="22"/>
        </w:rPr>
        <w:t>ining</w:t>
      </w:r>
      <w:proofErr w:type="gramEnd"/>
      <w:r>
        <w:rPr>
          <w:b/>
          <w:bCs/>
          <w:color w:val="1B3A6B"/>
          <w:sz w:val="22"/>
          <w:szCs w:val="22"/>
        </w:rPr>
        <w:t xml:space="preserve"> to Participate in Assessment</w:t>
      </w:r>
    </w:p>
    <w:p w:rsidR="00F6699F" w:rsidRDefault="004C062F">
      <w:pPr>
        <w:spacing w:before="60" w:after="100"/>
      </w:pPr>
      <w:r>
        <w:rPr>
          <w:color w:val="1A1A2E"/>
        </w:rPr>
        <w:t>Where an employee declines consent to assessment:</w:t>
      </w:r>
    </w:p>
    <w:p w:rsidR="00F6699F" w:rsidRDefault="004C062F">
      <w:pPr>
        <w:pStyle w:val="ListParagraph"/>
        <w:numPr>
          <w:ilvl w:val="0"/>
          <w:numId w:val="2"/>
        </w:numPr>
        <w:spacing w:before="40" w:after="40"/>
      </w:pPr>
      <w:r>
        <w:t>The assessment does not proceed.</w:t>
      </w:r>
    </w:p>
    <w:p w:rsidR="00F6699F" w:rsidRDefault="004C062F">
      <w:pPr>
        <w:pStyle w:val="ListParagraph"/>
        <w:numPr>
          <w:ilvl w:val="0"/>
          <w:numId w:val="2"/>
        </w:numPr>
        <w:spacing w:before="40" w:after="40"/>
      </w:pPr>
      <w:r>
        <w:t>The employer is notified that the employee has declined to participate and that the assessment cannot proceed at this time.</w:t>
      </w:r>
    </w:p>
    <w:p w:rsidR="00F6699F" w:rsidRDefault="004C062F">
      <w:pPr>
        <w:pStyle w:val="ListParagraph"/>
        <w:numPr>
          <w:ilvl w:val="0"/>
          <w:numId w:val="2"/>
        </w:numPr>
        <w:spacing w:before="40" w:after="40"/>
      </w:pPr>
      <w:r>
        <w:t>No clinical in</w:t>
      </w:r>
      <w:r>
        <w:t>formation — including the reason for declining — is disclosed to the employer.</w:t>
      </w:r>
    </w:p>
    <w:p w:rsidR="00F6699F" w:rsidRDefault="004C062F">
      <w:pPr>
        <w:pStyle w:val="ListParagraph"/>
        <w:numPr>
          <w:ilvl w:val="0"/>
          <w:numId w:val="2"/>
        </w:numPr>
        <w:spacing w:before="40" w:after="40"/>
      </w:pPr>
      <w:r>
        <w:lastRenderedPageBreak/>
        <w:t>The referral is closed. The employer may make employment decisions based on the information available to them without the benefit of an OH opinion.</w:t>
      </w:r>
    </w:p>
    <w:p w:rsidR="00F6699F" w:rsidRDefault="00F6699F">
      <w:pPr>
        <w:spacing w:before="80"/>
      </w:pPr>
    </w:p>
    <w:p w:rsidR="00F6699F" w:rsidRDefault="004C062F">
      <w:pPr>
        <w:spacing w:before="280" w:after="100"/>
      </w:pPr>
      <w:proofErr w:type="gramStart"/>
      <w:r>
        <w:rPr>
          <w:b/>
          <w:bCs/>
          <w:color w:val="1B3A6B"/>
          <w:sz w:val="22"/>
          <w:szCs w:val="22"/>
        </w:rPr>
        <w:t>10.2  Withdrawing</w:t>
      </w:r>
      <w:proofErr w:type="gramEnd"/>
      <w:r>
        <w:rPr>
          <w:b/>
          <w:bCs/>
          <w:color w:val="1B3A6B"/>
          <w:sz w:val="22"/>
          <w:szCs w:val="22"/>
        </w:rPr>
        <w:t xml:space="preserve"> Consent Af</w:t>
      </w:r>
      <w:r>
        <w:rPr>
          <w:b/>
          <w:bCs/>
          <w:color w:val="1B3A6B"/>
          <w:sz w:val="22"/>
          <w:szCs w:val="22"/>
        </w:rPr>
        <w:t>ter Assessment</w:t>
      </w:r>
    </w:p>
    <w:p w:rsidR="00F6699F" w:rsidRDefault="004C062F">
      <w:pPr>
        <w:spacing w:before="60" w:after="100"/>
      </w:pPr>
      <w:r>
        <w:rPr>
          <w:color w:val="1A1A2E"/>
        </w:rPr>
        <w:t>An employee may withdraw consent to report release after the assessment has taken place but before the report is dispatched:</w:t>
      </w:r>
    </w:p>
    <w:p w:rsidR="00F6699F" w:rsidRDefault="004C062F">
      <w:pPr>
        <w:pStyle w:val="ListParagraph"/>
        <w:numPr>
          <w:ilvl w:val="0"/>
          <w:numId w:val="2"/>
        </w:numPr>
        <w:spacing w:before="40" w:after="40"/>
      </w:pPr>
      <w:r>
        <w:t>The report is not released.</w:t>
      </w:r>
    </w:p>
    <w:p w:rsidR="00F6699F" w:rsidRDefault="004C062F">
      <w:pPr>
        <w:pStyle w:val="ListParagraph"/>
        <w:numPr>
          <w:ilvl w:val="0"/>
          <w:numId w:val="2"/>
        </w:numPr>
        <w:spacing w:before="40" w:after="40"/>
      </w:pPr>
      <w:r>
        <w:t>The employer is notified that an assessment was completed but the employee has not conse</w:t>
      </w:r>
      <w:r>
        <w:t>nted to release of the report.</w:t>
      </w:r>
    </w:p>
    <w:p w:rsidR="00F6699F" w:rsidRDefault="004C062F">
      <w:pPr>
        <w:pStyle w:val="ListParagraph"/>
        <w:numPr>
          <w:ilvl w:val="0"/>
          <w:numId w:val="2"/>
        </w:numPr>
        <w:spacing w:before="40" w:after="40"/>
      </w:pPr>
      <w:r>
        <w:t>The clinical record of the assessment is retained by HealthBridge for the standard 8-year period regardless of withdrawal of release consent.</w:t>
      </w:r>
    </w:p>
    <w:p w:rsidR="00F6699F" w:rsidRDefault="00F6699F">
      <w:pPr>
        <w:spacing w:before="80"/>
      </w:pPr>
    </w:p>
    <w:p w:rsidR="00F6699F" w:rsidRDefault="004C062F">
      <w:pPr>
        <w:spacing w:before="280" w:after="100"/>
      </w:pPr>
      <w:proofErr w:type="gramStart"/>
      <w:r>
        <w:rPr>
          <w:b/>
          <w:bCs/>
          <w:color w:val="1B3A6B"/>
          <w:sz w:val="22"/>
          <w:szCs w:val="22"/>
        </w:rPr>
        <w:t>10.3  Withdrawing</w:t>
      </w:r>
      <w:proofErr w:type="gramEnd"/>
      <w:r>
        <w:rPr>
          <w:b/>
          <w:bCs/>
          <w:color w:val="1B3A6B"/>
          <w:sz w:val="22"/>
          <w:szCs w:val="22"/>
        </w:rPr>
        <w:t xml:space="preserve"> Consent After Report Release</w:t>
      </w:r>
    </w:p>
    <w:p w:rsidR="00F6699F" w:rsidRDefault="004C062F">
      <w:pPr>
        <w:spacing w:before="60" w:after="100"/>
      </w:pPr>
      <w:r>
        <w:rPr>
          <w:color w:val="1A1A2E"/>
        </w:rPr>
        <w:t xml:space="preserve">Once a report has been released to the employer with the employee's consent, withdrawal of that consent does not retrospectively affect the validity of the disclosure already made. The employee may contact their employer directly regarding deletion of the </w:t>
      </w:r>
      <w:r>
        <w:rPr>
          <w:color w:val="1A1A2E"/>
        </w:rPr>
        <w:t>report from the employer's records, which is governed by the employer's own data protection obligations. HealthBridge will retain its clinical record for the standard period regardless.</w:t>
      </w:r>
    </w:p>
    <w:p w:rsidR="00F6699F" w:rsidRDefault="00F6699F">
      <w:pPr>
        <w:spacing w:before="80"/>
      </w:pPr>
    </w:p>
    <w:p w:rsidR="00F6699F" w:rsidRDefault="004C062F">
      <w:pPr>
        <w:spacing w:before="280" w:after="100"/>
      </w:pPr>
      <w:proofErr w:type="gramStart"/>
      <w:r>
        <w:rPr>
          <w:b/>
          <w:bCs/>
          <w:color w:val="1B3A6B"/>
          <w:sz w:val="22"/>
          <w:szCs w:val="22"/>
        </w:rPr>
        <w:t>10.4  Process</w:t>
      </w:r>
      <w:proofErr w:type="gramEnd"/>
      <w:r>
        <w:rPr>
          <w:b/>
          <w:bCs/>
          <w:color w:val="1B3A6B"/>
          <w:sz w:val="22"/>
          <w:szCs w:val="22"/>
        </w:rPr>
        <w:t xml:space="preserve"> for Withdrawing Consent</w:t>
      </w:r>
    </w:p>
    <w:p w:rsidR="00F6699F" w:rsidRDefault="004C062F">
      <w:pPr>
        <w:pStyle w:val="ListParagraph"/>
        <w:numPr>
          <w:ilvl w:val="0"/>
          <w:numId w:val="2"/>
        </w:numPr>
        <w:spacing w:before="40" w:after="40"/>
      </w:pPr>
      <w:r>
        <w:t>By email to: contact@healthbrid</w:t>
      </w:r>
      <w:r>
        <w:t>ge.org.uk</w:t>
      </w:r>
    </w:p>
    <w:p w:rsidR="00F6699F" w:rsidRDefault="004C062F">
      <w:pPr>
        <w:pStyle w:val="ListParagraph"/>
        <w:numPr>
          <w:ilvl w:val="0"/>
          <w:numId w:val="2"/>
        </w:numPr>
        <w:spacing w:before="40" w:after="40"/>
      </w:pPr>
      <w:r>
        <w:t xml:space="preserve">By letter to: HealthBridge Occupational Health Ltd, 50 </w:t>
      </w:r>
      <w:proofErr w:type="spellStart"/>
      <w:r>
        <w:t>Hadow</w:t>
      </w:r>
      <w:proofErr w:type="spellEnd"/>
      <w:r>
        <w:t xml:space="preserve"> Way, Gloucester, GL2 4YJ</w:t>
      </w:r>
    </w:p>
    <w:p w:rsidR="00F6699F" w:rsidRDefault="004C062F">
      <w:pPr>
        <w:pStyle w:val="ListParagraph"/>
        <w:numPr>
          <w:ilvl w:val="0"/>
          <w:numId w:val="2"/>
        </w:numPr>
        <w:spacing w:before="40" w:after="40"/>
      </w:pPr>
      <w:r>
        <w:t>Withdrawal is effective on receipt. Confirmation is sent to the employee within 3 working days.</w:t>
      </w:r>
    </w:p>
    <w:p w:rsidR="00F6699F" w:rsidRDefault="00F6699F">
      <w:pPr>
        <w:spacing w:before="80"/>
      </w:pPr>
    </w:p>
    <w:p w:rsidR="00F6699F" w:rsidRDefault="004C062F">
      <w:pPr>
        <w:spacing w:before="400" w:after="120"/>
      </w:pPr>
      <w:r>
        <w:rPr>
          <w:b/>
          <w:bCs/>
          <w:color w:val="1B3A6B"/>
          <w:sz w:val="28"/>
          <w:szCs w:val="28"/>
        </w:rPr>
        <w:t>11.  Mental Capacity Considerations</w:t>
      </w:r>
    </w:p>
    <w:p w:rsidR="00F6699F" w:rsidRDefault="00F6699F">
      <w:pPr>
        <w:pBdr>
          <w:bottom w:val="single" w:sz="6" w:space="1" w:color="1B3A6B"/>
        </w:pBdr>
        <w:spacing w:before="60" w:after="200"/>
      </w:pPr>
    </w:p>
    <w:p w:rsidR="00F6699F" w:rsidRDefault="004C062F">
      <w:pPr>
        <w:spacing w:before="60" w:after="100"/>
      </w:pPr>
      <w:r>
        <w:rPr>
          <w:color w:val="1A1A2E"/>
        </w:rPr>
        <w:t>HealthBridge assumes capac</w:t>
      </w:r>
      <w:r>
        <w:rPr>
          <w:color w:val="1A1A2E"/>
        </w:rPr>
        <w:t>ity unless there is reason to doubt it. Where the Clinical Lead has a reasonable concern that an employee may lack the mental capacity to provide valid consent (as defined under the Mental Capacity Act 2005):</w:t>
      </w:r>
    </w:p>
    <w:p w:rsidR="00F6699F" w:rsidRDefault="004C062F">
      <w:pPr>
        <w:pStyle w:val="ListParagraph"/>
        <w:numPr>
          <w:ilvl w:val="0"/>
          <w:numId w:val="2"/>
        </w:numPr>
        <w:spacing w:before="40" w:after="40"/>
      </w:pPr>
      <w:r>
        <w:t>The assessment is deferred.</w:t>
      </w:r>
    </w:p>
    <w:p w:rsidR="00F6699F" w:rsidRDefault="004C062F">
      <w:pPr>
        <w:pStyle w:val="ListParagraph"/>
        <w:numPr>
          <w:ilvl w:val="0"/>
          <w:numId w:val="2"/>
        </w:numPr>
        <w:spacing w:before="40" w:after="40"/>
      </w:pPr>
      <w:r>
        <w:t>The employer is not</w:t>
      </w:r>
      <w:r>
        <w:t>ified that the assessment cannot proceed at this time, without disclosing the clinical reason.</w:t>
      </w:r>
    </w:p>
    <w:p w:rsidR="00F6699F" w:rsidRDefault="004C062F">
      <w:pPr>
        <w:pStyle w:val="ListParagraph"/>
        <w:numPr>
          <w:ilvl w:val="0"/>
          <w:numId w:val="2"/>
        </w:numPr>
        <w:spacing w:before="40" w:after="40"/>
      </w:pPr>
      <w:r>
        <w:t>The Clinical Lead may advise the employer to explore appropriate support mechanisms for the employee before a further referral is made.</w:t>
      </w:r>
    </w:p>
    <w:p w:rsidR="00F6699F" w:rsidRDefault="004C062F">
      <w:pPr>
        <w:pStyle w:val="ListParagraph"/>
        <w:numPr>
          <w:ilvl w:val="0"/>
          <w:numId w:val="2"/>
        </w:numPr>
        <w:spacing w:before="40" w:after="40"/>
      </w:pPr>
      <w:r>
        <w:t>HealthBridge does not con</w:t>
      </w:r>
      <w:r>
        <w:t>duct formal mental capacity assessments in the context of OH referrals.</w:t>
      </w:r>
    </w:p>
    <w:p w:rsidR="00F6699F" w:rsidRDefault="00F6699F">
      <w:pPr>
        <w:spacing w:before="60"/>
      </w:pPr>
    </w:p>
    <w:p w:rsidR="00F6699F" w:rsidRDefault="004C062F">
      <w:pPr>
        <w:spacing w:before="60" w:after="100"/>
      </w:pPr>
      <w:r>
        <w:rPr>
          <w:color w:val="1A1A2E"/>
        </w:rPr>
        <w:t>In cases where a formal capacity assessment has already been conducted and appropriate representation or support is in place, the Clinical Lead will consider whether the assessment ca</w:t>
      </w:r>
      <w:r>
        <w:rPr>
          <w:color w:val="1A1A2E"/>
        </w:rPr>
        <w:t>n proceed on the basis of best interests, on a case-by-case basis and with MPS guidance sought where appropriate.</w:t>
      </w:r>
    </w:p>
    <w:p w:rsidR="00F6699F" w:rsidRDefault="00F6699F">
      <w:pPr>
        <w:spacing w:before="80"/>
      </w:pPr>
    </w:p>
    <w:p w:rsidR="00F6699F" w:rsidRDefault="004C062F">
      <w:pPr>
        <w:spacing w:before="400" w:after="120"/>
      </w:pPr>
      <w:r>
        <w:rPr>
          <w:b/>
          <w:bCs/>
          <w:color w:val="1B3A6B"/>
          <w:sz w:val="28"/>
          <w:szCs w:val="28"/>
        </w:rPr>
        <w:t>12.  Consent Records</w:t>
      </w:r>
    </w:p>
    <w:p w:rsidR="00F6699F" w:rsidRDefault="00F6699F">
      <w:pPr>
        <w:pBdr>
          <w:bottom w:val="single" w:sz="6" w:space="1" w:color="1B3A6B"/>
        </w:pBdr>
        <w:spacing w:before="60" w:after="200"/>
      </w:pPr>
    </w:p>
    <w:p w:rsidR="00F6699F" w:rsidRDefault="004C062F">
      <w:pPr>
        <w:spacing w:before="60" w:after="100"/>
      </w:pPr>
      <w:r>
        <w:rPr>
          <w:color w:val="1A1A2E"/>
        </w:rPr>
        <w:t>Consent documentation is a component of the clinical record and is held to the same standards:</w:t>
      </w:r>
    </w:p>
    <w:p w:rsidR="00F6699F" w:rsidRDefault="004C062F">
      <w:pPr>
        <w:pStyle w:val="ListParagraph"/>
        <w:numPr>
          <w:ilvl w:val="0"/>
          <w:numId w:val="2"/>
        </w:numPr>
        <w:spacing w:before="40" w:after="40"/>
      </w:pPr>
      <w:r>
        <w:lastRenderedPageBreak/>
        <w:t>Retained for a minimum o</w:t>
      </w:r>
      <w:r>
        <w:t>f 8 years from the date of assessment.</w:t>
      </w:r>
    </w:p>
    <w:p w:rsidR="00F6699F" w:rsidRDefault="004C062F">
      <w:pPr>
        <w:pStyle w:val="ListParagraph"/>
        <w:numPr>
          <w:ilvl w:val="0"/>
          <w:numId w:val="2"/>
        </w:numPr>
        <w:spacing w:before="40" w:after="40"/>
      </w:pPr>
      <w:r>
        <w:t>Stored in encrypted, access-controlled systems.</w:t>
      </w:r>
    </w:p>
    <w:p w:rsidR="00F6699F" w:rsidRDefault="004C062F">
      <w:pPr>
        <w:pStyle w:val="ListParagraph"/>
        <w:numPr>
          <w:ilvl w:val="0"/>
          <w:numId w:val="2"/>
        </w:numPr>
        <w:spacing w:before="40" w:after="40"/>
      </w:pPr>
      <w:r>
        <w:t>Available to the employee on Subject Access Request within 30 calendar days.</w:t>
      </w:r>
    </w:p>
    <w:p w:rsidR="00F6699F" w:rsidRDefault="004C062F">
      <w:pPr>
        <w:pStyle w:val="ListParagraph"/>
        <w:numPr>
          <w:ilvl w:val="0"/>
          <w:numId w:val="2"/>
        </w:numPr>
        <w:spacing w:before="40" w:after="40"/>
      </w:pPr>
      <w:r>
        <w:t>Audited as part of the monthly 10% case note review under the Clinical Governance Policy.</w:t>
      </w:r>
    </w:p>
    <w:p w:rsidR="00F6699F" w:rsidRDefault="004C062F">
      <w:pPr>
        <w:pStyle w:val="ListParagraph"/>
        <w:numPr>
          <w:ilvl w:val="0"/>
          <w:numId w:val="2"/>
        </w:numPr>
        <w:spacing w:before="40" w:after="40"/>
      </w:pPr>
      <w:r>
        <w:t>Not destroyed or modified after the fact — the consent record reflects what was agreed at the time of assessment.</w:t>
      </w:r>
    </w:p>
    <w:p w:rsidR="00F6699F" w:rsidRDefault="00F6699F">
      <w:pPr>
        <w:spacing w:before="80"/>
      </w:pPr>
    </w:p>
    <w:p w:rsidR="00F6699F" w:rsidRDefault="004C062F">
      <w:pPr>
        <w:spacing w:before="400" w:after="120"/>
      </w:pPr>
      <w:r>
        <w:rPr>
          <w:b/>
          <w:bCs/>
          <w:color w:val="1B3A6B"/>
          <w:sz w:val="28"/>
          <w:szCs w:val="28"/>
        </w:rPr>
        <w:t>13.  Policy Governance</w:t>
      </w:r>
    </w:p>
    <w:p w:rsidR="00F6699F" w:rsidRDefault="00F6699F">
      <w:pPr>
        <w:pBdr>
          <w:bottom w:val="single" w:sz="6" w:space="1" w:color="1B3A6B"/>
        </w:pBdr>
        <w:spacing w:before="60" w:after="200"/>
      </w:pPr>
    </w:p>
    <w:p w:rsidR="00F6699F" w:rsidRDefault="004C062F">
      <w:pPr>
        <w:pStyle w:val="ListParagraph"/>
        <w:numPr>
          <w:ilvl w:val="0"/>
          <w:numId w:val="2"/>
        </w:numPr>
        <w:spacing w:before="40" w:after="40"/>
      </w:pPr>
      <w:r>
        <w:t>The Clinical Lead is responsible for implementing and upholding this policy across all HealthBridge activities.</w:t>
      </w:r>
    </w:p>
    <w:p w:rsidR="00F6699F" w:rsidRDefault="004C062F">
      <w:pPr>
        <w:pStyle w:val="ListParagraph"/>
        <w:numPr>
          <w:ilvl w:val="0"/>
          <w:numId w:val="2"/>
        </w:numPr>
        <w:spacing w:before="40" w:after="40"/>
      </w:pPr>
      <w:r>
        <w:t>Consent compliance is reviewed as part of the monthly case audit (minimum 10% sample) documented in the Clinical Governance Policy.</w:t>
      </w:r>
    </w:p>
    <w:p w:rsidR="00F6699F" w:rsidRDefault="004C062F">
      <w:pPr>
        <w:pStyle w:val="ListParagraph"/>
        <w:numPr>
          <w:ilvl w:val="0"/>
          <w:numId w:val="2"/>
        </w:numPr>
        <w:spacing w:before="40" w:after="40"/>
      </w:pPr>
      <w:r>
        <w:t>Any contracted administrative support must operate within this consent framework as a condition of engagement.</w:t>
      </w:r>
    </w:p>
    <w:p w:rsidR="00F6699F" w:rsidRDefault="004C062F">
      <w:pPr>
        <w:pStyle w:val="ListParagraph"/>
        <w:numPr>
          <w:ilvl w:val="0"/>
          <w:numId w:val="2"/>
        </w:numPr>
        <w:spacing w:before="40" w:after="40"/>
      </w:pPr>
      <w:r>
        <w:t>Annual traini</w:t>
      </w:r>
      <w:r>
        <w:t>ng: UK GDPR, consent principles, AMRA 1988, and OH-specific consent requirements — evidenced in the Clinical Lead's CPD record.</w:t>
      </w:r>
    </w:p>
    <w:p w:rsidR="00F6699F" w:rsidRDefault="00F6699F">
      <w:pPr>
        <w:spacing w:before="80"/>
      </w:pPr>
    </w:p>
    <w:p w:rsidR="00F6699F" w:rsidRDefault="004C062F">
      <w:pPr>
        <w:spacing w:before="400" w:after="120"/>
      </w:pPr>
      <w:r>
        <w:rPr>
          <w:b/>
          <w:bCs/>
          <w:color w:val="1B3A6B"/>
          <w:sz w:val="28"/>
          <w:szCs w:val="28"/>
        </w:rPr>
        <w:t>14.  Policy Review</w:t>
      </w:r>
    </w:p>
    <w:p w:rsidR="00F6699F" w:rsidRDefault="00F6699F">
      <w:pPr>
        <w:pBdr>
          <w:bottom w:val="single" w:sz="6" w:space="1" w:color="1B3A6B"/>
        </w:pBdr>
        <w:spacing w:before="60" w:after="200"/>
      </w:pPr>
    </w:p>
    <w:p w:rsidR="00F6699F" w:rsidRDefault="004C062F">
      <w:pPr>
        <w:pStyle w:val="ListParagraph"/>
        <w:numPr>
          <w:ilvl w:val="0"/>
          <w:numId w:val="2"/>
        </w:numPr>
        <w:spacing w:before="40" w:after="40"/>
      </w:pPr>
      <w:r>
        <w:t>Formal annual review — next scheduled: 13 June 2027.</w:t>
      </w:r>
    </w:p>
    <w:p w:rsidR="00F6699F" w:rsidRDefault="004C062F">
      <w:pPr>
        <w:pStyle w:val="ListParagraph"/>
        <w:numPr>
          <w:ilvl w:val="0"/>
          <w:numId w:val="2"/>
        </w:numPr>
        <w:spacing w:before="40" w:after="40"/>
      </w:pPr>
      <w:r>
        <w:t>Ad-hoc review following: new GMC guidance; ICO enforce</w:t>
      </w:r>
      <w:r>
        <w:t>ment decisions; legislative changes; any consent failure identified through audit or complaint.</w:t>
      </w:r>
    </w:p>
    <w:p w:rsidR="00F6699F" w:rsidRDefault="004C062F">
      <w:pPr>
        <w:pStyle w:val="ListParagraph"/>
        <w:numPr>
          <w:ilvl w:val="0"/>
          <w:numId w:val="2"/>
        </w:numPr>
        <w:spacing w:before="40" w:after="40"/>
      </w:pPr>
      <w:r>
        <w:t>This policy is read in conjunction with the Confidentiality Policy, the Clinical Governance Policy, and the Complaints Policy.</w:t>
      </w:r>
    </w:p>
    <w:p w:rsidR="00F6699F" w:rsidRDefault="00F6699F">
      <w:pPr>
        <w:spacing w:before="80"/>
      </w:pPr>
    </w:p>
    <w:p w:rsidR="00F6699F" w:rsidRDefault="004C062F">
      <w:pPr>
        <w:spacing w:before="400" w:after="120"/>
      </w:pPr>
      <w:r>
        <w:rPr>
          <w:b/>
          <w:bCs/>
          <w:color w:val="1B3A6B"/>
          <w:sz w:val="28"/>
          <w:szCs w:val="28"/>
        </w:rPr>
        <w:t>15.  Version Control</w:t>
      </w:r>
    </w:p>
    <w:p w:rsidR="00F6699F" w:rsidRDefault="00F6699F">
      <w:pPr>
        <w:pBdr>
          <w:bottom w:val="single" w:sz="6" w:space="1" w:color="1B3A6B"/>
        </w:pBdr>
        <w:spacing w:before="60" w:after="200"/>
      </w:pPr>
    </w:p>
    <w:p w:rsidR="00F6699F" w:rsidRDefault="00F6699F">
      <w:pPr>
        <w:spacing w:before="60"/>
      </w:pPr>
    </w:p>
    <w:tbl>
      <w:tblPr>
        <w:tblW w:w="9026" w:type="dxa"/>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1500"/>
        <w:gridCol w:w="2000"/>
        <w:gridCol w:w="3526"/>
        <w:gridCol w:w="2000"/>
      </w:tblGrid>
      <w:tr w:rsidR="00F6699F">
        <w:tblPrEx>
          <w:tblCellMar>
            <w:top w:w="0" w:type="dxa"/>
            <w:bottom w:w="0" w:type="dxa"/>
          </w:tblCellMar>
        </w:tblPrEx>
        <w:tc>
          <w:tcPr>
            <w:tcW w:w="1500" w:type="dxa"/>
            <w:tcBorders>
              <w:top w:val="single" w:sz="1" w:space="0" w:color="C5CEDE"/>
              <w:left w:val="single" w:sz="1" w:space="0" w:color="C5CEDE"/>
              <w:bottom w:val="single" w:sz="1" w:space="0" w:color="C5CEDE"/>
              <w:right w:val="single" w:sz="1" w:space="0" w:color="C5CEDE"/>
            </w:tcBorders>
            <w:shd w:val="clear" w:color="auto" w:fill="1B3A6B"/>
            <w:tcMar>
              <w:top w:w="120" w:type="dxa"/>
              <w:left w:w="160" w:type="dxa"/>
              <w:bottom w:w="120" w:type="dxa"/>
              <w:right w:w="160" w:type="dxa"/>
            </w:tcMar>
          </w:tcPr>
          <w:p w:rsidR="00F6699F" w:rsidRDefault="004C062F">
            <w:r>
              <w:rPr>
                <w:b/>
                <w:bCs/>
                <w:color w:val="FFFFFF"/>
                <w:sz w:val="19"/>
                <w:szCs w:val="19"/>
              </w:rPr>
              <w:t>Version</w:t>
            </w:r>
          </w:p>
        </w:tc>
        <w:tc>
          <w:tcPr>
            <w:tcW w:w="2000" w:type="dxa"/>
            <w:tcBorders>
              <w:top w:val="single" w:sz="1" w:space="0" w:color="C5CEDE"/>
              <w:left w:val="single" w:sz="1" w:space="0" w:color="C5CEDE"/>
              <w:bottom w:val="single" w:sz="1" w:space="0" w:color="C5CEDE"/>
              <w:right w:val="single" w:sz="1" w:space="0" w:color="C5CEDE"/>
            </w:tcBorders>
            <w:shd w:val="clear" w:color="auto" w:fill="1B3A6B"/>
            <w:tcMar>
              <w:top w:w="120" w:type="dxa"/>
              <w:left w:w="160" w:type="dxa"/>
              <w:bottom w:w="120" w:type="dxa"/>
              <w:right w:w="160" w:type="dxa"/>
            </w:tcMar>
          </w:tcPr>
          <w:p w:rsidR="00F6699F" w:rsidRDefault="004C062F">
            <w:r>
              <w:rPr>
                <w:b/>
                <w:bCs/>
                <w:color w:val="FFFFFF"/>
                <w:sz w:val="19"/>
                <w:szCs w:val="19"/>
              </w:rPr>
              <w:t>D</w:t>
            </w:r>
            <w:r>
              <w:rPr>
                <w:b/>
                <w:bCs/>
                <w:color w:val="FFFFFF"/>
                <w:sz w:val="19"/>
                <w:szCs w:val="19"/>
              </w:rPr>
              <w:t>ate</w:t>
            </w:r>
          </w:p>
        </w:tc>
        <w:tc>
          <w:tcPr>
            <w:tcW w:w="3526" w:type="dxa"/>
            <w:tcBorders>
              <w:top w:val="single" w:sz="1" w:space="0" w:color="C5CEDE"/>
              <w:left w:val="single" w:sz="1" w:space="0" w:color="C5CEDE"/>
              <w:bottom w:val="single" w:sz="1" w:space="0" w:color="C5CEDE"/>
              <w:right w:val="single" w:sz="1" w:space="0" w:color="C5CEDE"/>
            </w:tcBorders>
            <w:shd w:val="clear" w:color="auto" w:fill="1B3A6B"/>
            <w:tcMar>
              <w:top w:w="120" w:type="dxa"/>
              <w:left w:w="160" w:type="dxa"/>
              <w:bottom w:w="120" w:type="dxa"/>
              <w:right w:w="160" w:type="dxa"/>
            </w:tcMar>
          </w:tcPr>
          <w:p w:rsidR="00F6699F" w:rsidRDefault="004C062F">
            <w:r>
              <w:rPr>
                <w:b/>
                <w:bCs/>
                <w:color w:val="FFFFFF"/>
                <w:sz w:val="19"/>
                <w:szCs w:val="19"/>
              </w:rPr>
              <w:t>Changes Made</w:t>
            </w:r>
          </w:p>
        </w:tc>
        <w:tc>
          <w:tcPr>
            <w:tcW w:w="2000" w:type="dxa"/>
            <w:tcBorders>
              <w:top w:val="single" w:sz="1" w:space="0" w:color="C5CEDE"/>
              <w:left w:val="single" w:sz="1" w:space="0" w:color="C5CEDE"/>
              <w:bottom w:val="single" w:sz="1" w:space="0" w:color="C5CEDE"/>
              <w:right w:val="single" w:sz="1" w:space="0" w:color="C5CEDE"/>
            </w:tcBorders>
            <w:shd w:val="clear" w:color="auto" w:fill="1B3A6B"/>
            <w:tcMar>
              <w:top w:w="120" w:type="dxa"/>
              <w:left w:w="160" w:type="dxa"/>
              <w:bottom w:w="120" w:type="dxa"/>
              <w:right w:w="160" w:type="dxa"/>
            </w:tcMar>
          </w:tcPr>
          <w:p w:rsidR="00F6699F" w:rsidRDefault="004C062F">
            <w:r>
              <w:rPr>
                <w:b/>
                <w:bCs/>
                <w:color w:val="FFFFFF"/>
                <w:sz w:val="19"/>
                <w:szCs w:val="19"/>
              </w:rPr>
              <w:t>Approved By</w:t>
            </w:r>
          </w:p>
        </w:tc>
      </w:tr>
      <w:tr w:rsidR="00F6699F">
        <w:tblPrEx>
          <w:tblCellMar>
            <w:top w:w="0" w:type="dxa"/>
            <w:bottom w:w="0" w:type="dxa"/>
          </w:tblCellMar>
        </w:tblPrEx>
        <w:tc>
          <w:tcPr>
            <w:tcW w:w="15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F6699F" w:rsidRDefault="004C062F">
            <w:r>
              <w:rPr>
                <w:sz w:val="19"/>
                <w:szCs w:val="19"/>
              </w:rPr>
              <w:t>1.0</w:t>
            </w:r>
          </w:p>
        </w:tc>
        <w:tc>
          <w:tcPr>
            <w:tcW w:w="20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F6699F" w:rsidRDefault="004C062F">
            <w:r>
              <w:rPr>
                <w:sz w:val="19"/>
                <w:szCs w:val="19"/>
              </w:rPr>
              <w:t>30/07/2025</w:t>
            </w:r>
          </w:p>
        </w:tc>
        <w:tc>
          <w:tcPr>
            <w:tcW w:w="3526"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F6699F" w:rsidRDefault="004C062F">
            <w:r>
              <w:rPr>
                <w:sz w:val="19"/>
                <w:szCs w:val="19"/>
              </w:rPr>
              <w:t>Initial policy draft.</w:t>
            </w:r>
          </w:p>
        </w:tc>
        <w:tc>
          <w:tcPr>
            <w:tcW w:w="20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F6699F" w:rsidRDefault="004C062F">
            <w:r>
              <w:rPr>
                <w:sz w:val="19"/>
                <w:szCs w:val="19"/>
              </w:rPr>
              <w:t>Dr. James Stanley</w:t>
            </w:r>
          </w:p>
        </w:tc>
      </w:tr>
      <w:tr w:rsidR="00F6699F">
        <w:tblPrEx>
          <w:tblCellMar>
            <w:top w:w="0" w:type="dxa"/>
            <w:bottom w:w="0" w:type="dxa"/>
          </w:tblCellMar>
        </w:tblPrEx>
        <w:tc>
          <w:tcPr>
            <w:tcW w:w="15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F6699F" w:rsidRDefault="004C062F">
            <w:r>
              <w:rPr>
                <w:sz w:val="19"/>
                <w:szCs w:val="19"/>
              </w:rPr>
              <w:t>2.0</w:t>
            </w:r>
          </w:p>
        </w:tc>
        <w:tc>
          <w:tcPr>
            <w:tcW w:w="20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F6699F" w:rsidRDefault="004C062F">
            <w:r>
              <w:rPr>
                <w:sz w:val="19"/>
                <w:szCs w:val="19"/>
              </w:rPr>
              <w:t>13/06/2026</w:t>
            </w:r>
          </w:p>
        </w:tc>
        <w:tc>
          <w:tcPr>
            <w:tcW w:w="3526"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F6699F" w:rsidRDefault="004C062F">
            <w:r>
              <w:rPr>
                <w:sz w:val="19"/>
                <w:szCs w:val="19"/>
              </w:rPr>
              <w:t xml:space="preserve">Comprehensive review: added clinical consent </w:t>
            </w:r>
            <w:proofErr w:type="spellStart"/>
            <w:r>
              <w:rPr>
                <w:sz w:val="19"/>
                <w:szCs w:val="19"/>
              </w:rPr>
              <w:t>vs</w:t>
            </w:r>
            <w:proofErr w:type="spellEnd"/>
            <w:r>
              <w:rPr>
                <w:sz w:val="19"/>
                <w:szCs w:val="19"/>
              </w:rPr>
              <w:t xml:space="preserve"> GDPR lawful basis distinction (Section 2 — critical legal clarification); removed FOM reference; expanded valid consent principles to include capacity; added coercion and employer pressure protections; expand</w:t>
            </w:r>
            <w:r>
              <w:rPr>
                <w:sz w:val="19"/>
                <w:szCs w:val="19"/>
              </w:rPr>
              <w:t>ed pre-consent information requirements; separated assessment consent from report release consent explicitly; full AMRA 1988 release consent process documented; corrected paper form retention (forms not destroyed after 30 days — retained 8 years); correcte</w:t>
            </w:r>
            <w:r>
              <w:rPr>
                <w:sz w:val="19"/>
                <w:szCs w:val="19"/>
              </w:rPr>
              <w:t xml:space="preserve">d verbal consent process (no </w:t>
            </w:r>
            <w:r>
              <w:rPr>
                <w:sz w:val="19"/>
                <w:szCs w:val="19"/>
              </w:rPr>
              <w:lastRenderedPageBreak/>
              <w:t>witness signature required — sole practitioner remote service); added mental capacity section; added what-happens-when-consent-is-declined section; policy review cycle corrected to annual.</w:t>
            </w:r>
          </w:p>
        </w:tc>
        <w:tc>
          <w:tcPr>
            <w:tcW w:w="20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F6699F" w:rsidRDefault="004C062F">
            <w:r>
              <w:rPr>
                <w:sz w:val="19"/>
                <w:szCs w:val="19"/>
              </w:rPr>
              <w:lastRenderedPageBreak/>
              <w:t>Dr. James Stanley</w:t>
            </w:r>
          </w:p>
        </w:tc>
      </w:tr>
      <w:tr w:rsidR="00F6699F">
        <w:tblPrEx>
          <w:tblCellMar>
            <w:top w:w="0" w:type="dxa"/>
            <w:bottom w:w="0" w:type="dxa"/>
          </w:tblCellMar>
        </w:tblPrEx>
        <w:tc>
          <w:tcPr>
            <w:tcW w:w="15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F6699F" w:rsidRDefault="004C062F">
            <w:r>
              <w:rPr>
                <w:sz w:val="19"/>
                <w:szCs w:val="19"/>
              </w:rPr>
              <w:lastRenderedPageBreak/>
              <w:t>2.1</w:t>
            </w:r>
          </w:p>
        </w:tc>
        <w:tc>
          <w:tcPr>
            <w:tcW w:w="20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F6699F" w:rsidRDefault="004C062F">
            <w:r>
              <w:rPr>
                <w:sz w:val="19"/>
                <w:szCs w:val="19"/>
              </w:rPr>
              <w:t>[DD/MM/YYYY]</w:t>
            </w:r>
          </w:p>
        </w:tc>
        <w:tc>
          <w:tcPr>
            <w:tcW w:w="3526"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F6699F" w:rsidRDefault="00F6699F"/>
        </w:tc>
        <w:tc>
          <w:tcPr>
            <w:tcW w:w="20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F6699F" w:rsidRDefault="00F6699F"/>
        </w:tc>
      </w:tr>
    </w:tbl>
    <w:p w:rsidR="00F6699F" w:rsidRDefault="00F6699F">
      <w:pPr>
        <w:spacing w:before="160"/>
      </w:pPr>
    </w:p>
    <w:p w:rsidR="00F6699F" w:rsidRDefault="004C062F">
      <w:pPr>
        <w:spacing w:before="60" w:after="100"/>
      </w:pPr>
      <w:r>
        <w:rPr>
          <w:b/>
          <w:bCs/>
          <w:color w:val="1A1A2E"/>
        </w:rPr>
        <w:t>Approved by: Dr. James Stanley, Clinical Lead</w:t>
      </w:r>
    </w:p>
    <w:p w:rsidR="00F6699F" w:rsidRDefault="004C062F">
      <w:pPr>
        <w:spacing w:before="60" w:after="100"/>
      </w:pPr>
      <w:r>
        <w:rPr>
          <w:color w:val="1A1A2E"/>
        </w:rPr>
        <w:t>GMC Registration No: 7285162</w:t>
      </w:r>
    </w:p>
    <w:p w:rsidR="00F6699F" w:rsidRDefault="004C062F">
      <w:pPr>
        <w:spacing w:before="60" w:after="100"/>
      </w:pPr>
      <w:r>
        <w:rPr>
          <w:color w:val="1A1A2E"/>
        </w:rPr>
        <w:t>Contact: contact@healthbridge.org.uk</w:t>
      </w:r>
    </w:p>
    <w:p w:rsidR="00F6699F" w:rsidRDefault="00F6699F">
      <w:pPr>
        <w:spacing w:before="60"/>
      </w:pPr>
    </w:p>
    <w:p w:rsidR="00F6699F" w:rsidRDefault="004C062F">
      <w:pPr>
        <w:spacing w:before="60" w:after="100"/>
      </w:pPr>
      <w:r>
        <w:rPr>
          <w:i/>
          <w:iCs/>
          <w:color w:val="6B7280"/>
        </w:rPr>
        <w:t xml:space="preserve">HealthBridge Occupational Health </w:t>
      </w:r>
      <w:proofErr w:type="gramStart"/>
      <w:r>
        <w:rPr>
          <w:i/>
          <w:iCs/>
          <w:color w:val="6B7280"/>
        </w:rPr>
        <w:t>Ltd  |</w:t>
      </w:r>
      <w:proofErr w:type="gramEnd"/>
      <w:r>
        <w:rPr>
          <w:i/>
          <w:iCs/>
          <w:color w:val="6B7280"/>
        </w:rPr>
        <w:t xml:space="preserve">  Company No: 16615396</w:t>
      </w:r>
    </w:p>
    <w:p w:rsidR="00F6699F" w:rsidRDefault="004C062F">
      <w:pPr>
        <w:spacing w:before="60" w:after="100"/>
      </w:pPr>
      <w:r>
        <w:rPr>
          <w:i/>
          <w:iCs/>
          <w:color w:val="6B7280"/>
        </w:rPr>
        <w:t xml:space="preserve">Registered Address: 50 </w:t>
      </w:r>
      <w:proofErr w:type="spellStart"/>
      <w:r>
        <w:rPr>
          <w:i/>
          <w:iCs/>
          <w:color w:val="6B7280"/>
        </w:rPr>
        <w:t>Hadow</w:t>
      </w:r>
      <w:proofErr w:type="spellEnd"/>
      <w:r>
        <w:rPr>
          <w:i/>
          <w:iCs/>
          <w:color w:val="6B7280"/>
        </w:rPr>
        <w:t xml:space="preserve"> Way, Gloucester, GL2 4YJ</w:t>
      </w:r>
    </w:p>
    <w:p w:rsidR="00F6699F" w:rsidRDefault="004C062F">
      <w:pPr>
        <w:spacing w:before="60" w:after="100"/>
      </w:pPr>
      <w:proofErr w:type="gramStart"/>
      <w:r>
        <w:rPr>
          <w:i/>
          <w:iCs/>
          <w:color w:val="6B7280"/>
        </w:rPr>
        <w:t>© HealthBridge Occupational Health Ltd. Unauthorised distribution prohibited.</w:t>
      </w:r>
      <w:proofErr w:type="gramEnd"/>
    </w:p>
    <w:sectPr w:rsidR="00F6699F" w:rsidSect="00F6699F">
      <w:headerReference w:type="default" r:id="rId7"/>
      <w:footerReference w:type="default" r:id="rId8"/>
      <w:pgSz w:w="11906" w:h="16838"/>
      <w:pgMar w:top="1080" w:right="1440" w:bottom="1080" w:left="1440" w:header="708" w:footer="708"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6699F" w:rsidRDefault="00F6699F" w:rsidP="00F6699F">
      <w:r>
        <w:separator/>
      </w:r>
    </w:p>
  </w:endnote>
  <w:endnote w:type="continuationSeparator" w:id="0">
    <w:p w:rsidR="00F6699F" w:rsidRDefault="00F6699F" w:rsidP="00F6699F">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699F" w:rsidRDefault="004C062F">
    <w:pPr>
      <w:pBdr>
        <w:top w:val="single" w:sz="4" w:space="2" w:color="1B3A6B"/>
      </w:pBdr>
      <w:tabs>
        <w:tab w:val="right" w:pos="9026"/>
      </w:tabs>
      <w:spacing w:before="120"/>
    </w:pPr>
    <w:r>
      <w:rPr>
        <w:color w:val="6B7280"/>
        <w:sz w:val="16"/>
        <w:szCs w:val="16"/>
      </w:rPr>
      <w:t>Hea</w:t>
    </w:r>
    <w:r>
      <w:rPr>
        <w:color w:val="6B7280"/>
        <w:sz w:val="16"/>
        <w:szCs w:val="16"/>
      </w:rPr>
      <w:t xml:space="preserve">lthBridge Occupational Health </w:t>
    </w:r>
    <w:proofErr w:type="gramStart"/>
    <w:r>
      <w:rPr>
        <w:color w:val="6B7280"/>
        <w:sz w:val="16"/>
        <w:szCs w:val="16"/>
      </w:rPr>
      <w:t>Ltd  |</w:t>
    </w:r>
    <w:proofErr w:type="gramEnd"/>
    <w:r>
      <w:rPr>
        <w:color w:val="6B7280"/>
        <w:sz w:val="16"/>
        <w:szCs w:val="16"/>
      </w:rPr>
      <w:t xml:space="preserve">  Co. No: </w:t>
    </w:r>
    <w:proofErr w:type="gramStart"/>
    <w:r>
      <w:rPr>
        <w:color w:val="6B7280"/>
        <w:sz w:val="16"/>
        <w:szCs w:val="16"/>
      </w:rPr>
      <w:t>16615396  |</w:t>
    </w:r>
    <w:proofErr w:type="gramEnd"/>
    <w:r>
      <w:rPr>
        <w:color w:val="6B7280"/>
        <w:sz w:val="16"/>
        <w:szCs w:val="16"/>
      </w:rPr>
      <w:t xml:space="preserve">  50 </w:t>
    </w:r>
    <w:proofErr w:type="spellStart"/>
    <w:r>
      <w:rPr>
        <w:color w:val="6B7280"/>
        <w:sz w:val="16"/>
        <w:szCs w:val="16"/>
      </w:rPr>
      <w:t>Hadow</w:t>
    </w:r>
    <w:proofErr w:type="spellEnd"/>
    <w:r>
      <w:rPr>
        <w:color w:val="6B7280"/>
        <w:sz w:val="16"/>
        <w:szCs w:val="16"/>
      </w:rPr>
      <w:t xml:space="preserve"> Way, Gloucester, GL2 4YJ</w:t>
    </w:r>
    <w:r>
      <w:rPr>
        <w:color w:val="6B7280"/>
        <w:sz w:val="16"/>
        <w:szCs w:val="16"/>
      </w:rPr>
      <w:tab/>
      <w:t xml:space="preserve">Page </w:t>
    </w:r>
    <w:r w:rsidR="00F6699F">
      <w:rPr>
        <w:color w:val="6B7280"/>
        <w:sz w:val="16"/>
        <w:szCs w:val="16"/>
      </w:rPr>
      <w:fldChar w:fldCharType="begin"/>
    </w:r>
    <w:r>
      <w:rPr>
        <w:color w:val="6B7280"/>
        <w:sz w:val="16"/>
        <w:szCs w:val="16"/>
      </w:rPr>
      <w:instrText>PAGE</w:instrText>
    </w:r>
    <w:r w:rsidR="00B22AB9">
      <w:rPr>
        <w:color w:val="6B7280"/>
        <w:sz w:val="16"/>
        <w:szCs w:val="16"/>
      </w:rPr>
      <w:fldChar w:fldCharType="separate"/>
    </w:r>
    <w:r w:rsidR="009A3F7F">
      <w:rPr>
        <w:noProof/>
        <w:color w:val="6B7280"/>
        <w:sz w:val="16"/>
        <w:szCs w:val="16"/>
      </w:rPr>
      <w:t>2</w:t>
    </w:r>
    <w:r w:rsidR="00F6699F">
      <w:rPr>
        <w:color w:val="6B7280"/>
        <w:sz w:val="16"/>
        <w:szCs w:val="1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6699F" w:rsidRDefault="00F6699F" w:rsidP="00F6699F">
      <w:r>
        <w:separator/>
      </w:r>
    </w:p>
  </w:footnote>
  <w:footnote w:type="continuationSeparator" w:id="0">
    <w:p w:rsidR="00F6699F" w:rsidRDefault="00F6699F" w:rsidP="00F6699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699F" w:rsidRDefault="004C062F">
    <w:pPr>
      <w:tabs>
        <w:tab w:val="right" w:pos="9026"/>
      </w:tabs>
      <w:spacing w:after="100"/>
    </w:pPr>
    <w:r>
      <w:rPr>
        <w:color w:val="6B7280"/>
        <w:sz w:val="16"/>
        <w:szCs w:val="16"/>
      </w:rPr>
      <w:t xml:space="preserve">Version </w:t>
    </w:r>
    <w:proofErr w:type="gramStart"/>
    <w:r>
      <w:rPr>
        <w:color w:val="6B7280"/>
        <w:sz w:val="16"/>
        <w:szCs w:val="16"/>
      </w:rPr>
      <w:t>2.0  |</w:t>
    </w:r>
    <w:proofErr w:type="gramEnd"/>
    <w:r>
      <w:rPr>
        <w:color w:val="6B7280"/>
        <w:sz w:val="16"/>
        <w:szCs w:val="16"/>
      </w:rPr>
      <w:t xml:space="preserve">  Effective: 13/06/2026  |  Owner: Dr. James Stanley  |  GMC: 7285162</w:t>
    </w:r>
    <w:r>
      <w:rPr>
        <w:color w:val="6B7280"/>
        <w:sz w:val="16"/>
        <w:szCs w:val="16"/>
      </w:rPr>
      <w:tab/>
      <w:t>Next Review: 13/06/2027</w:t>
    </w:r>
  </w:p>
  <w:p w:rsidR="00F6699F" w:rsidRDefault="00F6699F">
    <w:pPr>
      <w:pBdr>
        <w:bottom w:val="single" w:sz="6" w:space="1" w:color="1B3A6B"/>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DF6422"/>
    <w:multiLevelType w:val="hybridMultilevel"/>
    <w:tmpl w:val="63F64CE2"/>
    <w:lvl w:ilvl="0" w:tplc="F3D6F10C">
      <w:start w:val="1"/>
      <w:numFmt w:val="bullet"/>
      <w:lvlText w:val="●"/>
      <w:lvlJc w:val="left"/>
      <w:pPr>
        <w:ind w:left="720" w:hanging="360"/>
      </w:pPr>
    </w:lvl>
    <w:lvl w:ilvl="1" w:tplc="FFA06922">
      <w:start w:val="1"/>
      <w:numFmt w:val="bullet"/>
      <w:lvlText w:val="○"/>
      <w:lvlJc w:val="left"/>
      <w:pPr>
        <w:ind w:left="1440" w:hanging="360"/>
      </w:pPr>
    </w:lvl>
    <w:lvl w:ilvl="2" w:tplc="A37C592E">
      <w:start w:val="1"/>
      <w:numFmt w:val="bullet"/>
      <w:lvlText w:val="■"/>
      <w:lvlJc w:val="left"/>
      <w:pPr>
        <w:ind w:left="2160" w:hanging="360"/>
      </w:pPr>
    </w:lvl>
    <w:lvl w:ilvl="3" w:tplc="A842659A">
      <w:start w:val="1"/>
      <w:numFmt w:val="bullet"/>
      <w:lvlText w:val="●"/>
      <w:lvlJc w:val="left"/>
      <w:pPr>
        <w:ind w:left="2880" w:hanging="360"/>
      </w:pPr>
    </w:lvl>
    <w:lvl w:ilvl="4" w:tplc="49E2E112">
      <w:start w:val="1"/>
      <w:numFmt w:val="bullet"/>
      <w:lvlText w:val="○"/>
      <w:lvlJc w:val="left"/>
      <w:pPr>
        <w:ind w:left="3600" w:hanging="360"/>
      </w:pPr>
    </w:lvl>
    <w:lvl w:ilvl="5" w:tplc="F09E6970">
      <w:start w:val="1"/>
      <w:numFmt w:val="bullet"/>
      <w:lvlText w:val="■"/>
      <w:lvlJc w:val="left"/>
      <w:pPr>
        <w:ind w:left="4320" w:hanging="360"/>
      </w:pPr>
    </w:lvl>
    <w:lvl w:ilvl="6" w:tplc="748EF5E6">
      <w:start w:val="1"/>
      <w:numFmt w:val="bullet"/>
      <w:lvlText w:val="●"/>
      <w:lvlJc w:val="left"/>
      <w:pPr>
        <w:ind w:left="5040" w:hanging="360"/>
      </w:pPr>
    </w:lvl>
    <w:lvl w:ilvl="7" w:tplc="05421436">
      <w:start w:val="1"/>
      <w:numFmt w:val="bullet"/>
      <w:lvlText w:val="●"/>
      <w:lvlJc w:val="left"/>
      <w:pPr>
        <w:ind w:left="5760" w:hanging="360"/>
      </w:pPr>
    </w:lvl>
    <w:lvl w:ilvl="8" w:tplc="BA5AAB16">
      <w:start w:val="1"/>
      <w:numFmt w:val="bullet"/>
      <w:lvlText w:val="●"/>
      <w:lvlJc w:val="left"/>
      <w:pPr>
        <w:ind w:left="6480" w:hanging="360"/>
      </w:pPr>
    </w:lvl>
  </w:abstractNum>
  <w:abstractNum w:abstractNumId="1">
    <w:nsid w:val="7BB225E8"/>
    <w:multiLevelType w:val="hybridMultilevel"/>
    <w:tmpl w:val="F886D6D0"/>
    <w:lvl w:ilvl="0" w:tplc="69426D24">
      <w:start w:val="1"/>
      <w:numFmt w:val="bullet"/>
      <w:lvlText w:val="•"/>
      <w:lvlJc w:val="left"/>
      <w:pPr>
        <w:ind w:left="540" w:hanging="360"/>
      </w:pPr>
    </w:lvl>
    <w:lvl w:ilvl="1" w:tplc="69F659CE">
      <w:numFmt w:val="decimal"/>
      <w:lvlText w:val=""/>
      <w:lvlJc w:val="left"/>
    </w:lvl>
    <w:lvl w:ilvl="2" w:tplc="C8C482EE">
      <w:numFmt w:val="decimal"/>
      <w:lvlText w:val=""/>
      <w:lvlJc w:val="left"/>
    </w:lvl>
    <w:lvl w:ilvl="3" w:tplc="5732A9AE">
      <w:numFmt w:val="decimal"/>
      <w:lvlText w:val=""/>
      <w:lvlJc w:val="left"/>
    </w:lvl>
    <w:lvl w:ilvl="4" w:tplc="E82C6BCE">
      <w:numFmt w:val="decimal"/>
      <w:lvlText w:val=""/>
      <w:lvlJc w:val="left"/>
    </w:lvl>
    <w:lvl w:ilvl="5" w:tplc="5A980A16">
      <w:numFmt w:val="decimal"/>
      <w:lvlText w:val=""/>
      <w:lvlJc w:val="left"/>
    </w:lvl>
    <w:lvl w:ilvl="6" w:tplc="703C29D2">
      <w:numFmt w:val="decimal"/>
      <w:lvlText w:val=""/>
      <w:lvlJc w:val="left"/>
    </w:lvl>
    <w:lvl w:ilvl="7" w:tplc="A5C4CC9A">
      <w:numFmt w:val="decimal"/>
      <w:lvlText w:val=""/>
      <w:lvlJc w:val="left"/>
    </w:lvl>
    <w:lvl w:ilvl="8" w:tplc="B2063B1A">
      <w:numFmt w:val="decimal"/>
      <w:lvlText w:val=""/>
      <w:lvlJc w:val="left"/>
    </w:lvl>
  </w:abstractNum>
  <w:num w:numId="1">
    <w:abstractNumId w:val="0"/>
    <w:lvlOverride w:ilvl="0">
      <w:startOverride w:val="1"/>
    </w:lvlOverride>
  </w:num>
  <w:num w:numId="2">
    <w:abstractNumId w:val="1"/>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20"/>
  <w:characterSpacingControl w:val="doNotCompress"/>
  <w:footnotePr>
    <w:footnote w:id="-1"/>
    <w:footnote w:id="0"/>
  </w:footnotePr>
  <w:endnotePr>
    <w:endnote w:id="-1"/>
    <w:endnote w:id="0"/>
  </w:endnotePr>
  <w:compat/>
  <w:rsids>
    <w:rsidRoot w:val="00F6699F"/>
    <w:rsid w:val="004C062F"/>
    <w:rsid w:val="009A3F7F"/>
    <w:rsid w:val="00B22AB9"/>
    <w:rsid w:val="00F6699F"/>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qFormat/>
    <w:rsid w:val="00F6699F"/>
    <w:pPr>
      <w:outlineLvl w:val="0"/>
    </w:pPr>
    <w:rPr>
      <w:color w:val="2E74B5"/>
      <w:sz w:val="32"/>
      <w:szCs w:val="32"/>
    </w:rPr>
  </w:style>
  <w:style w:type="paragraph" w:styleId="Heading2">
    <w:name w:val="heading 2"/>
    <w:qFormat/>
    <w:rsid w:val="00F6699F"/>
    <w:pPr>
      <w:outlineLvl w:val="1"/>
    </w:pPr>
    <w:rPr>
      <w:color w:val="2E74B5"/>
      <w:sz w:val="26"/>
      <w:szCs w:val="26"/>
    </w:rPr>
  </w:style>
  <w:style w:type="paragraph" w:styleId="Heading3">
    <w:name w:val="heading 3"/>
    <w:qFormat/>
    <w:rsid w:val="00F6699F"/>
    <w:pPr>
      <w:outlineLvl w:val="2"/>
    </w:pPr>
    <w:rPr>
      <w:color w:val="1F4D78"/>
      <w:sz w:val="24"/>
      <w:szCs w:val="24"/>
    </w:rPr>
  </w:style>
  <w:style w:type="paragraph" w:styleId="Heading4">
    <w:name w:val="heading 4"/>
    <w:qFormat/>
    <w:rsid w:val="00F6699F"/>
    <w:pPr>
      <w:outlineLvl w:val="3"/>
    </w:pPr>
    <w:rPr>
      <w:i/>
      <w:iCs/>
      <w:color w:val="2E74B5"/>
    </w:rPr>
  </w:style>
  <w:style w:type="paragraph" w:styleId="Heading5">
    <w:name w:val="heading 5"/>
    <w:qFormat/>
    <w:rsid w:val="00F6699F"/>
    <w:pPr>
      <w:outlineLvl w:val="4"/>
    </w:pPr>
    <w:rPr>
      <w:color w:val="2E74B5"/>
    </w:rPr>
  </w:style>
  <w:style w:type="paragraph" w:styleId="Heading6">
    <w:name w:val="heading 6"/>
    <w:qFormat/>
    <w:rsid w:val="00F6699F"/>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qFormat/>
    <w:rsid w:val="00F6699F"/>
    <w:rPr>
      <w:sz w:val="56"/>
      <w:szCs w:val="56"/>
    </w:rPr>
  </w:style>
  <w:style w:type="paragraph" w:customStyle="1" w:styleId="Strong1">
    <w:name w:val="Strong1"/>
    <w:qFormat/>
    <w:rsid w:val="00F6699F"/>
    <w:rPr>
      <w:b/>
      <w:bCs/>
    </w:rPr>
  </w:style>
  <w:style w:type="paragraph" w:styleId="ListParagraph">
    <w:name w:val="List Paragraph"/>
    <w:qFormat/>
    <w:rsid w:val="00F6699F"/>
  </w:style>
  <w:style w:type="character" w:styleId="Hyperlink">
    <w:name w:val="Hyperlink"/>
    <w:uiPriority w:val="99"/>
    <w:unhideWhenUsed/>
    <w:rsid w:val="00F6699F"/>
    <w:rPr>
      <w:color w:val="0563C1"/>
      <w:u w:val="single"/>
    </w:rPr>
  </w:style>
  <w:style w:type="character" w:styleId="FootnoteReference">
    <w:name w:val="footnote reference"/>
    <w:uiPriority w:val="99"/>
    <w:semiHidden/>
    <w:unhideWhenUsed/>
    <w:rsid w:val="00F6699F"/>
    <w:rPr>
      <w:vertAlign w:val="superscript"/>
    </w:rPr>
  </w:style>
  <w:style w:type="paragraph" w:styleId="FootnoteText">
    <w:name w:val="footnote text"/>
    <w:link w:val="FootnoteTextChar"/>
    <w:uiPriority w:val="99"/>
    <w:semiHidden/>
    <w:unhideWhenUsed/>
    <w:rsid w:val="00F6699F"/>
  </w:style>
  <w:style w:type="character" w:customStyle="1" w:styleId="FootnoteTextChar">
    <w:name w:val="Footnote Text Char"/>
    <w:link w:val="FootnoteText"/>
    <w:uiPriority w:val="99"/>
    <w:semiHidden/>
    <w:unhideWhenUsed/>
    <w:rsid w:val="00F6699F"/>
    <w:rPr>
      <w:sz w:val="20"/>
      <w:szCs w:val="20"/>
    </w:rPr>
  </w:style>
  <w:style w:type="character" w:styleId="EndnoteReference">
    <w:name w:val="endnote reference"/>
    <w:uiPriority w:val="99"/>
    <w:semiHidden/>
    <w:unhideWhenUsed/>
    <w:rsid w:val="00F6699F"/>
    <w:rPr>
      <w:vertAlign w:val="superscript"/>
    </w:rPr>
  </w:style>
  <w:style w:type="paragraph" w:styleId="EndnoteText">
    <w:name w:val="endnote text"/>
    <w:link w:val="EndnoteTextChar"/>
    <w:uiPriority w:val="99"/>
    <w:semiHidden/>
    <w:unhideWhenUsed/>
    <w:rsid w:val="00F6699F"/>
  </w:style>
  <w:style w:type="character" w:customStyle="1" w:styleId="EndnoteTextChar">
    <w:name w:val="Endnote Text Char"/>
    <w:link w:val="EndnoteText"/>
    <w:uiPriority w:val="99"/>
    <w:semiHidden/>
    <w:unhideWhenUsed/>
    <w:rsid w:val="00F6699F"/>
    <w:rPr>
      <w:sz w:val="20"/>
      <w:szCs w:val="2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2619</Words>
  <Characters>14930</Characters>
  <Application>Microsoft Office Word</Application>
  <DocSecurity>0</DocSecurity>
  <Lines>124</Lines>
  <Paragraphs>35</Paragraphs>
  <ScaleCrop>false</ScaleCrop>
  <Company>Grizli777</Company>
  <LinksUpToDate>false</LinksUpToDate>
  <CharactersWithSpaces>17514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James Stanley</cp:lastModifiedBy>
  <cp:revision>3</cp:revision>
  <dcterms:created xsi:type="dcterms:W3CDTF">2026-06-17T11:22:00Z</dcterms:created>
  <dcterms:modified xsi:type="dcterms:W3CDTF">2026-06-17T11:22:00Z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