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A20" w:rsidRDefault="00525A0C">
      <w:pPr>
        <w:spacing w:before="200" w:after="60"/>
      </w:pPr>
      <w:r>
        <w:rPr>
          <w:b/>
          <w:bCs/>
          <w:color w:val="1B3A6B"/>
          <w:sz w:val="40"/>
          <w:szCs w:val="40"/>
        </w:rPr>
        <w:t>HEALTHBRIDGE OCCUPATIONAL HEALTH LTD</w:t>
      </w:r>
    </w:p>
    <w:p w:rsidR="00222A20" w:rsidRDefault="00525A0C">
      <w:pPr>
        <w:spacing w:after="80"/>
      </w:pPr>
      <w:r>
        <w:rPr>
          <w:b/>
          <w:bCs/>
          <w:color w:val="1B3A6B"/>
          <w:sz w:val="28"/>
          <w:szCs w:val="28"/>
        </w:rPr>
        <w:t>Clinical Governance Policy</w:t>
      </w:r>
    </w:p>
    <w:p w:rsidR="00222A20" w:rsidRDefault="00525A0C">
      <w:pPr>
        <w:pBdr>
          <w:bottom w:val="thick" w:sz="12" w:space="3" w:color="1B3A6B"/>
        </w:pBdr>
        <w:spacing w:after="240"/>
      </w:pPr>
      <w:r>
        <w:rPr>
          <w:i/>
          <w:iCs/>
          <w:color w:val="6B7280"/>
          <w:sz w:val="19"/>
          <w:szCs w:val="19"/>
        </w:rPr>
        <w:t>GP-Led Occupational Health Services   |   Version 2.0   |   Effective 13 June 2026</w:t>
      </w:r>
    </w:p>
    <w:p w:rsidR="00222A20" w:rsidRDefault="00222A20">
      <w:pPr>
        <w:spacing w:before="80"/>
      </w:pPr>
    </w:p>
    <w:p w:rsidR="00222A20" w:rsidRDefault="00525A0C">
      <w:pPr>
        <w:spacing w:before="400" w:after="120"/>
      </w:pPr>
      <w:r>
        <w:rPr>
          <w:b/>
          <w:bCs/>
          <w:color w:val="1B3A6B"/>
          <w:sz w:val="28"/>
          <w:szCs w:val="28"/>
        </w:rPr>
        <w:t>1.  Purpose</w:t>
      </w:r>
    </w:p>
    <w:p w:rsidR="00222A20" w:rsidRDefault="00222A20">
      <w:pPr>
        <w:pBdr>
          <w:bottom w:val="single" w:sz="6" w:space="1" w:color="1B3A6B"/>
        </w:pBdr>
        <w:spacing w:before="60" w:after="200"/>
      </w:pPr>
    </w:p>
    <w:p w:rsidR="00222A20" w:rsidRDefault="00525A0C">
      <w:pPr>
        <w:spacing w:before="60" w:after="100"/>
      </w:pPr>
      <w:r>
        <w:rPr>
          <w:color w:val="1A1A2E"/>
        </w:rPr>
        <w:t>This policy establishes the clinical governance framework for HealthBridge Occupational Health Ltd. It ensures that occupational health (OH) services are delivered safely, effectively, and in a manner consistent with the Clinical Lead's GMC registration ob</w:t>
      </w:r>
      <w:r>
        <w:rPr>
          <w:color w:val="1A1A2E"/>
        </w:rPr>
        <w:t>ligations, applicable legislation, and professional best practice.</w:t>
      </w:r>
    </w:p>
    <w:p w:rsidR="00222A20" w:rsidRDefault="00222A20">
      <w:pPr>
        <w:spacing w:before="60"/>
      </w:pPr>
    </w:p>
    <w:p w:rsidR="00222A20" w:rsidRDefault="00525A0C">
      <w:pPr>
        <w:spacing w:before="60" w:after="100"/>
      </w:pPr>
      <w:r>
        <w:rPr>
          <w:color w:val="1A1A2E"/>
        </w:rPr>
        <w:t>Specifically, this policy provides for:</w:t>
      </w:r>
    </w:p>
    <w:p w:rsidR="00222A20" w:rsidRDefault="00525A0C">
      <w:pPr>
        <w:pStyle w:val="ListParagraph"/>
        <w:numPr>
          <w:ilvl w:val="0"/>
          <w:numId w:val="2"/>
        </w:numPr>
        <w:spacing w:before="40" w:after="40"/>
      </w:pPr>
      <w:r>
        <w:t>Safe, effective, and employee-centred OH services</w:t>
      </w:r>
    </w:p>
    <w:p w:rsidR="00222A20" w:rsidRDefault="00525A0C">
      <w:pPr>
        <w:pStyle w:val="ListParagraph"/>
        <w:numPr>
          <w:ilvl w:val="0"/>
          <w:numId w:val="2"/>
        </w:numPr>
        <w:spacing w:before="40" w:after="40"/>
      </w:pPr>
      <w:r>
        <w:t>Transparency regarding the scope, clinical limitations, and advisory nature of services</w:t>
      </w:r>
    </w:p>
    <w:p w:rsidR="00222A20" w:rsidRDefault="00525A0C">
      <w:pPr>
        <w:pStyle w:val="ListParagraph"/>
        <w:numPr>
          <w:ilvl w:val="0"/>
          <w:numId w:val="2"/>
        </w:numPr>
        <w:spacing w:before="40" w:after="40"/>
      </w:pPr>
      <w:r>
        <w:t>Continuous</w:t>
      </w:r>
      <w:r>
        <w:t xml:space="preserve"> quality improvement through regular audit, feedback, and proactive risk management</w:t>
      </w:r>
    </w:p>
    <w:p w:rsidR="00222A20" w:rsidRDefault="00525A0C">
      <w:pPr>
        <w:pStyle w:val="ListParagraph"/>
        <w:numPr>
          <w:ilvl w:val="0"/>
          <w:numId w:val="2"/>
        </w:numPr>
        <w:spacing w:before="40" w:after="40"/>
      </w:pPr>
      <w:r>
        <w:t>Compliance with: GMC Good Medical Practice; UK GDPR / Data Protection Act 2018; Access to Medical Reports Act 1988; Equality Act 2010; ISO 45003</w:t>
      </w:r>
    </w:p>
    <w:p w:rsidR="00222A20" w:rsidRDefault="00222A20">
      <w:pPr>
        <w:spacing w:before="80"/>
      </w:pPr>
    </w:p>
    <w:p w:rsidR="00222A20" w:rsidRDefault="00525A0C">
      <w:pPr>
        <w:spacing w:before="400" w:after="120"/>
      </w:pPr>
      <w:r>
        <w:rPr>
          <w:b/>
          <w:bCs/>
          <w:color w:val="1B3A6B"/>
          <w:sz w:val="28"/>
          <w:szCs w:val="28"/>
        </w:rPr>
        <w:t>2.  Service Description an</w:t>
      </w:r>
      <w:r>
        <w:rPr>
          <w:b/>
          <w:bCs/>
          <w:color w:val="1B3A6B"/>
          <w:sz w:val="28"/>
          <w:szCs w:val="28"/>
        </w:rPr>
        <w:t>d Scope</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2.1  Services</w:t>
      </w:r>
      <w:proofErr w:type="gramEnd"/>
      <w:r>
        <w:rPr>
          <w:b/>
          <w:bCs/>
          <w:color w:val="1B3A6B"/>
          <w:sz w:val="22"/>
          <w:szCs w:val="22"/>
        </w:rPr>
        <w:t xml:space="preserve"> Provided</w:t>
      </w:r>
    </w:p>
    <w:p w:rsidR="00222A20" w:rsidRDefault="00525A0C">
      <w:pPr>
        <w:spacing w:before="60" w:after="100"/>
      </w:pPr>
      <w:r>
        <w:rPr>
          <w:color w:val="1A1A2E"/>
        </w:rPr>
        <w:t>HealthBridge Occupational Health Ltd provides remote GP-led occupational health assessment services to SMEs and organisations across England. Services include:</w:t>
      </w:r>
    </w:p>
    <w:p w:rsidR="00222A20" w:rsidRDefault="00525A0C">
      <w:pPr>
        <w:pStyle w:val="ListParagraph"/>
        <w:numPr>
          <w:ilvl w:val="0"/>
          <w:numId w:val="2"/>
        </w:numPr>
        <w:spacing w:before="40" w:after="40"/>
      </w:pPr>
      <w:r>
        <w:t>Remote OH assessments via video or telephone</w:t>
      </w:r>
    </w:p>
    <w:p w:rsidR="00222A20" w:rsidRDefault="00525A0C">
      <w:pPr>
        <w:pStyle w:val="ListParagraph"/>
        <w:numPr>
          <w:ilvl w:val="0"/>
          <w:numId w:val="2"/>
        </w:numPr>
        <w:spacing w:before="40" w:after="40"/>
      </w:pPr>
      <w:r>
        <w:t xml:space="preserve">Written OH reports </w:t>
      </w:r>
      <w:r>
        <w:t>and functional fitness-for-work opinions</w:t>
      </w:r>
    </w:p>
    <w:p w:rsidR="00222A20" w:rsidRDefault="00525A0C">
      <w:pPr>
        <w:pStyle w:val="ListParagraph"/>
        <w:numPr>
          <w:ilvl w:val="0"/>
          <w:numId w:val="2"/>
        </w:numPr>
        <w:spacing w:before="40" w:after="40"/>
      </w:pPr>
      <w:r>
        <w:t>Employer advisory correspondence relating to individual cases</w:t>
      </w:r>
    </w:p>
    <w:p w:rsidR="00222A20" w:rsidRDefault="00525A0C">
      <w:pPr>
        <w:pStyle w:val="ListParagraph"/>
        <w:numPr>
          <w:ilvl w:val="0"/>
          <w:numId w:val="2"/>
        </w:numPr>
        <w:spacing w:before="40" w:after="40"/>
      </w:pPr>
      <w:r>
        <w:t>Advice on reasonable adjustments, phased return to work, and workplace modifications</w:t>
      </w:r>
    </w:p>
    <w:p w:rsidR="00222A20" w:rsidRDefault="00222A20">
      <w:pPr>
        <w:spacing w:before="80"/>
      </w:pPr>
    </w:p>
    <w:p w:rsidR="00222A20" w:rsidRDefault="00525A0C">
      <w:pPr>
        <w:spacing w:before="280" w:after="100"/>
      </w:pPr>
      <w:proofErr w:type="gramStart"/>
      <w:r>
        <w:rPr>
          <w:b/>
          <w:bCs/>
          <w:color w:val="1B3A6B"/>
          <w:sz w:val="22"/>
          <w:szCs w:val="22"/>
        </w:rPr>
        <w:t>2.2  Clinical</w:t>
      </w:r>
      <w:proofErr w:type="gramEnd"/>
      <w:r>
        <w:rPr>
          <w:b/>
          <w:bCs/>
          <w:color w:val="1B3A6B"/>
          <w:sz w:val="22"/>
          <w:szCs w:val="22"/>
        </w:rPr>
        <w:t xml:space="preserve"> Scope and Limitations</w:t>
      </w:r>
    </w:p>
    <w:p w:rsidR="00222A20" w:rsidRDefault="00222A20">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222A20">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222A20" w:rsidRDefault="00525A0C">
            <w:r>
              <w:rPr>
                <w:i/>
                <w:iCs/>
                <w:color w:val="1B3A6B"/>
                <w:sz w:val="19"/>
                <w:szCs w:val="19"/>
              </w:rPr>
              <w:t>This service is provided by a GMC-registered GP. The Clinical Lead does not currently hold a Diploma in Occupational Medicine (</w:t>
            </w:r>
            <w:proofErr w:type="spellStart"/>
            <w:r>
              <w:rPr>
                <w:i/>
                <w:iCs/>
                <w:color w:val="1B3A6B"/>
                <w:sz w:val="19"/>
                <w:szCs w:val="19"/>
              </w:rPr>
              <w:t>DipOccMed</w:t>
            </w:r>
            <w:proofErr w:type="spellEnd"/>
            <w:r>
              <w:rPr>
                <w:i/>
                <w:iCs/>
                <w:color w:val="1B3A6B"/>
                <w:sz w:val="19"/>
                <w:szCs w:val="19"/>
              </w:rPr>
              <w:t>) or equivalent specialist qualification. The scope of services is explicitly limited as set out below. Accepting a refe</w:t>
            </w:r>
            <w:r>
              <w:rPr>
                <w:i/>
                <w:iCs/>
                <w:color w:val="1B3A6B"/>
                <w:sz w:val="19"/>
                <w:szCs w:val="19"/>
              </w:rPr>
              <w:t>rral confirms only that it appears within scope at the time of referral; scope is re-evaluated at assessment.</w:t>
            </w:r>
          </w:p>
        </w:tc>
      </w:tr>
    </w:tbl>
    <w:p w:rsidR="00222A20" w:rsidRDefault="00222A20">
      <w:pPr>
        <w:spacing w:before="100"/>
      </w:pPr>
    </w:p>
    <w:p w:rsidR="00222A20" w:rsidRDefault="00525A0C">
      <w:pPr>
        <w:spacing w:before="60" w:after="100"/>
      </w:pPr>
      <w:r>
        <w:rPr>
          <w:color w:val="1A1A2E"/>
        </w:rPr>
        <w:t>Services are limited to:</w:t>
      </w:r>
    </w:p>
    <w:p w:rsidR="00222A20" w:rsidRDefault="00525A0C">
      <w:pPr>
        <w:pStyle w:val="ListParagraph"/>
        <w:numPr>
          <w:ilvl w:val="0"/>
          <w:numId w:val="2"/>
        </w:numPr>
        <w:spacing w:before="40" w:after="40"/>
      </w:pPr>
      <w:r>
        <w:t>Non-safety-critical roles — HealthBridge does not undertake statutory health surveillance, fitness assessments for safe</w:t>
      </w:r>
      <w:r>
        <w:t xml:space="preserve">ty-critical roles (including HGV/LGV drivers assessed to DVLA Group 2 standards, aviation and maritime crew, offshore workers, or workers subject to COSHH </w:t>
      </w:r>
      <w:r>
        <w:lastRenderedPageBreak/>
        <w:t>Schedule 1 health surveillance requirements), or any assessment requiring specialist occupational med</w:t>
      </w:r>
      <w:r>
        <w:t>icine accreditation.</w:t>
      </w:r>
    </w:p>
    <w:p w:rsidR="00222A20" w:rsidRDefault="00525A0C">
      <w:pPr>
        <w:pStyle w:val="ListParagraph"/>
        <w:numPr>
          <w:ilvl w:val="0"/>
          <w:numId w:val="2"/>
        </w:numPr>
        <w:spacing w:before="40" w:after="40"/>
      </w:pPr>
      <w:r>
        <w:t>Cases within GP competence — cases identified as requiring specialist occupational medicine input (whether at triage, assessment, or post-report) will be flagged and the referring employer notified promptly with a recommendation for ap</w:t>
      </w:r>
      <w:r>
        <w:t>propriate specialist referral.</w:t>
      </w:r>
    </w:p>
    <w:p w:rsidR="00222A20" w:rsidRDefault="00525A0C">
      <w:pPr>
        <w:pStyle w:val="ListParagraph"/>
        <w:numPr>
          <w:ilvl w:val="0"/>
          <w:numId w:val="2"/>
        </w:numPr>
        <w:spacing w:before="40" w:after="40"/>
      </w:pPr>
      <w:r>
        <w:t>Advisory opinions only — OH reports represent the professional clinical opinion of the assessing GP for workplace decision-making purposes. They do not constitute clinical treatment, a substitute for NHS care, or a record within NHS clinical systems.</w:t>
      </w:r>
    </w:p>
    <w:p w:rsidR="00222A20" w:rsidRDefault="00222A20">
      <w:pPr>
        <w:spacing w:before="80"/>
      </w:pPr>
    </w:p>
    <w:p w:rsidR="00222A20" w:rsidRDefault="00525A0C">
      <w:pPr>
        <w:spacing w:before="60" w:after="100"/>
      </w:pPr>
      <w:r>
        <w:rPr>
          <w:color w:val="1A1A2E"/>
        </w:rPr>
        <w:t>Employers retain sole responsibility for all employment decisions. OH reports are advisory instruments only and do not mandate any specific employment outcome. The advisory nature of reports is confirmed in writing on every report issued.</w:t>
      </w:r>
    </w:p>
    <w:p w:rsidR="00222A20" w:rsidRDefault="00222A20">
      <w:pPr>
        <w:spacing w:before="80"/>
      </w:pPr>
    </w:p>
    <w:p w:rsidR="00222A20" w:rsidRDefault="00525A0C">
      <w:pPr>
        <w:spacing w:before="400" w:after="120"/>
      </w:pPr>
      <w:r>
        <w:rPr>
          <w:b/>
          <w:bCs/>
          <w:color w:val="1B3A6B"/>
          <w:sz w:val="28"/>
          <w:szCs w:val="28"/>
        </w:rPr>
        <w:t xml:space="preserve">3.  Consent and </w:t>
      </w:r>
      <w:r>
        <w:rPr>
          <w:b/>
          <w:bCs/>
          <w:color w:val="1B3A6B"/>
          <w:sz w:val="28"/>
          <w:szCs w:val="28"/>
        </w:rPr>
        <w:t>Confidentiality</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3.1  Informed</w:t>
      </w:r>
      <w:proofErr w:type="gramEnd"/>
      <w:r>
        <w:rPr>
          <w:b/>
          <w:bCs/>
          <w:color w:val="1B3A6B"/>
          <w:sz w:val="22"/>
          <w:szCs w:val="22"/>
        </w:rPr>
        <w:t xml:space="preserve"> Consent</w:t>
      </w:r>
    </w:p>
    <w:p w:rsidR="00222A20" w:rsidRDefault="00525A0C">
      <w:pPr>
        <w:spacing w:before="60" w:after="100"/>
      </w:pPr>
      <w:r>
        <w:rPr>
          <w:color w:val="1A1A2E"/>
        </w:rPr>
        <w:t>No OH assessment will proceed without the employee's informed consent. Prior to each assessment, the employee will be informed of:</w:t>
      </w:r>
    </w:p>
    <w:p w:rsidR="00222A20" w:rsidRDefault="00525A0C">
      <w:pPr>
        <w:pStyle w:val="ListParagraph"/>
        <w:numPr>
          <w:ilvl w:val="0"/>
          <w:numId w:val="2"/>
        </w:numPr>
        <w:spacing w:before="40" w:after="40"/>
      </w:pPr>
      <w:r>
        <w:t>The purpose and scope of the assessment</w:t>
      </w:r>
    </w:p>
    <w:p w:rsidR="00222A20" w:rsidRDefault="00525A0C">
      <w:pPr>
        <w:pStyle w:val="ListParagraph"/>
        <w:numPr>
          <w:ilvl w:val="0"/>
          <w:numId w:val="2"/>
        </w:numPr>
        <w:spacing w:before="40" w:after="40"/>
      </w:pPr>
      <w:r>
        <w:t>The identity of the referring organisation and</w:t>
      </w:r>
      <w:r>
        <w:t xml:space="preserve"> the intended recipients of the report</w:t>
      </w:r>
    </w:p>
    <w:p w:rsidR="00222A20" w:rsidRDefault="00525A0C">
      <w:pPr>
        <w:pStyle w:val="ListParagraph"/>
        <w:numPr>
          <w:ilvl w:val="0"/>
          <w:numId w:val="2"/>
        </w:numPr>
        <w:spacing w:before="40" w:after="40"/>
      </w:pPr>
      <w:r>
        <w:t>Their right to withhold or withdraw consent at any stage without detriment to their NHS care</w:t>
      </w:r>
    </w:p>
    <w:p w:rsidR="00222A20" w:rsidRDefault="00525A0C">
      <w:pPr>
        <w:pStyle w:val="ListParagraph"/>
        <w:numPr>
          <w:ilvl w:val="0"/>
          <w:numId w:val="2"/>
        </w:numPr>
        <w:spacing w:before="40" w:after="40"/>
      </w:pPr>
      <w:r>
        <w:t>Their right to review the report before it is released to the employer</w:t>
      </w:r>
    </w:p>
    <w:p w:rsidR="00222A20" w:rsidRDefault="00525A0C">
      <w:pPr>
        <w:pStyle w:val="ListParagraph"/>
        <w:numPr>
          <w:ilvl w:val="0"/>
          <w:numId w:val="2"/>
        </w:numPr>
        <w:spacing w:before="40" w:after="40"/>
      </w:pPr>
      <w:r>
        <w:t>The implications of declining consent (i.e., the empl</w:t>
      </w:r>
      <w:r>
        <w:t>oyer will be informed only that an assessment cannot proceed; no clinical information will be disclosed)</w:t>
      </w:r>
    </w:p>
    <w:p w:rsidR="00222A20" w:rsidRDefault="00222A20">
      <w:pPr>
        <w:spacing w:before="60"/>
      </w:pPr>
    </w:p>
    <w:p w:rsidR="00222A20" w:rsidRDefault="00525A0C">
      <w:pPr>
        <w:spacing w:before="60" w:after="100"/>
      </w:pPr>
      <w:r>
        <w:rPr>
          <w:color w:val="1A1A2E"/>
        </w:rPr>
        <w:t>Consent is documented and retained as part of the clinical record for each assessment.</w:t>
      </w:r>
    </w:p>
    <w:p w:rsidR="00222A20" w:rsidRDefault="00222A20">
      <w:pPr>
        <w:spacing w:before="80"/>
      </w:pPr>
    </w:p>
    <w:p w:rsidR="00222A20" w:rsidRDefault="00525A0C">
      <w:pPr>
        <w:spacing w:before="280" w:after="100"/>
      </w:pPr>
      <w:proofErr w:type="gramStart"/>
      <w:r>
        <w:rPr>
          <w:b/>
          <w:bCs/>
          <w:color w:val="1B3A6B"/>
          <w:sz w:val="22"/>
          <w:szCs w:val="22"/>
        </w:rPr>
        <w:t>3.2  Access</w:t>
      </w:r>
      <w:proofErr w:type="gramEnd"/>
      <w:r>
        <w:rPr>
          <w:b/>
          <w:bCs/>
          <w:color w:val="1B3A6B"/>
          <w:sz w:val="22"/>
          <w:szCs w:val="22"/>
        </w:rPr>
        <w:t xml:space="preserve"> to Medical Reports Act 1988</w:t>
      </w:r>
    </w:p>
    <w:p w:rsidR="00222A20" w:rsidRDefault="00525A0C">
      <w:pPr>
        <w:spacing w:before="60" w:after="100"/>
      </w:pPr>
      <w:r>
        <w:rPr>
          <w:color w:val="1A1A2E"/>
        </w:rPr>
        <w:t>In accordance with the</w:t>
      </w:r>
      <w:r>
        <w:rPr>
          <w:color w:val="1A1A2E"/>
        </w:rPr>
        <w:t xml:space="preserve"> Access to Medical Reports Act 1988, the following rights are observed for all employee-consented OH assessments:</w:t>
      </w:r>
    </w:p>
    <w:p w:rsidR="00222A20" w:rsidRDefault="00525A0C">
      <w:pPr>
        <w:pStyle w:val="ListParagraph"/>
        <w:numPr>
          <w:ilvl w:val="0"/>
          <w:numId w:val="2"/>
        </w:numPr>
        <w:spacing w:before="40" w:after="40"/>
      </w:pPr>
      <w:r>
        <w:t>Employees have the right to see their OH report prior to release to the employer.</w:t>
      </w:r>
    </w:p>
    <w:p w:rsidR="00222A20" w:rsidRDefault="00525A0C">
      <w:pPr>
        <w:pStyle w:val="ListParagraph"/>
        <w:numPr>
          <w:ilvl w:val="0"/>
          <w:numId w:val="2"/>
        </w:numPr>
        <w:spacing w:before="40" w:after="40"/>
      </w:pPr>
      <w:r>
        <w:t>Employees may request amendments to the report; where the Cl</w:t>
      </w:r>
      <w:r>
        <w:t>inical Lead disagrees with a requested amendment, the disagreement is documented and the employee informed in writing, with their statement appended to the report if they wish.</w:t>
      </w:r>
    </w:p>
    <w:p w:rsidR="00222A20" w:rsidRDefault="00525A0C">
      <w:pPr>
        <w:pStyle w:val="ListParagraph"/>
        <w:numPr>
          <w:ilvl w:val="0"/>
          <w:numId w:val="2"/>
        </w:numPr>
        <w:spacing w:before="40" w:after="40"/>
      </w:pPr>
      <w:r>
        <w:t>Reports are withheld from the employer until explicit written or documented ver</w:t>
      </w:r>
      <w:r>
        <w:t>bal consent to release has been obtained from the employee.</w:t>
      </w:r>
    </w:p>
    <w:p w:rsidR="00222A20" w:rsidRDefault="00525A0C">
      <w:pPr>
        <w:pStyle w:val="ListParagraph"/>
        <w:numPr>
          <w:ilvl w:val="0"/>
          <w:numId w:val="2"/>
        </w:numPr>
        <w:spacing w:before="40" w:after="40"/>
      </w:pPr>
      <w:r>
        <w:t>A default 7-calendar-day review window applies from completion of the report, unless the employee explicitly waives this right in writing.</w:t>
      </w:r>
    </w:p>
    <w:p w:rsidR="00222A20" w:rsidRDefault="00222A20">
      <w:pPr>
        <w:spacing w:before="80"/>
      </w:pPr>
    </w:p>
    <w:p w:rsidR="00222A20" w:rsidRDefault="00525A0C">
      <w:pPr>
        <w:spacing w:before="280" w:after="100"/>
      </w:pPr>
      <w:proofErr w:type="gramStart"/>
      <w:r>
        <w:rPr>
          <w:b/>
          <w:bCs/>
          <w:color w:val="1B3A6B"/>
          <w:sz w:val="22"/>
          <w:szCs w:val="22"/>
        </w:rPr>
        <w:t>3.3  Confidentiality</w:t>
      </w:r>
      <w:proofErr w:type="gramEnd"/>
    </w:p>
    <w:p w:rsidR="00222A20" w:rsidRDefault="00525A0C">
      <w:pPr>
        <w:spacing w:before="60" w:after="100"/>
      </w:pPr>
      <w:r>
        <w:rPr>
          <w:color w:val="1A1A2E"/>
        </w:rPr>
        <w:t>Medical information disclosed durin</w:t>
      </w:r>
      <w:r>
        <w:rPr>
          <w:color w:val="1A1A2E"/>
        </w:rPr>
        <w:t>g assessment is held in strict clinical confidence. OH reports are drafted on the following principles:</w:t>
      </w:r>
    </w:p>
    <w:p w:rsidR="00222A20" w:rsidRDefault="00525A0C">
      <w:pPr>
        <w:pStyle w:val="ListParagraph"/>
        <w:numPr>
          <w:ilvl w:val="0"/>
          <w:numId w:val="2"/>
        </w:numPr>
        <w:spacing w:before="40" w:after="40"/>
      </w:pPr>
      <w:r>
        <w:t>Clinical diagnoses are not disclosed without explicit employee consent; reports focus on functional capacity and workplace impact.</w:t>
      </w:r>
    </w:p>
    <w:p w:rsidR="00222A20" w:rsidRDefault="00525A0C">
      <w:pPr>
        <w:pStyle w:val="ListParagraph"/>
        <w:numPr>
          <w:ilvl w:val="0"/>
          <w:numId w:val="2"/>
        </w:numPr>
        <w:spacing w:before="40" w:after="40"/>
      </w:pPr>
      <w:r>
        <w:t>Information included is limited to what is proportionate to the legitimate occupational health purpose of the referral.</w:t>
      </w:r>
    </w:p>
    <w:p w:rsidR="00222A20" w:rsidRDefault="00525A0C">
      <w:pPr>
        <w:pStyle w:val="ListParagraph"/>
        <w:numPr>
          <w:ilvl w:val="0"/>
          <w:numId w:val="2"/>
        </w:numPr>
        <w:spacing w:before="40" w:after="40"/>
      </w:pPr>
      <w:r>
        <w:t>Clinical detail is not provided beyond what is necessary for the employer to make reasonable employment decisions.</w:t>
      </w:r>
    </w:p>
    <w:p w:rsidR="00222A20" w:rsidRDefault="00222A20">
      <w:pPr>
        <w:spacing w:before="60"/>
      </w:pPr>
    </w:p>
    <w:p w:rsidR="00222A20" w:rsidRDefault="00525A0C">
      <w:pPr>
        <w:spacing w:before="60" w:after="100"/>
      </w:pPr>
      <w:r>
        <w:rPr>
          <w:color w:val="1A1A2E"/>
        </w:rPr>
        <w:lastRenderedPageBreak/>
        <w:t>Where the Clinical L</w:t>
      </w:r>
      <w:r>
        <w:rPr>
          <w:color w:val="1A1A2E"/>
        </w:rPr>
        <w:t xml:space="preserve">ead identifies a safeguarding concern or a statutory duty to disclose (e.g., </w:t>
      </w:r>
      <w:proofErr w:type="spellStart"/>
      <w:r>
        <w:rPr>
          <w:color w:val="1A1A2E"/>
        </w:rPr>
        <w:t>notifiable</w:t>
      </w:r>
      <w:proofErr w:type="spellEnd"/>
      <w:r>
        <w:rPr>
          <w:color w:val="1A1A2E"/>
        </w:rPr>
        <w:t xml:space="preserve"> disease), professional obligations take precedence in accordance with GMC guidance. Any such disclosure is documented at the time, including the grounds relied upon.</w:t>
      </w:r>
    </w:p>
    <w:p w:rsidR="00222A20" w:rsidRDefault="00222A20">
      <w:pPr>
        <w:spacing w:before="80"/>
      </w:pPr>
    </w:p>
    <w:p w:rsidR="00222A20" w:rsidRDefault="00525A0C">
      <w:pPr>
        <w:spacing w:before="280" w:after="100"/>
      </w:pPr>
      <w:proofErr w:type="gramStart"/>
      <w:r>
        <w:rPr>
          <w:b/>
          <w:bCs/>
          <w:color w:val="1B3A6B"/>
          <w:sz w:val="22"/>
          <w:szCs w:val="22"/>
        </w:rPr>
        <w:t>3</w:t>
      </w:r>
      <w:r>
        <w:rPr>
          <w:b/>
          <w:bCs/>
          <w:color w:val="1B3A6B"/>
          <w:sz w:val="22"/>
          <w:szCs w:val="22"/>
        </w:rPr>
        <w:t>.4  Data</w:t>
      </w:r>
      <w:proofErr w:type="gramEnd"/>
      <w:r>
        <w:rPr>
          <w:b/>
          <w:bCs/>
          <w:color w:val="1B3A6B"/>
          <w:sz w:val="22"/>
          <w:szCs w:val="22"/>
        </w:rPr>
        <w:t xml:space="preserve"> Protection</w:t>
      </w:r>
    </w:p>
    <w:p w:rsidR="00222A20" w:rsidRDefault="00525A0C">
      <w:pPr>
        <w:spacing w:before="60" w:after="100"/>
      </w:pPr>
      <w:r>
        <w:rPr>
          <w:color w:val="1A1A2E"/>
        </w:rPr>
        <w:t>All personal data and special category data are processed in compliance with UK GDPR and the Data Protection Act 2018:</w:t>
      </w:r>
    </w:p>
    <w:p w:rsidR="00222A20" w:rsidRDefault="00525A0C">
      <w:pPr>
        <w:pStyle w:val="ListParagraph"/>
        <w:numPr>
          <w:ilvl w:val="0"/>
          <w:numId w:val="2"/>
        </w:numPr>
        <w:spacing w:before="40" w:after="40"/>
      </w:pPr>
      <w:r>
        <w:t>Data is collected for specified, explicit, and legitimate occupational health purposes only and not used for any othe</w:t>
      </w:r>
      <w:r>
        <w:t>r purpose without fresh consent.</w:t>
      </w:r>
    </w:p>
    <w:p w:rsidR="00222A20" w:rsidRDefault="00525A0C">
      <w:pPr>
        <w:pStyle w:val="ListParagraph"/>
        <w:numPr>
          <w:ilvl w:val="0"/>
          <w:numId w:val="2"/>
        </w:numPr>
        <w:spacing w:before="40" w:after="40"/>
      </w:pPr>
      <w:r>
        <w:t>Clinical records are retained for a minimum of 8 years from the date of assessment, in line with standard medical record retention guidance, and securely destroyed thereafter.</w:t>
      </w:r>
    </w:p>
    <w:p w:rsidR="00222A20" w:rsidRDefault="00525A0C">
      <w:pPr>
        <w:pStyle w:val="ListParagraph"/>
        <w:numPr>
          <w:ilvl w:val="0"/>
          <w:numId w:val="2"/>
        </w:numPr>
        <w:spacing w:before="40" w:after="40"/>
      </w:pPr>
      <w:r>
        <w:t>Subject Access Requests are acknowledged within</w:t>
      </w:r>
      <w:r>
        <w:t xml:space="preserve"> 5 working days and fulfilled within 30 calendar days.</w:t>
      </w:r>
    </w:p>
    <w:p w:rsidR="00222A20" w:rsidRDefault="00525A0C">
      <w:pPr>
        <w:pStyle w:val="ListParagraph"/>
        <w:numPr>
          <w:ilvl w:val="0"/>
          <w:numId w:val="2"/>
        </w:numPr>
        <w:spacing w:before="40" w:after="40"/>
      </w:pPr>
      <w:r>
        <w:t>Reportable data breaches are notified to the ICO within 72 hours of the Clinical Lead becoming aware of the breach.</w:t>
      </w:r>
    </w:p>
    <w:p w:rsidR="00222A20" w:rsidRDefault="00525A0C">
      <w:pPr>
        <w:pStyle w:val="ListParagraph"/>
        <w:numPr>
          <w:ilvl w:val="0"/>
          <w:numId w:val="2"/>
        </w:numPr>
        <w:spacing w:before="40" w:after="40"/>
      </w:pPr>
      <w:r>
        <w:t>HealthBridge Occupational Health Ltd is registered as a Data Controller with the Info</w:t>
      </w:r>
      <w:r>
        <w:t>rmation Commissioner's Office.</w:t>
      </w:r>
    </w:p>
    <w:p w:rsidR="00222A20" w:rsidRDefault="00222A20">
      <w:pPr>
        <w:spacing w:before="80"/>
      </w:pPr>
    </w:p>
    <w:p w:rsidR="00222A20" w:rsidRDefault="00525A0C">
      <w:pPr>
        <w:spacing w:before="400" w:after="120"/>
      </w:pPr>
      <w:r>
        <w:rPr>
          <w:b/>
          <w:bCs/>
          <w:color w:val="1B3A6B"/>
          <w:sz w:val="28"/>
          <w:szCs w:val="28"/>
        </w:rPr>
        <w:t>4.  Governance Framework</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4.1  Key</w:t>
      </w:r>
      <w:proofErr w:type="gramEnd"/>
      <w:r>
        <w:rPr>
          <w:b/>
          <w:bCs/>
          <w:color w:val="1B3A6B"/>
          <w:sz w:val="22"/>
          <w:szCs w:val="22"/>
        </w:rPr>
        <w:t xml:space="preserve"> Pillars</w:t>
      </w:r>
    </w:p>
    <w:p w:rsidR="00222A20" w:rsidRDefault="00222A2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Pillar</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Actions and Standards</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Patient Safety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Incident reporting, risk assessments, safeguarding protocols, explicit scope management.</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Clinical Effectiveness</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Evidence-based practice aligned with GMC Good Medical Practice; regular case review; audit cycles.</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Scope Compliance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Ongoing triage of referral appropriateness; prompt escalation of out-of-scope cases; transparent employer communication.</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Data Integrity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Se</w:t>
            </w:r>
            <w:r>
              <w:rPr>
                <w:sz w:val="19"/>
                <w:szCs w:val="19"/>
              </w:rPr>
              <w:t>cure records management; UK GDPR compliance; consent documentation; audit trails; ICO registration.</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Practitioner Competency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GMC revalidation compliance; CPD aligned to RCGP framework; OH-specific ongoing learning; reflective practice.</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Complaint Handling</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Transparent, timely, and documented process; root-cause analysis; learning embedded into practice.</w:t>
            </w:r>
          </w:p>
        </w:tc>
      </w:tr>
    </w:tbl>
    <w:p w:rsidR="00222A20" w:rsidRDefault="00222A20">
      <w:pPr>
        <w:spacing w:before="120"/>
      </w:pPr>
    </w:p>
    <w:p w:rsidR="00222A20" w:rsidRDefault="00525A0C">
      <w:pPr>
        <w:spacing w:before="400" w:after="120"/>
      </w:pPr>
      <w:r>
        <w:rPr>
          <w:b/>
          <w:bCs/>
          <w:color w:val="1B3A6B"/>
          <w:sz w:val="28"/>
          <w:szCs w:val="28"/>
        </w:rPr>
        <w:t>5.  Roles and Responsibilities</w:t>
      </w:r>
    </w:p>
    <w:p w:rsidR="00222A20" w:rsidRDefault="00222A20">
      <w:pPr>
        <w:pBdr>
          <w:bottom w:val="single" w:sz="6" w:space="1" w:color="1B3A6B"/>
        </w:pBdr>
        <w:spacing w:before="60" w:after="200"/>
      </w:pPr>
    </w:p>
    <w:p w:rsidR="00222A20" w:rsidRDefault="00525A0C">
      <w:pPr>
        <w:spacing w:before="60" w:after="100"/>
      </w:pPr>
      <w:r>
        <w:rPr>
          <w:color w:val="1A1A2E"/>
        </w:rPr>
        <w:t>HealthBridge operates as a sole-practitioner service. The Clinical Lead (Dr. James Stanley, GMC No. 7285162) holds responsibility for all clinical governance functions. Where roles reference administrative or support functions, these are fulfilled by the C</w:t>
      </w:r>
      <w:r>
        <w:rPr>
          <w:color w:val="1A1A2E"/>
        </w:rPr>
        <w:t>linical Lead or by contracted third parties operating under the Clinical Lead's oversight and within this governance policy.</w:t>
      </w:r>
    </w:p>
    <w:p w:rsidR="00222A20" w:rsidRDefault="00222A20">
      <w:pPr>
        <w:spacing w:before="8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5826"/>
      </w:tblGrid>
      <w:tr w:rsidR="00222A20">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lastRenderedPageBreak/>
              <w:t>Role</w:t>
            </w:r>
          </w:p>
        </w:tc>
        <w:tc>
          <w:tcPr>
            <w:tcW w:w="5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Duties</w:t>
            </w:r>
          </w:p>
        </w:tc>
      </w:tr>
      <w:tr w:rsidR="00222A20">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Clinical Lead</w:t>
            </w:r>
          </w:p>
          <w:p w:rsidR="00222A20" w:rsidRDefault="00525A0C">
            <w:r>
              <w:rPr>
                <w:sz w:val="19"/>
                <w:szCs w:val="19"/>
              </w:rPr>
              <w:t>(Dr. James Stanley)</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Oversees all clinical governance; conducts quarterly self-reviews; ensures scope compliance; approves this policy and all updates; acts as point of escalation for all clinical and governance matters.</w:t>
            </w:r>
          </w:p>
        </w:tc>
      </w:tr>
      <w:tr w:rsidR="00222A20">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Assessing Clinician</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Follows clinical protocols; documents consent and Access to Medical Reports Act 1988 compliance; conducts assessments within scope; flags out-of-scope referrals; completes incident reporting where applicable. (Currently: Clinical Lead only.)</w:t>
            </w:r>
          </w:p>
        </w:tc>
      </w:tr>
      <w:tr w:rsidR="00222A20">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Data Controll</w:t>
            </w:r>
            <w:r>
              <w:rPr>
                <w:b/>
                <w:bCs/>
                <w:sz w:val="19"/>
                <w:szCs w:val="19"/>
              </w:rPr>
              <w:t>er / DPO</w:t>
            </w:r>
          </w:p>
          <w:p w:rsidR="00222A20" w:rsidRDefault="00525A0C">
            <w:r>
              <w:rPr>
                <w:sz w:val="19"/>
                <w:szCs w:val="19"/>
              </w:rPr>
              <w:t>(Role: Clinical Lead)</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Ensures UK GDPR compliance; maintains ICO registration; manages subject access requests within statutory timelines; leads on data breach assessment and ICO notification; oversees data retention and secure destruction.</w:t>
            </w:r>
          </w:p>
        </w:tc>
      </w:tr>
      <w:tr w:rsidR="00222A20">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Admini</w:t>
            </w:r>
            <w:r>
              <w:rPr>
                <w:b/>
                <w:bCs/>
                <w:sz w:val="19"/>
                <w:szCs w:val="19"/>
              </w:rPr>
              <w:t>strative Support</w:t>
            </w:r>
          </w:p>
          <w:p w:rsidR="00222A20" w:rsidRDefault="00525A0C">
            <w:r>
              <w:rPr>
                <w:sz w:val="19"/>
                <w:szCs w:val="19"/>
              </w:rPr>
              <w:t>(Role: Clinical Lead / contracted)</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 xml:space="preserve">Secure data handling; invoice management via </w:t>
            </w:r>
            <w:proofErr w:type="spellStart"/>
            <w:r>
              <w:rPr>
                <w:sz w:val="19"/>
                <w:szCs w:val="19"/>
              </w:rPr>
              <w:t>Zoho</w:t>
            </w:r>
            <w:proofErr w:type="spellEnd"/>
            <w:r>
              <w:rPr>
                <w:sz w:val="19"/>
                <w:szCs w:val="19"/>
              </w:rPr>
              <w:t xml:space="preserve"> Books; referral intake logging; complaint recording and tracking. Contracted support engaged as required and operates under this governance framework.</w:t>
            </w:r>
          </w:p>
        </w:tc>
      </w:tr>
    </w:tbl>
    <w:p w:rsidR="00222A20" w:rsidRDefault="00222A20">
      <w:pPr>
        <w:spacing w:before="120"/>
      </w:pPr>
    </w:p>
    <w:p w:rsidR="00222A20" w:rsidRDefault="00525A0C">
      <w:pPr>
        <w:spacing w:before="400" w:after="120"/>
      </w:pPr>
      <w:r>
        <w:rPr>
          <w:b/>
          <w:bCs/>
          <w:color w:val="1B3A6B"/>
          <w:sz w:val="28"/>
          <w:szCs w:val="28"/>
        </w:rPr>
        <w:t>6</w:t>
      </w:r>
      <w:r>
        <w:rPr>
          <w:b/>
          <w:bCs/>
          <w:color w:val="1B3A6B"/>
          <w:sz w:val="28"/>
          <w:szCs w:val="28"/>
        </w:rPr>
        <w:t>.  Quality Assurance Mechanisms</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6.1  Audits</w:t>
      </w:r>
      <w:proofErr w:type="gramEnd"/>
    </w:p>
    <w:p w:rsidR="00222A20" w:rsidRDefault="00525A0C">
      <w:pPr>
        <w:pStyle w:val="ListParagraph"/>
        <w:numPr>
          <w:ilvl w:val="0"/>
          <w:numId w:val="2"/>
        </w:numPr>
        <w:spacing w:before="40" w:after="40"/>
      </w:pPr>
      <w:r>
        <w:t>Monthly: Self-audit of a minimum 10% random sample of completed case records, reviewing accuracy, consent documentation, GDPR compliance, and scope appropriateness.</w:t>
      </w:r>
    </w:p>
    <w:p w:rsidR="00222A20" w:rsidRDefault="00525A0C">
      <w:pPr>
        <w:pStyle w:val="ListParagraph"/>
        <w:numPr>
          <w:ilvl w:val="0"/>
          <w:numId w:val="2"/>
        </w:numPr>
        <w:spacing w:before="40" w:after="40"/>
      </w:pPr>
      <w:r>
        <w:t>Quarterly: Referral-to-report turnaround time review; review of any referrals declined or escalated as out of scope.</w:t>
      </w:r>
    </w:p>
    <w:p w:rsidR="00222A20" w:rsidRDefault="00525A0C">
      <w:pPr>
        <w:pStyle w:val="ListParagraph"/>
        <w:numPr>
          <w:ilvl w:val="0"/>
          <w:numId w:val="2"/>
        </w:numPr>
        <w:spacing w:before="40" w:after="40"/>
      </w:pPr>
      <w:r>
        <w:t>Annual: Full clinical audit against GMC Good Medical Practice standards and applicable occupational health guidance. Outcomes documented an</w:t>
      </w:r>
      <w:r>
        <w:t>d used to drive policy updates.</w:t>
      </w:r>
    </w:p>
    <w:p w:rsidR="00222A20" w:rsidRDefault="00222A20">
      <w:pPr>
        <w:spacing w:before="80"/>
      </w:pPr>
    </w:p>
    <w:p w:rsidR="00222A20" w:rsidRDefault="00525A0C">
      <w:pPr>
        <w:spacing w:before="280" w:after="100"/>
      </w:pPr>
      <w:proofErr w:type="gramStart"/>
      <w:r>
        <w:rPr>
          <w:b/>
          <w:bCs/>
          <w:color w:val="1B3A6B"/>
          <w:sz w:val="22"/>
          <w:szCs w:val="22"/>
        </w:rPr>
        <w:t>6.2  Peer</w:t>
      </w:r>
      <w:proofErr w:type="gramEnd"/>
      <w:r>
        <w:rPr>
          <w:b/>
          <w:bCs/>
          <w:color w:val="1B3A6B"/>
          <w:sz w:val="22"/>
          <w:szCs w:val="22"/>
        </w:rPr>
        <w:t xml:space="preserve"> Review</w:t>
      </w:r>
    </w:p>
    <w:p w:rsidR="00222A20" w:rsidRDefault="00525A0C">
      <w:pPr>
        <w:spacing w:before="60" w:after="100"/>
      </w:pPr>
      <w:r>
        <w:rPr>
          <w:color w:val="1A1A2E"/>
        </w:rPr>
        <w:t>Given the sole-practitioner nature of the service, peer review is conducted through:</w:t>
      </w:r>
    </w:p>
    <w:p w:rsidR="00222A20" w:rsidRDefault="00525A0C">
      <w:pPr>
        <w:pStyle w:val="ListParagraph"/>
        <w:numPr>
          <w:ilvl w:val="0"/>
          <w:numId w:val="2"/>
        </w:numPr>
        <w:spacing w:before="40" w:after="40"/>
      </w:pPr>
      <w:r>
        <w:t xml:space="preserve">External review of a sample of </w:t>
      </w:r>
      <w:proofErr w:type="spellStart"/>
      <w:r>
        <w:t>anonymised</w:t>
      </w:r>
      <w:proofErr w:type="spellEnd"/>
      <w:r>
        <w:t xml:space="preserve"> reports at least annually, via GP collegiate networks or MPS advisory resources</w:t>
      </w:r>
      <w:r>
        <w:t>.</w:t>
      </w:r>
    </w:p>
    <w:p w:rsidR="00222A20" w:rsidRDefault="00525A0C">
      <w:pPr>
        <w:pStyle w:val="ListParagraph"/>
        <w:numPr>
          <w:ilvl w:val="0"/>
          <w:numId w:val="2"/>
        </w:numPr>
        <w:spacing w:before="40" w:after="40"/>
      </w:pPr>
      <w:r>
        <w:t>CPD-linked reflective practice, including structured reflection on complex, novel, or disputed cases.</w:t>
      </w:r>
    </w:p>
    <w:p w:rsidR="00222A20" w:rsidRDefault="00525A0C">
      <w:pPr>
        <w:pStyle w:val="ListParagraph"/>
        <w:numPr>
          <w:ilvl w:val="0"/>
          <w:numId w:val="2"/>
        </w:numPr>
        <w:spacing w:before="40" w:after="40"/>
      </w:pPr>
      <w:r>
        <w:t>Where the service expands to include associate practitioners, a minimum of 5% of reports will be subject to blinded peer review for consistency and clar</w:t>
      </w:r>
      <w:r>
        <w:t>ity.</w:t>
      </w:r>
    </w:p>
    <w:p w:rsidR="00222A20" w:rsidRDefault="00222A20">
      <w:pPr>
        <w:spacing w:before="80"/>
      </w:pPr>
    </w:p>
    <w:p w:rsidR="00222A20" w:rsidRDefault="00525A0C">
      <w:pPr>
        <w:spacing w:before="280" w:after="100"/>
      </w:pPr>
      <w:proofErr w:type="gramStart"/>
      <w:r>
        <w:rPr>
          <w:b/>
          <w:bCs/>
          <w:color w:val="1B3A6B"/>
          <w:sz w:val="22"/>
          <w:szCs w:val="22"/>
        </w:rPr>
        <w:t>6.3  Employer</w:t>
      </w:r>
      <w:proofErr w:type="gramEnd"/>
      <w:r>
        <w:rPr>
          <w:b/>
          <w:bCs/>
          <w:color w:val="1B3A6B"/>
          <w:sz w:val="22"/>
          <w:szCs w:val="22"/>
        </w:rPr>
        <w:t xml:space="preserve"> and Employee Feedback</w:t>
      </w:r>
    </w:p>
    <w:p w:rsidR="00222A20" w:rsidRDefault="00525A0C">
      <w:pPr>
        <w:spacing w:before="60" w:after="100"/>
      </w:pPr>
      <w:r>
        <w:rPr>
          <w:color w:val="1A1A2E"/>
        </w:rPr>
        <w:t>Post-consultation feedback is sought from referring employers and, where appropriate, from employees following assessment. Surveys capture a Net Promoter Score alongside free-text comments. Themes are reviewed quar</w:t>
      </w:r>
      <w:r>
        <w:rPr>
          <w:color w:val="1A1A2E"/>
        </w:rPr>
        <w:t>terly and findings used to inform service improvement.</w:t>
      </w:r>
    </w:p>
    <w:p w:rsidR="00222A20" w:rsidRDefault="00222A20">
      <w:pPr>
        <w:spacing w:before="80"/>
      </w:pPr>
    </w:p>
    <w:p w:rsidR="00222A20" w:rsidRDefault="00525A0C">
      <w:pPr>
        <w:spacing w:before="400" w:after="120"/>
      </w:pPr>
      <w:r>
        <w:rPr>
          <w:b/>
          <w:bCs/>
          <w:color w:val="1B3A6B"/>
          <w:sz w:val="28"/>
          <w:szCs w:val="28"/>
        </w:rPr>
        <w:t>7.  Risk Management</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7.1  Incident</w:t>
      </w:r>
      <w:proofErr w:type="gramEnd"/>
      <w:r>
        <w:rPr>
          <w:b/>
          <w:bCs/>
          <w:color w:val="1B3A6B"/>
          <w:sz w:val="22"/>
          <w:szCs w:val="22"/>
        </w:rPr>
        <w:t xml:space="preserve"> Reporting</w:t>
      </w:r>
    </w:p>
    <w:p w:rsidR="00222A20" w:rsidRDefault="00222A2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0"/>
        <w:gridCol w:w="2826"/>
        <w:gridCol w:w="2000"/>
        <w:gridCol w:w="3300"/>
      </w:tblGrid>
      <w:tr w:rsidR="00222A20">
        <w:tblPrEx>
          <w:tblCellMar>
            <w:top w:w="0" w:type="dxa"/>
            <w:bottom w:w="0" w:type="dxa"/>
          </w:tblCellMar>
        </w:tblPrEx>
        <w:tc>
          <w:tcPr>
            <w:tcW w:w="9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Tier</w:t>
            </w:r>
          </w:p>
        </w:tc>
        <w:tc>
          <w:tcPr>
            <w:tcW w:w="2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Definition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Response Timeline</w:t>
            </w:r>
          </w:p>
        </w:tc>
        <w:tc>
          <w:tcPr>
            <w:tcW w:w="33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Reporting Pathway</w:t>
            </w:r>
          </w:p>
        </w:tc>
      </w:tr>
      <w:tr w:rsidR="00222A20">
        <w:tblPrEx>
          <w:tblCellMar>
            <w:top w:w="0" w:type="dxa"/>
            <w:bottom w:w="0" w:type="dxa"/>
          </w:tblCellMar>
        </w:tblPrEx>
        <w:tc>
          <w:tcPr>
            <w:tcW w:w="9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Tier 1</w:t>
            </w:r>
          </w:p>
        </w:tc>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Minor — e.g., report delay, typographical error, minor process deviation.</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Resolved within 5 working days.</w:t>
            </w:r>
          </w:p>
        </w:tc>
        <w:tc>
          <w:tcPr>
            <w:tcW w:w="33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Logged internally; documented in monthly self-audit record.</w:t>
            </w:r>
          </w:p>
        </w:tc>
      </w:tr>
      <w:tr w:rsidR="00222A20">
        <w:tblPrEx>
          <w:tblCellMar>
            <w:top w:w="0" w:type="dxa"/>
            <w:bottom w:w="0" w:type="dxa"/>
          </w:tblCellMar>
        </w:tblPrEx>
        <w:tc>
          <w:tcPr>
            <w:tcW w:w="9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Tier 2</w:t>
            </w:r>
          </w:p>
        </w:tc>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Moderate — e.g., consent process failure, confidentiality near-miss, report dispatched ahead of employee review period.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Investigated within 48 hours.</w:t>
            </w:r>
          </w:p>
        </w:tc>
        <w:tc>
          <w:tcPr>
            <w:tcW w:w="33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Immediate review; root-cause documented; corrective action taken and recorded. MPS notified if appropriate.</w:t>
            </w:r>
          </w:p>
        </w:tc>
      </w:tr>
      <w:tr w:rsidR="00222A20">
        <w:tblPrEx>
          <w:tblCellMar>
            <w:top w:w="0" w:type="dxa"/>
            <w:bottom w:w="0" w:type="dxa"/>
          </w:tblCellMar>
        </w:tblPrEx>
        <w:tc>
          <w:tcPr>
            <w:tcW w:w="9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Tier 3</w:t>
            </w:r>
          </w:p>
        </w:tc>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Major — e.g., data breach, material clinical error, safeguarding failure, or report causing demonstrable harm to an individual.</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Reported wit</w:t>
            </w:r>
            <w:r>
              <w:rPr>
                <w:sz w:val="19"/>
                <w:szCs w:val="19"/>
              </w:rPr>
              <w:t>hin 72 hours.</w:t>
            </w:r>
          </w:p>
        </w:tc>
        <w:tc>
          <w:tcPr>
            <w:tcW w:w="33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ICO notified within 72 hours if data breach; GMC notified if required; MPS contacted immediately; formal root-cause analysis completed; quarterly governance review triggered within 28 days.</w:t>
            </w:r>
          </w:p>
        </w:tc>
      </w:tr>
    </w:tbl>
    <w:p w:rsidR="00222A20" w:rsidRDefault="00222A20">
      <w:pPr>
        <w:spacing w:before="80"/>
      </w:pPr>
    </w:p>
    <w:p w:rsidR="00222A20" w:rsidRDefault="00525A0C">
      <w:pPr>
        <w:spacing w:before="60" w:after="100"/>
      </w:pPr>
      <w:r>
        <w:rPr>
          <w:color w:val="1A1A2E"/>
        </w:rPr>
        <w:t>All incidents, regardless of tier, are documented in an Incident Record (Appendix A). Tier 3 incidents automatically trigger a formal governance review to implement measures to prevent recurrence. Staff or contracted parties who identify incidents are requ</w:t>
      </w:r>
      <w:r>
        <w:rPr>
          <w:color w:val="1A1A2E"/>
        </w:rPr>
        <w:t>ired to report them to the Clinical Lead without delay.</w:t>
      </w:r>
    </w:p>
    <w:p w:rsidR="00222A20" w:rsidRDefault="00222A20">
      <w:pPr>
        <w:spacing w:before="80"/>
      </w:pPr>
    </w:p>
    <w:p w:rsidR="00222A20" w:rsidRDefault="00525A0C">
      <w:pPr>
        <w:spacing w:before="280" w:after="100"/>
      </w:pPr>
      <w:proofErr w:type="gramStart"/>
      <w:r>
        <w:rPr>
          <w:b/>
          <w:bCs/>
          <w:color w:val="1B3A6B"/>
          <w:sz w:val="22"/>
          <w:szCs w:val="22"/>
        </w:rPr>
        <w:t>7.2  Risk</w:t>
      </w:r>
      <w:proofErr w:type="gramEnd"/>
      <w:r>
        <w:rPr>
          <w:b/>
          <w:bCs/>
          <w:color w:val="1B3A6B"/>
          <w:sz w:val="22"/>
          <w:szCs w:val="22"/>
        </w:rPr>
        <w:t xml:space="preserve"> Register</w:t>
      </w:r>
    </w:p>
    <w:p w:rsidR="00222A20" w:rsidRDefault="00222A2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26"/>
        <w:gridCol w:w="4400"/>
        <w:gridCol w:w="1800"/>
      </w:tblGrid>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Risk</w:t>
            </w:r>
          </w:p>
        </w:tc>
        <w:tc>
          <w:tcPr>
            <w:tcW w:w="4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Mitigation</w:t>
            </w:r>
          </w:p>
        </w:tc>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Owner</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Referral received for a safety-critical or out-of-scope role</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 xml:space="preserve">Scope triage on receipt of each referral; pre-assessment scope confirmation; employer notified </w:t>
            </w:r>
            <w:r>
              <w:rPr>
                <w:sz w:val="19"/>
                <w:szCs w:val="19"/>
              </w:rPr>
              <w:t>promptly if referral cannot be accepted, with recommendation for appropriate specialist.</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OH report misinterpreted as a directive rather than advisory opinion</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Standard covering note issued with every report: '</w:t>
            </w:r>
            <w:r>
              <w:rPr>
                <w:sz w:val="19"/>
                <w:szCs w:val="19"/>
              </w:rPr>
              <w:t>This report is advisory. Employment decisions remain the sole responsibility of the employer, who must contextualise these recommendations within the full employment context.'</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Report released without employee consent or ahead of review windo</w:t>
            </w:r>
            <w:r>
              <w:rPr>
                <w:sz w:val="19"/>
                <w:szCs w:val="19"/>
              </w:rPr>
              <w:t>w</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Pre-dispatch consent-to-release checklist for every report; default 7-day employee review window documented and tracked; no report dispatched until consent to release confirmed.</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assessment outside GP competence</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Clear scope boundar</w:t>
            </w:r>
            <w:r>
              <w:rPr>
                <w:sz w:val="19"/>
                <w:szCs w:val="19"/>
              </w:rPr>
              <w:t>ies documented in this policy and referral terms; clinical uncertainty flagged to employer at assessment stage; onward specialist referral recommended.</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Remote technology failure during assessment</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Backup telephone consultation arranged without delay; encrypted email follow-up where required.</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Data breach or unauthorised disclosure</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Secure encrypted storage; UK GDPR-compliant processing procedures; mandatory 72-hour breach reporting prot</w:t>
            </w:r>
            <w:r>
              <w:rPr>
                <w:sz w:val="19"/>
                <w:szCs w:val="19"/>
              </w:rPr>
              <w:t>ocol; MPS notified immediately.</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Clinical Lead</w:t>
            </w:r>
          </w:p>
        </w:tc>
      </w:tr>
      <w:tr w:rsidR="00222A20">
        <w:tblPrEx>
          <w:tblCellMar>
            <w:top w:w="0" w:type="dxa"/>
            <w:bottom w:w="0" w:type="dxa"/>
          </w:tblCellMar>
        </w:tblPrEx>
        <w:tc>
          <w:tcPr>
            <w:tcW w:w="2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 xml:space="preserve">Practitioner workload and </w:t>
            </w:r>
            <w:r>
              <w:rPr>
                <w:sz w:val="19"/>
                <w:szCs w:val="19"/>
              </w:rPr>
              <w:lastRenderedPageBreak/>
              <w:t>wellbeing (ISO 45003)</w:t>
            </w:r>
          </w:p>
        </w:tc>
        <w:tc>
          <w:tcPr>
            <w:tcW w:w="4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lastRenderedPageBreak/>
              <w:t xml:space="preserve">Maximum 4 assessments per working day; </w:t>
            </w:r>
            <w:r>
              <w:rPr>
                <w:sz w:val="19"/>
                <w:szCs w:val="19"/>
              </w:rPr>
              <w:lastRenderedPageBreak/>
              <w:t>regular caseload self-review; out-of-hours NHS GP practice maintained to ensure financial stability and reduce volume pres</w:t>
            </w:r>
            <w:r>
              <w:rPr>
                <w:sz w:val="19"/>
                <w:szCs w:val="19"/>
              </w:rPr>
              <w:t>sure on HealthBridge.</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lastRenderedPageBreak/>
              <w:t>Clinical Lead</w:t>
            </w:r>
          </w:p>
        </w:tc>
      </w:tr>
    </w:tbl>
    <w:p w:rsidR="00222A20" w:rsidRDefault="00222A20">
      <w:pPr>
        <w:spacing w:before="120"/>
      </w:pPr>
    </w:p>
    <w:p w:rsidR="00222A20" w:rsidRDefault="00525A0C">
      <w:pPr>
        <w:spacing w:before="400" w:after="120"/>
      </w:pPr>
      <w:r>
        <w:rPr>
          <w:b/>
          <w:bCs/>
          <w:color w:val="1B3A6B"/>
          <w:sz w:val="28"/>
          <w:szCs w:val="28"/>
        </w:rPr>
        <w:t>8.  Complaints Procedure</w:t>
      </w:r>
    </w:p>
    <w:p w:rsidR="00222A20" w:rsidRDefault="00222A20">
      <w:pPr>
        <w:pBdr>
          <w:bottom w:val="single" w:sz="6" w:space="1" w:color="1B3A6B"/>
        </w:pBdr>
        <w:spacing w:before="60" w:after="200"/>
      </w:pPr>
    </w:p>
    <w:p w:rsidR="00222A20" w:rsidRDefault="00525A0C">
      <w:pPr>
        <w:spacing w:before="280" w:after="100"/>
      </w:pPr>
      <w:proofErr w:type="gramStart"/>
      <w:r>
        <w:rPr>
          <w:b/>
          <w:bCs/>
          <w:color w:val="1B3A6B"/>
          <w:sz w:val="22"/>
          <w:szCs w:val="22"/>
        </w:rPr>
        <w:t>8.1  Process</w:t>
      </w:r>
      <w:proofErr w:type="gramEnd"/>
    </w:p>
    <w:p w:rsidR="00222A20" w:rsidRDefault="00525A0C">
      <w:pPr>
        <w:spacing w:before="60" w:after="100"/>
      </w:pPr>
      <w:r>
        <w:rPr>
          <w:color w:val="1A1A2E"/>
        </w:rPr>
        <w:t>Complaints may be received from employees, employers, or other third parties. All complaints are handled as follows:</w:t>
      </w:r>
    </w:p>
    <w:p w:rsidR="00222A20" w:rsidRDefault="00525A0C">
      <w:pPr>
        <w:pStyle w:val="ListParagraph"/>
        <w:numPr>
          <w:ilvl w:val="0"/>
          <w:numId w:val="2"/>
        </w:numPr>
        <w:spacing w:before="40" w:after="40"/>
      </w:pPr>
      <w:r>
        <w:t>Acknowledged in writing within 5 working days of receipt.</w:t>
      </w:r>
    </w:p>
    <w:p w:rsidR="00222A20" w:rsidRDefault="00525A0C">
      <w:pPr>
        <w:pStyle w:val="ListParagraph"/>
        <w:numPr>
          <w:ilvl w:val="0"/>
          <w:numId w:val="2"/>
        </w:numPr>
        <w:spacing w:before="40" w:after="40"/>
      </w:pPr>
      <w:r>
        <w:t>Investigated by the Clinical Lead, with a written record of findings.</w:t>
      </w:r>
    </w:p>
    <w:p w:rsidR="00222A20" w:rsidRDefault="00525A0C">
      <w:pPr>
        <w:pStyle w:val="ListParagraph"/>
        <w:numPr>
          <w:ilvl w:val="0"/>
          <w:numId w:val="2"/>
        </w:numPr>
        <w:spacing w:before="40" w:after="40"/>
      </w:pPr>
      <w:r>
        <w:t>Responded to in full within 28 calendar days (or the complainant updated on progress where further investigation is required).</w:t>
      </w:r>
    </w:p>
    <w:p w:rsidR="00222A20" w:rsidRDefault="00525A0C">
      <w:pPr>
        <w:pStyle w:val="ListParagraph"/>
        <w:numPr>
          <w:ilvl w:val="0"/>
          <w:numId w:val="2"/>
        </w:numPr>
        <w:spacing w:before="40" w:after="40"/>
      </w:pPr>
      <w:r>
        <w:t>Fully documented, including the outcome, any clinical or pr</w:t>
      </w:r>
      <w:r>
        <w:t>ocess findings, and learning actions taken.</w:t>
      </w:r>
    </w:p>
    <w:p w:rsidR="00222A20" w:rsidRDefault="00222A20">
      <w:pPr>
        <w:spacing w:before="60"/>
      </w:pPr>
    </w:p>
    <w:p w:rsidR="00222A20" w:rsidRDefault="00525A0C">
      <w:pPr>
        <w:spacing w:before="60" w:after="100"/>
      </w:pPr>
      <w:r>
        <w:rPr>
          <w:color w:val="1A1A2E"/>
        </w:rPr>
        <w:t>Complainants are informed of their right to escalate unresolved complaints to:</w:t>
      </w:r>
    </w:p>
    <w:p w:rsidR="00222A20" w:rsidRDefault="00525A0C">
      <w:pPr>
        <w:pStyle w:val="ListParagraph"/>
        <w:numPr>
          <w:ilvl w:val="0"/>
          <w:numId w:val="2"/>
        </w:numPr>
        <w:spacing w:before="40" w:after="40"/>
      </w:pPr>
      <w:r>
        <w:t>The General Medical Council (GMC) — for concerns about clinical conduct or fitness to practise.</w:t>
      </w:r>
    </w:p>
    <w:p w:rsidR="00222A20" w:rsidRDefault="00525A0C">
      <w:pPr>
        <w:pStyle w:val="ListParagraph"/>
        <w:numPr>
          <w:ilvl w:val="0"/>
          <w:numId w:val="2"/>
        </w:numPr>
        <w:spacing w:before="40" w:after="40"/>
      </w:pPr>
      <w:r>
        <w:t>The Information Commissioner's Offic</w:t>
      </w:r>
      <w:r>
        <w:t>e (ICO) — for concerns relating to data protection.</w:t>
      </w:r>
    </w:p>
    <w:p w:rsidR="00222A20" w:rsidRDefault="00525A0C">
      <w:pPr>
        <w:pStyle w:val="ListParagraph"/>
        <w:numPr>
          <w:ilvl w:val="0"/>
          <w:numId w:val="2"/>
        </w:numPr>
        <w:spacing w:before="40" w:after="40"/>
      </w:pPr>
      <w:r>
        <w:t>The relevant professional body or healthcare ombudsman where applicable.</w:t>
      </w:r>
    </w:p>
    <w:p w:rsidR="00222A20" w:rsidRDefault="00222A20">
      <w:pPr>
        <w:spacing w:before="80"/>
      </w:pPr>
    </w:p>
    <w:p w:rsidR="00222A20" w:rsidRDefault="00525A0C">
      <w:pPr>
        <w:spacing w:before="280" w:after="100"/>
      </w:pPr>
      <w:proofErr w:type="gramStart"/>
      <w:r>
        <w:rPr>
          <w:b/>
          <w:bCs/>
          <w:color w:val="1B3A6B"/>
          <w:sz w:val="22"/>
          <w:szCs w:val="22"/>
        </w:rPr>
        <w:t>8.2  Learning</w:t>
      </w:r>
      <w:proofErr w:type="gramEnd"/>
      <w:r>
        <w:rPr>
          <w:b/>
          <w:bCs/>
          <w:color w:val="1B3A6B"/>
          <w:sz w:val="22"/>
          <w:szCs w:val="22"/>
        </w:rPr>
        <w:t xml:space="preserve"> from Complaints</w:t>
      </w:r>
    </w:p>
    <w:p w:rsidR="00222A20" w:rsidRDefault="00525A0C">
      <w:pPr>
        <w:spacing w:before="60" w:after="100"/>
      </w:pPr>
      <w:r>
        <w:rPr>
          <w:color w:val="1A1A2E"/>
        </w:rPr>
        <w:t>Recurring complaint themes are reviewed at the annual governance review and inform policy updates an</w:t>
      </w:r>
      <w:r>
        <w:rPr>
          <w:color w:val="1A1A2E"/>
        </w:rPr>
        <w:t>d CPD planning. All complaints are treated as a learning mechanism and documented accordingly, regardless of outcome.</w:t>
      </w:r>
    </w:p>
    <w:p w:rsidR="00222A20" w:rsidRDefault="00222A20">
      <w:pPr>
        <w:spacing w:before="80"/>
      </w:pPr>
    </w:p>
    <w:p w:rsidR="00222A20" w:rsidRDefault="00525A0C">
      <w:pPr>
        <w:spacing w:before="400" w:after="120"/>
      </w:pPr>
      <w:r>
        <w:rPr>
          <w:b/>
          <w:bCs/>
          <w:color w:val="1B3A6B"/>
          <w:sz w:val="28"/>
          <w:szCs w:val="28"/>
        </w:rPr>
        <w:t>9.  Professional Indemnity</w:t>
      </w:r>
    </w:p>
    <w:p w:rsidR="00222A20" w:rsidRDefault="00222A20">
      <w:pPr>
        <w:pBdr>
          <w:bottom w:val="single" w:sz="6" w:space="1" w:color="1B3A6B"/>
        </w:pBdr>
        <w:spacing w:before="60" w:after="200"/>
      </w:pPr>
    </w:p>
    <w:p w:rsidR="00222A20" w:rsidRDefault="00525A0C">
      <w:pPr>
        <w:spacing w:before="60" w:after="100"/>
      </w:pPr>
      <w:r>
        <w:rPr>
          <w:color w:val="1A1A2E"/>
        </w:rPr>
        <w:t>All clinical activities carried out under HealthBridge Occupational Health Ltd — including OH assessments, re</w:t>
      </w:r>
      <w:r>
        <w:rPr>
          <w:color w:val="1A1A2E"/>
        </w:rPr>
        <w:t>port writing, and employer advisory correspondence — are covered by professional indemnity provided by the Medical Protection Society (MPS).</w:t>
      </w:r>
    </w:p>
    <w:p w:rsidR="00222A20" w:rsidRDefault="00222A20">
      <w:pPr>
        <w:spacing w:before="60"/>
      </w:pPr>
    </w:p>
    <w:p w:rsidR="00222A20" w:rsidRDefault="00525A0C">
      <w:pPr>
        <w:pStyle w:val="ListParagraph"/>
        <w:numPr>
          <w:ilvl w:val="0"/>
          <w:numId w:val="2"/>
        </w:numPr>
        <w:spacing w:before="40" w:after="40"/>
      </w:pPr>
      <w:r>
        <w:t xml:space="preserve">MPS indemnity has been confirmed as extending to advisory OH report writing in the context of a GMC-registered GP </w:t>
      </w:r>
      <w:r>
        <w:t>providing non-clinical occupational health services.</w:t>
      </w:r>
    </w:p>
    <w:p w:rsidR="00222A20" w:rsidRDefault="00525A0C">
      <w:pPr>
        <w:pStyle w:val="ListParagraph"/>
        <w:numPr>
          <w:ilvl w:val="0"/>
          <w:numId w:val="2"/>
        </w:numPr>
        <w:spacing w:before="40" w:after="40"/>
      </w:pPr>
      <w:r>
        <w:t>Indemnity cover is maintained continuously and confirmed annually.</w:t>
      </w:r>
    </w:p>
    <w:p w:rsidR="00222A20" w:rsidRDefault="00525A0C">
      <w:pPr>
        <w:pStyle w:val="ListParagraph"/>
        <w:numPr>
          <w:ilvl w:val="0"/>
          <w:numId w:val="2"/>
        </w:numPr>
        <w:spacing w:before="40" w:after="40"/>
      </w:pPr>
      <w:r>
        <w:t>A current certificate of professional indemnity is available to referring employers or other parties upon written request.</w:t>
      </w:r>
    </w:p>
    <w:p w:rsidR="00222A20" w:rsidRDefault="00525A0C">
      <w:pPr>
        <w:pStyle w:val="ListParagraph"/>
        <w:numPr>
          <w:ilvl w:val="0"/>
          <w:numId w:val="2"/>
        </w:numPr>
        <w:spacing w:before="40" w:after="40"/>
      </w:pPr>
      <w:r>
        <w:t>Any matter with potential medico-legal implications is reported to MPS at the earliest opportunity, and no admissions or commitments are made to third parties prior to MPS consultation.</w:t>
      </w:r>
    </w:p>
    <w:p w:rsidR="00222A20" w:rsidRDefault="00222A20">
      <w:pPr>
        <w:spacing w:before="80"/>
      </w:pPr>
    </w:p>
    <w:p w:rsidR="00222A20" w:rsidRDefault="00525A0C">
      <w:pPr>
        <w:spacing w:before="400" w:after="120"/>
      </w:pPr>
      <w:r>
        <w:rPr>
          <w:b/>
          <w:bCs/>
          <w:color w:val="1B3A6B"/>
          <w:sz w:val="28"/>
          <w:szCs w:val="28"/>
        </w:rPr>
        <w:t>10.  Education and Training</w:t>
      </w:r>
    </w:p>
    <w:p w:rsidR="00222A20" w:rsidRDefault="00222A20">
      <w:pPr>
        <w:pBdr>
          <w:bottom w:val="single" w:sz="6" w:space="1" w:color="1B3A6B"/>
        </w:pBdr>
        <w:spacing w:before="60" w:after="200"/>
      </w:pPr>
    </w:p>
    <w:p w:rsidR="00222A20" w:rsidRDefault="00222A2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Training Area</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Requirement and Standard</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Mandatory Annual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UK GDPR refresher; safeguarding (adults and children to Level 2 minimum); Equality Act 2010 awareness; basic life support (current certification).</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CPD</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GMC revalidation CPD requirements met, aligned with RCGP CPD framework. Includes OH-specific learning: Faculty of Occupational Medicine (FOM) guidance documents, OH e-learning platforms, relevant clinical updates, and case-based reflection.</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Specialist Dev</w:t>
            </w:r>
            <w:r>
              <w:rPr>
                <w:b/>
                <w:bCs/>
                <w:sz w:val="19"/>
                <w:szCs w:val="19"/>
              </w:rPr>
              <w:t>elopment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Diploma in Occupational Medicine (</w:t>
            </w:r>
            <w:proofErr w:type="spellStart"/>
            <w:r>
              <w:rPr>
                <w:sz w:val="19"/>
                <w:szCs w:val="19"/>
              </w:rPr>
              <w:t>DipOccMed</w:t>
            </w:r>
            <w:proofErr w:type="spellEnd"/>
            <w:r>
              <w:rPr>
                <w:sz w:val="19"/>
                <w:szCs w:val="19"/>
              </w:rPr>
              <w:t xml:space="preserve">): planned for pursuit once target revenue milestones are consistently achieved, as documented in the business development records. Achievement of </w:t>
            </w:r>
            <w:proofErr w:type="spellStart"/>
            <w:r>
              <w:rPr>
                <w:sz w:val="19"/>
                <w:szCs w:val="19"/>
              </w:rPr>
              <w:t>DipOccMed</w:t>
            </w:r>
            <w:proofErr w:type="spellEnd"/>
            <w:r>
              <w:rPr>
                <w:sz w:val="19"/>
                <w:szCs w:val="19"/>
              </w:rPr>
              <w:t xml:space="preserve"> will materially expand the service scope.</w:t>
            </w:r>
          </w:p>
        </w:tc>
      </w:tr>
      <w:tr w:rsidR="00222A20">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b/>
                <w:bCs/>
                <w:sz w:val="19"/>
                <w:szCs w:val="19"/>
              </w:rPr>
              <w:t xml:space="preserve">New </w:t>
            </w:r>
            <w:r>
              <w:rPr>
                <w:b/>
                <w:bCs/>
                <w:sz w:val="19"/>
                <w:szCs w:val="19"/>
              </w:rPr>
              <w:t>Practitioner Induction (if applicable)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Any future associate practitioners must complete a formal induction including: review of this governance policy; shadow a minimum of 5 supervised assessments before conducting independent assessments; written confirma</w:t>
            </w:r>
            <w:r>
              <w:rPr>
                <w:sz w:val="19"/>
                <w:szCs w:val="19"/>
              </w:rPr>
              <w:t>tion of scope compliance.</w:t>
            </w:r>
          </w:p>
        </w:tc>
      </w:tr>
    </w:tbl>
    <w:p w:rsidR="00222A20" w:rsidRDefault="00222A20">
      <w:pPr>
        <w:spacing w:before="120"/>
      </w:pPr>
    </w:p>
    <w:p w:rsidR="00222A20" w:rsidRDefault="00525A0C">
      <w:pPr>
        <w:spacing w:before="400" w:after="120"/>
      </w:pPr>
      <w:r>
        <w:rPr>
          <w:b/>
          <w:bCs/>
          <w:color w:val="1B3A6B"/>
          <w:sz w:val="28"/>
          <w:szCs w:val="28"/>
        </w:rPr>
        <w:t>11.  Policy Review</w:t>
      </w:r>
    </w:p>
    <w:p w:rsidR="00222A20" w:rsidRDefault="00222A20">
      <w:pPr>
        <w:pBdr>
          <w:bottom w:val="single" w:sz="6" w:space="1" w:color="1B3A6B"/>
        </w:pBdr>
        <w:spacing w:before="60" w:after="200"/>
      </w:pPr>
    </w:p>
    <w:p w:rsidR="00222A20" w:rsidRDefault="00525A0C">
      <w:pPr>
        <w:pStyle w:val="ListParagraph"/>
        <w:numPr>
          <w:ilvl w:val="0"/>
          <w:numId w:val="2"/>
        </w:numPr>
        <w:spacing w:before="40" w:after="40"/>
      </w:pPr>
      <w:r>
        <w:t>Formal annual review — next scheduled: 13 June 2027.</w:t>
      </w:r>
    </w:p>
    <w:p w:rsidR="00222A20" w:rsidRDefault="00525A0C">
      <w:pPr>
        <w:pStyle w:val="ListParagraph"/>
        <w:numPr>
          <w:ilvl w:val="0"/>
          <w:numId w:val="2"/>
        </w:numPr>
        <w:spacing w:before="40" w:after="40"/>
      </w:pPr>
      <w:r>
        <w:t>Ad-hoc review following material regulatory changes (e.g., new GMC guidance, ICO enforcement action, legislative amendments, significant case law).</w:t>
      </w:r>
    </w:p>
    <w:p w:rsidR="00222A20" w:rsidRDefault="00525A0C">
      <w:pPr>
        <w:pStyle w:val="ListParagraph"/>
        <w:numPr>
          <w:ilvl w:val="0"/>
          <w:numId w:val="2"/>
        </w:numPr>
        <w:spacing w:before="40" w:after="40"/>
      </w:pPr>
      <w:r>
        <w:t>Immediate review triggered by any Tier 3 incident.</w:t>
      </w:r>
    </w:p>
    <w:p w:rsidR="00222A20" w:rsidRDefault="00525A0C">
      <w:pPr>
        <w:pStyle w:val="ListParagraph"/>
        <w:numPr>
          <w:ilvl w:val="0"/>
          <w:numId w:val="2"/>
        </w:numPr>
        <w:spacing w:before="40" w:after="40"/>
      </w:pPr>
      <w:r>
        <w:t>Review findings are documented in the Version Control table (Section 12).</w:t>
      </w:r>
    </w:p>
    <w:p w:rsidR="00222A20" w:rsidRDefault="00222A20">
      <w:pPr>
        <w:spacing w:before="80"/>
      </w:pPr>
    </w:p>
    <w:p w:rsidR="00222A20" w:rsidRDefault="00525A0C">
      <w:pPr>
        <w:spacing w:before="400" w:after="120"/>
      </w:pPr>
      <w:r>
        <w:rPr>
          <w:b/>
          <w:bCs/>
          <w:color w:val="1B3A6B"/>
          <w:sz w:val="28"/>
          <w:szCs w:val="28"/>
        </w:rPr>
        <w:t>12.  Version Control</w:t>
      </w:r>
    </w:p>
    <w:p w:rsidR="00222A20" w:rsidRDefault="00222A20">
      <w:pPr>
        <w:pBdr>
          <w:bottom w:val="single" w:sz="6" w:space="1" w:color="1B3A6B"/>
        </w:pBdr>
        <w:spacing w:before="60" w:after="200"/>
      </w:pPr>
    </w:p>
    <w:p w:rsidR="00222A20" w:rsidRDefault="00222A20">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222A2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222A20" w:rsidRDefault="00525A0C">
            <w:r>
              <w:rPr>
                <w:b/>
                <w:bCs/>
                <w:color w:val="FFFFFF"/>
                <w:sz w:val="19"/>
                <w:szCs w:val="19"/>
              </w:rPr>
              <w:t>Approved By</w:t>
            </w:r>
          </w:p>
        </w:tc>
      </w:tr>
      <w:tr w:rsidR="00222A2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Dr. James Stanley</w:t>
            </w:r>
          </w:p>
        </w:tc>
      </w:tr>
      <w:tr w:rsidR="00222A2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Comprehensive review: added explicit scope limitations and clinical boundary statement; new consent framework including AMRA 1988 compliance; new confidentiality and data protection section; professional indemnity section added; role structure r</w:t>
            </w:r>
            <w:r>
              <w:rPr>
                <w:sz w:val="19"/>
                <w:szCs w:val="19"/>
              </w:rPr>
              <w:t>evised to reflect sole-practitioner model; CPD references updated from FOM membership to GMC/RCGP standards; expanded risk register; enhanced complaints procedure; governance pillar for Scope Compliance added.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Dr. James Stanley</w:t>
            </w:r>
          </w:p>
        </w:tc>
      </w:tr>
      <w:tr w:rsidR="00222A20">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525A0C">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222A20"/>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222A20" w:rsidRDefault="00222A20"/>
        </w:tc>
      </w:tr>
    </w:tbl>
    <w:p w:rsidR="00222A20" w:rsidRDefault="00222A20">
      <w:pPr>
        <w:spacing w:before="160"/>
      </w:pPr>
    </w:p>
    <w:p w:rsidR="00222A20" w:rsidRDefault="00525A0C">
      <w:pPr>
        <w:spacing w:before="60" w:after="100"/>
      </w:pPr>
      <w:r>
        <w:rPr>
          <w:b/>
          <w:bCs/>
          <w:color w:val="1A1A2E"/>
        </w:rPr>
        <w:t>Approved by: Dr. James Stanley, Clinical Lead</w:t>
      </w:r>
    </w:p>
    <w:p w:rsidR="00222A20" w:rsidRDefault="00525A0C">
      <w:pPr>
        <w:spacing w:before="60" w:after="100"/>
      </w:pPr>
      <w:r>
        <w:rPr>
          <w:color w:val="1A1A2E"/>
        </w:rPr>
        <w:t>GMC Registration No: 7285162</w:t>
      </w:r>
    </w:p>
    <w:p w:rsidR="00222A20" w:rsidRDefault="00525A0C">
      <w:pPr>
        <w:spacing w:before="60" w:after="100"/>
      </w:pPr>
      <w:r>
        <w:rPr>
          <w:color w:val="1A1A2E"/>
        </w:rPr>
        <w:t>Contact: contact@healthbridge.org.uk</w:t>
      </w:r>
    </w:p>
    <w:p w:rsidR="00222A20" w:rsidRDefault="00222A20">
      <w:pPr>
        <w:spacing w:before="60"/>
      </w:pPr>
    </w:p>
    <w:p w:rsidR="00222A20" w:rsidRDefault="00525A0C">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222A20" w:rsidRDefault="00525A0C">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222A20" w:rsidRDefault="00525A0C">
      <w:pPr>
        <w:spacing w:before="60" w:after="100"/>
      </w:pPr>
      <w:proofErr w:type="gramStart"/>
      <w:r>
        <w:rPr>
          <w:i/>
          <w:iCs/>
          <w:color w:val="6B7280"/>
        </w:rPr>
        <w:t>© HealthBridge Occupational Health Ltd. Unauthorised distribution prohibited.</w:t>
      </w:r>
      <w:proofErr w:type="gramEnd"/>
    </w:p>
    <w:sectPr w:rsidR="00222A20" w:rsidSect="00222A20">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A20" w:rsidRDefault="00222A20" w:rsidP="00222A20">
      <w:r>
        <w:separator/>
      </w:r>
    </w:p>
  </w:endnote>
  <w:endnote w:type="continuationSeparator" w:id="0">
    <w:p w:rsidR="00222A20" w:rsidRDefault="00222A20" w:rsidP="00222A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20" w:rsidRDefault="00525A0C">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222A20">
      <w:rPr>
        <w:color w:val="6B7280"/>
        <w:sz w:val="16"/>
        <w:szCs w:val="16"/>
      </w:rPr>
      <w:fldChar w:fldCharType="begin"/>
    </w:r>
    <w:r>
      <w:rPr>
        <w:color w:val="6B7280"/>
        <w:sz w:val="16"/>
        <w:szCs w:val="16"/>
      </w:rPr>
      <w:instrText>PAGE</w:instrText>
    </w:r>
    <w:r w:rsidR="0083421B">
      <w:rPr>
        <w:color w:val="6B7280"/>
        <w:sz w:val="16"/>
        <w:szCs w:val="16"/>
      </w:rPr>
      <w:fldChar w:fldCharType="separate"/>
    </w:r>
    <w:r w:rsidR="0083421B">
      <w:rPr>
        <w:noProof/>
        <w:color w:val="6B7280"/>
        <w:sz w:val="16"/>
        <w:szCs w:val="16"/>
      </w:rPr>
      <w:t>2</w:t>
    </w:r>
    <w:r w:rsidR="00222A20">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A20" w:rsidRDefault="00222A20" w:rsidP="00222A20">
      <w:r>
        <w:separator/>
      </w:r>
    </w:p>
  </w:footnote>
  <w:footnote w:type="continuationSeparator" w:id="0">
    <w:p w:rsidR="00222A20" w:rsidRDefault="00222A20" w:rsidP="00222A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20" w:rsidRDefault="00525A0C">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 Stanley  |  GMC: 7285162</w:t>
    </w:r>
    <w:r>
      <w:rPr>
        <w:color w:val="6B7280"/>
        <w:sz w:val="16"/>
        <w:szCs w:val="16"/>
      </w:rPr>
      <w:tab/>
      <w:t>Next Review: 13/06/2027</w:t>
    </w:r>
  </w:p>
  <w:p w:rsidR="00222A20" w:rsidRDefault="00222A20">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B4801"/>
    <w:multiLevelType w:val="hybridMultilevel"/>
    <w:tmpl w:val="181094D6"/>
    <w:lvl w:ilvl="0" w:tplc="6C42C33A">
      <w:start w:val="1"/>
      <w:numFmt w:val="bullet"/>
      <w:lvlText w:val="•"/>
      <w:lvlJc w:val="left"/>
      <w:pPr>
        <w:ind w:left="540" w:hanging="360"/>
      </w:pPr>
    </w:lvl>
    <w:lvl w:ilvl="1" w:tplc="1FEE3948">
      <w:numFmt w:val="decimal"/>
      <w:lvlText w:val=""/>
      <w:lvlJc w:val="left"/>
    </w:lvl>
    <w:lvl w:ilvl="2" w:tplc="0B2AC66C">
      <w:numFmt w:val="decimal"/>
      <w:lvlText w:val=""/>
      <w:lvlJc w:val="left"/>
    </w:lvl>
    <w:lvl w:ilvl="3" w:tplc="A90A7778">
      <w:numFmt w:val="decimal"/>
      <w:lvlText w:val=""/>
      <w:lvlJc w:val="left"/>
    </w:lvl>
    <w:lvl w:ilvl="4" w:tplc="CB4A5298">
      <w:numFmt w:val="decimal"/>
      <w:lvlText w:val=""/>
      <w:lvlJc w:val="left"/>
    </w:lvl>
    <w:lvl w:ilvl="5" w:tplc="2AE868A4">
      <w:numFmt w:val="decimal"/>
      <w:lvlText w:val=""/>
      <w:lvlJc w:val="left"/>
    </w:lvl>
    <w:lvl w:ilvl="6" w:tplc="C9AC5530">
      <w:numFmt w:val="decimal"/>
      <w:lvlText w:val=""/>
      <w:lvlJc w:val="left"/>
    </w:lvl>
    <w:lvl w:ilvl="7" w:tplc="7A4E7AFA">
      <w:numFmt w:val="decimal"/>
      <w:lvlText w:val=""/>
      <w:lvlJc w:val="left"/>
    </w:lvl>
    <w:lvl w:ilvl="8" w:tplc="6A62AC3A">
      <w:numFmt w:val="decimal"/>
      <w:lvlText w:val=""/>
      <w:lvlJc w:val="left"/>
    </w:lvl>
  </w:abstractNum>
  <w:abstractNum w:abstractNumId="1">
    <w:nsid w:val="75940BED"/>
    <w:multiLevelType w:val="hybridMultilevel"/>
    <w:tmpl w:val="66EAA9E0"/>
    <w:lvl w:ilvl="0" w:tplc="A07A0464">
      <w:start w:val="1"/>
      <w:numFmt w:val="bullet"/>
      <w:lvlText w:val="●"/>
      <w:lvlJc w:val="left"/>
      <w:pPr>
        <w:ind w:left="720" w:hanging="360"/>
      </w:pPr>
    </w:lvl>
    <w:lvl w:ilvl="1" w:tplc="B8E01CAC">
      <w:start w:val="1"/>
      <w:numFmt w:val="bullet"/>
      <w:lvlText w:val="○"/>
      <w:lvlJc w:val="left"/>
      <w:pPr>
        <w:ind w:left="1440" w:hanging="360"/>
      </w:pPr>
    </w:lvl>
    <w:lvl w:ilvl="2" w:tplc="731EBB60">
      <w:start w:val="1"/>
      <w:numFmt w:val="bullet"/>
      <w:lvlText w:val="■"/>
      <w:lvlJc w:val="left"/>
      <w:pPr>
        <w:ind w:left="2160" w:hanging="360"/>
      </w:pPr>
    </w:lvl>
    <w:lvl w:ilvl="3" w:tplc="C6A2EBC6">
      <w:start w:val="1"/>
      <w:numFmt w:val="bullet"/>
      <w:lvlText w:val="●"/>
      <w:lvlJc w:val="left"/>
      <w:pPr>
        <w:ind w:left="2880" w:hanging="360"/>
      </w:pPr>
    </w:lvl>
    <w:lvl w:ilvl="4" w:tplc="BC581DA2">
      <w:start w:val="1"/>
      <w:numFmt w:val="bullet"/>
      <w:lvlText w:val="○"/>
      <w:lvlJc w:val="left"/>
      <w:pPr>
        <w:ind w:left="3600" w:hanging="360"/>
      </w:pPr>
    </w:lvl>
    <w:lvl w:ilvl="5" w:tplc="15F6EDF0">
      <w:start w:val="1"/>
      <w:numFmt w:val="bullet"/>
      <w:lvlText w:val="■"/>
      <w:lvlJc w:val="left"/>
      <w:pPr>
        <w:ind w:left="4320" w:hanging="360"/>
      </w:pPr>
    </w:lvl>
    <w:lvl w:ilvl="6" w:tplc="B0321BDA">
      <w:start w:val="1"/>
      <w:numFmt w:val="bullet"/>
      <w:lvlText w:val="●"/>
      <w:lvlJc w:val="left"/>
      <w:pPr>
        <w:ind w:left="5040" w:hanging="360"/>
      </w:pPr>
    </w:lvl>
    <w:lvl w:ilvl="7" w:tplc="E66413B6">
      <w:start w:val="1"/>
      <w:numFmt w:val="bullet"/>
      <w:lvlText w:val="●"/>
      <w:lvlJc w:val="left"/>
      <w:pPr>
        <w:ind w:left="5760" w:hanging="360"/>
      </w:pPr>
    </w:lvl>
    <w:lvl w:ilvl="8" w:tplc="B584043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222A20"/>
    <w:rsid w:val="00222A20"/>
    <w:rsid w:val="00525A0C"/>
    <w:rsid w:val="008342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222A20"/>
    <w:pPr>
      <w:outlineLvl w:val="0"/>
    </w:pPr>
    <w:rPr>
      <w:color w:val="2E74B5"/>
      <w:sz w:val="32"/>
      <w:szCs w:val="32"/>
    </w:rPr>
  </w:style>
  <w:style w:type="paragraph" w:styleId="Heading2">
    <w:name w:val="heading 2"/>
    <w:qFormat/>
    <w:rsid w:val="00222A20"/>
    <w:pPr>
      <w:outlineLvl w:val="1"/>
    </w:pPr>
    <w:rPr>
      <w:color w:val="2E74B5"/>
      <w:sz w:val="26"/>
      <w:szCs w:val="26"/>
    </w:rPr>
  </w:style>
  <w:style w:type="paragraph" w:styleId="Heading3">
    <w:name w:val="heading 3"/>
    <w:qFormat/>
    <w:rsid w:val="00222A20"/>
    <w:pPr>
      <w:outlineLvl w:val="2"/>
    </w:pPr>
    <w:rPr>
      <w:color w:val="1F4D78"/>
      <w:sz w:val="24"/>
      <w:szCs w:val="24"/>
    </w:rPr>
  </w:style>
  <w:style w:type="paragraph" w:styleId="Heading4">
    <w:name w:val="heading 4"/>
    <w:qFormat/>
    <w:rsid w:val="00222A20"/>
    <w:pPr>
      <w:outlineLvl w:val="3"/>
    </w:pPr>
    <w:rPr>
      <w:i/>
      <w:iCs/>
      <w:color w:val="2E74B5"/>
    </w:rPr>
  </w:style>
  <w:style w:type="paragraph" w:styleId="Heading5">
    <w:name w:val="heading 5"/>
    <w:qFormat/>
    <w:rsid w:val="00222A20"/>
    <w:pPr>
      <w:outlineLvl w:val="4"/>
    </w:pPr>
    <w:rPr>
      <w:color w:val="2E74B5"/>
    </w:rPr>
  </w:style>
  <w:style w:type="paragraph" w:styleId="Heading6">
    <w:name w:val="heading 6"/>
    <w:qFormat/>
    <w:rsid w:val="00222A2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22A20"/>
    <w:rPr>
      <w:sz w:val="56"/>
      <w:szCs w:val="56"/>
    </w:rPr>
  </w:style>
  <w:style w:type="paragraph" w:customStyle="1" w:styleId="Strong1">
    <w:name w:val="Strong1"/>
    <w:qFormat/>
    <w:rsid w:val="00222A20"/>
    <w:rPr>
      <w:b/>
      <w:bCs/>
    </w:rPr>
  </w:style>
  <w:style w:type="paragraph" w:styleId="ListParagraph">
    <w:name w:val="List Paragraph"/>
    <w:qFormat/>
    <w:rsid w:val="00222A20"/>
  </w:style>
  <w:style w:type="character" w:styleId="Hyperlink">
    <w:name w:val="Hyperlink"/>
    <w:uiPriority w:val="99"/>
    <w:unhideWhenUsed/>
    <w:rsid w:val="00222A20"/>
    <w:rPr>
      <w:color w:val="0563C1"/>
      <w:u w:val="single"/>
    </w:rPr>
  </w:style>
  <w:style w:type="character" w:styleId="FootnoteReference">
    <w:name w:val="footnote reference"/>
    <w:uiPriority w:val="99"/>
    <w:semiHidden/>
    <w:unhideWhenUsed/>
    <w:rsid w:val="00222A20"/>
    <w:rPr>
      <w:vertAlign w:val="superscript"/>
    </w:rPr>
  </w:style>
  <w:style w:type="paragraph" w:styleId="FootnoteText">
    <w:name w:val="footnote text"/>
    <w:link w:val="FootnoteTextChar"/>
    <w:uiPriority w:val="99"/>
    <w:semiHidden/>
    <w:unhideWhenUsed/>
    <w:rsid w:val="00222A20"/>
  </w:style>
  <w:style w:type="character" w:customStyle="1" w:styleId="FootnoteTextChar">
    <w:name w:val="Footnote Text Char"/>
    <w:link w:val="FootnoteText"/>
    <w:uiPriority w:val="99"/>
    <w:semiHidden/>
    <w:unhideWhenUsed/>
    <w:rsid w:val="00222A20"/>
    <w:rPr>
      <w:sz w:val="20"/>
      <w:szCs w:val="20"/>
    </w:rPr>
  </w:style>
  <w:style w:type="character" w:styleId="EndnoteReference">
    <w:name w:val="endnote reference"/>
    <w:uiPriority w:val="99"/>
    <w:semiHidden/>
    <w:unhideWhenUsed/>
    <w:rsid w:val="00222A20"/>
    <w:rPr>
      <w:vertAlign w:val="superscript"/>
    </w:rPr>
  </w:style>
  <w:style w:type="paragraph" w:styleId="EndnoteText">
    <w:name w:val="endnote text"/>
    <w:link w:val="EndnoteTextChar"/>
    <w:uiPriority w:val="99"/>
    <w:semiHidden/>
    <w:unhideWhenUsed/>
    <w:rsid w:val="00222A20"/>
  </w:style>
  <w:style w:type="character" w:customStyle="1" w:styleId="EndnoteTextChar">
    <w:name w:val="Endnote Text Char"/>
    <w:link w:val="EndnoteText"/>
    <w:uiPriority w:val="99"/>
    <w:semiHidden/>
    <w:unhideWhenUsed/>
    <w:rsid w:val="00222A20"/>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2500</Words>
  <Characters>14253</Characters>
  <Application>Microsoft Office Word</Application>
  <DocSecurity>0</DocSecurity>
  <Lines>118</Lines>
  <Paragraphs>33</Paragraphs>
  <ScaleCrop>false</ScaleCrop>
  <Company>Grizli777</Company>
  <LinksUpToDate>false</LinksUpToDate>
  <CharactersWithSpaces>16720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2026-06-17T11:19:00Z</dcterms:created>
  <dcterms:modified xsi:type="dcterms:W3CDTF">2026-06-17T11:19:00Z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