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ADE" w:rsidRDefault="007A1FDA">
      <w:pPr>
        <w:spacing w:before="100" w:after="40"/>
      </w:pPr>
      <w:r>
        <w:rPr>
          <w:b/>
          <w:bCs/>
          <w:color w:val="1B3A6B"/>
          <w:sz w:val="30"/>
          <w:szCs w:val="30"/>
        </w:rPr>
        <w:t>HEALTHBRIDGE OCCUPATIONAL HEALTH</w:t>
      </w:r>
    </w:p>
    <w:p w:rsidR="00AF4ADE" w:rsidRDefault="007A1FDA">
      <w:pPr>
        <w:spacing w:after="60"/>
      </w:pPr>
      <w:r>
        <w:rPr>
          <w:b/>
          <w:bCs/>
          <w:color w:val="1B3A6B"/>
          <w:sz w:val="24"/>
          <w:szCs w:val="24"/>
        </w:rPr>
        <w:t>Occupational Health Assessment Report</w:t>
      </w:r>
    </w:p>
    <w:p w:rsidR="00AF4ADE" w:rsidRDefault="007D1E05">
      <w:pPr>
        <w:pBdr>
          <w:bottom w:val="thick" w:sz="10" w:space="3" w:color="1B3A6B"/>
        </w:pBdr>
        <w:spacing w:after="160"/>
      </w:pPr>
      <w:r>
        <w:rPr>
          <w:b/>
          <w:bCs/>
          <w:color w:val="6B7280"/>
          <w:sz w:val="18"/>
          <w:szCs w:val="18"/>
        </w:rPr>
        <w:t>CONFIDENTIAL -</w:t>
      </w:r>
      <w:r w:rsidR="007A1FDA">
        <w:rPr>
          <w:b/>
          <w:bCs/>
          <w:color w:val="6B7280"/>
          <w:sz w:val="18"/>
          <w:szCs w:val="18"/>
        </w:rPr>
        <w:t xml:space="preserve"> Occupational Health Use Only</w:t>
      </w:r>
    </w:p>
    <w:p w:rsidR="00AF4ADE" w:rsidRDefault="00AF4ADE">
      <w:pPr>
        <w:spacing w:before="8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400"/>
        <w:gridCol w:w="6626"/>
      </w:tblGrid>
      <w:tr w:rsidR="00AF4ADE">
        <w:tc>
          <w:tcPr>
            <w:tcW w:w="2400" w:type="dxa"/>
            <w:tcBorders>
              <w:top w:val="single" w:sz="1" w:space="0" w:color="C5CEDE"/>
              <w:left w:val="single" w:sz="1" w:space="0" w:color="C5CEDE"/>
              <w:bottom w:val="single" w:sz="1" w:space="0" w:color="C5CEDE"/>
              <w:right w:val="single" w:sz="1" w:space="0" w:color="C5CEDE"/>
            </w:tcBorders>
            <w:shd w:val="clear" w:color="auto" w:fill="1B3A6B"/>
            <w:tcMar>
              <w:top w:w="100" w:type="dxa"/>
              <w:left w:w="160" w:type="dxa"/>
              <w:bottom w:w="100" w:type="dxa"/>
              <w:right w:w="160" w:type="dxa"/>
            </w:tcMar>
          </w:tcPr>
          <w:p w:rsidR="00AF4ADE" w:rsidRDefault="007A1FDA">
            <w:r>
              <w:rPr>
                <w:b/>
                <w:bCs/>
                <w:color w:val="FFFFFF"/>
              </w:rPr>
              <w:t>Employee</w:t>
            </w:r>
          </w:p>
        </w:tc>
        <w:tc>
          <w:tcPr>
            <w:tcW w:w="6626"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AF4ADE" w:rsidRDefault="007A1FDA">
            <w:r>
              <w:t>Sarah M.</w:t>
            </w:r>
          </w:p>
        </w:tc>
      </w:tr>
      <w:tr w:rsidR="00AF4ADE">
        <w:tc>
          <w:tcPr>
            <w:tcW w:w="2400" w:type="dxa"/>
            <w:tcBorders>
              <w:top w:val="single" w:sz="1" w:space="0" w:color="C5CEDE"/>
              <w:left w:val="single" w:sz="1" w:space="0" w:color="C5CEDE"/>
              <w:bottom w:val="single" w:sz="1" w:space="0" w:color="C5CEDE"/>
              <w:right w:val="single" w:sz="1" w:space="0" w:color="C5CEDE"/>
            </w:tcBorders>
            <w:shd w:val="clear" w:color="auto" w:fill="1B3A6B"/>
            <w:tcMar>
              <w:top w:w="100" w:type="dxa"/>
              <w:left w:w="160" w:type="dxa"/>
              <w:bottom w:w="100" w:type="dxa"/>
              <w:right w:w="160" w:type="dxa"/>
            </w:tcMar>
          </w:tcPr>
          <w:p w:rsidR="00AF4ADE" w:rsidRDefault="007A1FDA">
            <w:r>
              <w:rPr>
                <w:b/>
                <w:bCs/>
                <w:color w:val="FFFFFF"/>
              </w:rPr>
              <w:t>Date of Birth</w:t>
            </w:r>
          </w:p>
        </w:tc>
        <w:tc>
          <w:tcPr>
            <w:tcW w:w="6626"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AF4ADE" w:rsidRDefault="007A1FDA">
            <w:r>
              <w:t>12/03/1986</w:t>
            </w:r>
          </w:p>
        </w:tc>
      </w:tr>
      <w:tr w:rsidR="00AF4ADE">
        <w:tc>
          <w:tcPr>
            <w:tcW w:w="2400" w:type="dxa"/>
            <w:tcBorders>
              <w:top w:val="single" w:sz="1" w:space="0" w:color="C5CEDE"/>
              <w:left w:val="single" w:sz="1" w:space="0" w:color="C5CEDE"/>
              <w:bottom w:val="single" w:sz="1" w:space="0" w:color="C5CEDE"/>
              <w:right w:val="single" w:sz="1" w:space="0" w:color="C5CEDE"/>
            </w:tcBorders>
            <w:shd w:val="clear" w:color="auto" w:fill="1B3A6B"/>
            <w:tcMar>
              <w:top w:w="100" w:type="dxa"/>
              <w:left w:w="160" w:type="dxa"/>
              <w:bottom w:w="100" w:type="dxa"/>
              <w:right w:w="160" w:type="dxa"/>
            </w:tcMar>
          </w:tcPr>
          <w:p w:rsidR="00AF4ADE" w:rsidRDefault="007A1FDA">
            <w:r>
              <w:rPr>
                <w:b/>
                <w:bCs/>
                <w:color w:val="FFFFFF"/>
              </w:rPr>
              <w:t>Employer</w:t>
            </w:r>
          </w:p>
        </w:tc>
        <w:tc>
          <w:tcPr>
            <w:tcW w:w="6626"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AF4ADE" w:rsidRDefault="007A1FDA">
            <w:proofErr w:type="spellStart"/>
            <w:r>
              <w:t>Willowbank</w:t>
            </w:r>
            <w:proofErr w:type="spellEnd"/>
            <w:r>
              <w:t xml:space="preserve"> Housing Association</w:t>
            </w:r>
          </w:p>
        </w:tc>
      </w:tr>
      <w:tr w:rsidR="00AF4ADE">
        <w:tc>
          <w:tcPr>
            <w:tcW w:w="2400" w:type="dxa"/>
            <w:tcBorders>
              <w:top w:val="single" w:sz="1" w:space="0" w:color="C5CEDE"/>
              <w:left w:val="single" w:sz="1" w:space="0" w:color="C5CEDE"/>
              <w:bottom w:val="single" w:sz="1" w:space="0" w:color="C5CEDE"/>
              <w:right w:val="single" w:sz="1" w:space="0" w:color="C5CEDE"/>
            </w:tcBorders>
            <w:shd w:val="clear" w:color="auto" w:fill="1B3A6B"/>
            <w:tcMar>
              <w:top w:w="100" w:type="dxa"/>
              <w:left w:w="160" w:type="dxa"/>
              <w:bottom w:w="100" w:type="dxa"/>
              <w:right w:w="160" w:type="dxa"/>
            </w:tcMar>
          </w:tcPr>
          <w:p w:rsidR="00AF4ADE" w:rsidRDefault="007A1FDA">
            <w:r>
              <w:rPr>
                <w:b/>
                <w:bCs/>
                <w:color w:val="FFFFFF"/>
              </w:rPr>
              <w:t>Role</w:t>
            </w:r>
          </w:p>
        </w:tc>
        <w:tc>
          <w:tcPr>
            <w:tcW w:w="6626"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AF4ADE" w:rsidRDefault="007A1FDA">
            <w:r>
              <w:t>Housing Officer (Office-based / community visits)</w:t>
            </w:r>
          </w:p>
        </w:tc>
      </w:tr>
      <w:tr w:rsidR="00AF4ADE">
        <w:tc>
          <w:tcPr>
            <w:tcW w:w="2400" w:type="dxa"/>
            <w:tcBorders>
              <w:top w:val="single" w:sz="1" w:space="0" w:color="C5CEDE"/>
              <w:left w:val="single" w:sz="1" w:space="0" w:color="C5CEDE"/>
              <w:bottom w:val="single" w:sz="1" w:space="0" w:color="C5CEDE"/>
              <w:right w:val="single" w:sz="1" w:space="0" w:color="C5CEDE"/>
            </w:tcBorders>
            <w:shd w:val="clear" w:color="auto" w:fill="1B3A6B"/>
            <w:tcMar>
              <w:top w:w="100" w:type="dxa"/>
              <w:left w:w="160" w:type="dxa"/>
              <w:bottom w:w="100" w:type="dxa"/>
              <w:right w:w="160" w:type="dxa"/>
            </w:tcMar>
          </w:tcPr>
          <w:p w:rsidR="00AF4ADE" w:rsidRDefault="007A1FDA">
            <w:r>
              <w:rPr>
                <w:b/>
                <w:bCs/>
                <w:color w:val="FFFFFF"/>
              </w:rPr>
              <w:t>Assessment Date</w:t>
            </w:r>
          </w:p>
        </w:tc>
        <w:tc>
          <w:tcPr>
            <w:tcW w:w="6626"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AF4ADE" w:rsidRDefault="007A1FDA">
            <w:r>
              <w:t>01/12/2025</w:t>
            </w:r>
          </w:p>
        </w:tc>
      </w:tr>
      <w:tr w:rsidR="00AF4ADE">
        <w:tc>
          <w:tcPr>
            <w:tcW w:w="2400" w:type="dxa"/>
            <w:tcBorders>
              <w:top w:val="single" w:sz="1" w:space="0" w:color="C5CEDE"/>
              <w:left w:val="single" w:sz="1" w:space="0" w:color="C5CEDE"/>
              <w:bottom w:val="single" w:sz="1" w:space="0" w:color="C5CEDE"/>
              <w:right w:val="single" w:sz="1" w:space="0" w:color="C5CEDE"/>
            </w:tcBorders>
            <w:shd w:val="clear" w:color="auto" w:fill="1B3A6B"/>
            <w:tcMar>
              <w:top w:w="100" w:type="dxa"/>
              <w:left w:w="160" w:type="dxa"/>
              <w:bottom w:w="100" w:type="dxa"/>
              <w:right w:w="160" w:type="dxa"/>
            </w:tcMar>
          </w:tcPr>
          <w:p w:rsidR="00AF4ADE" w:rsidRDefault="007A1FDA">
            <w:r>
              <w:rPr>
                <w:b/>
                <w:bCs/>
                <w:color w:val="FFFFFF"/>
              </w:rPr>
              <w:t>Assessment Type</w:t>
            </w:r>
          </w:p>
        </w:tc>
        <w:tc>
          <w:tcPr>
            <w:tcW w:w="6626"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AF4ADE" w:rsidRDefault="007A1FDA">
            <w:r>
              <w:t>Remote Consultation (Video)</w:t>
            </w:r>
          </w:p>
        </w:tc>
      </w:tr>
      <w:tr w:rsidR="00AF4ADE">
        <w:tc>
          <w:tcPr>
            <w:tcW w:w="2400" w:type="dxa"/>
            <w:tcBorders>
              <w:top w:val="single" w:sz="1" w:space="0" w:color="C5CEDE"/>
              <w:left w:val="single" w:sz="1" w:space="0" w:color="C5CEDE"/>
              <w:bottom w:val="single" w:sz="1" w:space="0" w:color="C5CEDE"/>
              <w:right w:val="single" w:sz="1" w:space="0" w:color="C5CEDE"/>
            </w:tcBorders>
            <w:shd w:val="clear" w:color="auto" w:fill="1B3A6B"/>
            <w:tcMar>
              <w:top w:w="100" w:type="dxa"/>
              <w:left w:w="160" w:type="dxa"/>
              <w:bottom w:w="100" w:type="dxa"/>
              <w:right w:w="160" w:type="dxa"/>
            </w:tcMar>
          </w:tcPr>
          <w:p w:rsidR="00AF4ADE" w:rsidRDefault="007A1FDA">
            <w:r>
              <w:rPr>
                <w:b/>
                <w:bCs/>
                <w:color w:val="FFFFFF"/>
              </w:rPr>
              <w:t>Clinician</w:t>
            </w:r>
          </w:p>
        </w:tc>
        <w:tc>
          <w:tcPr>
            <w:tcW w:w="6626"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AF4ADE" w:rsidRDefault="007A1FDA">
            <w:r>
              <w:t>Dr James Stanley, GP providing Occupational Health Services (GMC: 7285162)</w:t>
            </w:r>
          </w:p>
        </w:tc>
      </w:tr>
    </w:tbl>
    <w:p w:rsidR="00AF4ADE" w:rsidRDefault="00AF4ADE">
      <w:pPr>
        <w:spacing w:before="140"/>
      </w:pPr>
    </w:p>
    <w:p w:rsidR="00AF4ADE" w:rsidRDefault="007A1FDA">
      <w:pPr>
        <w:keepNext/>
        <w:spacing w:before="320" w:after="100"/>
      </w:pPr>
      <w:r>
        <w:rPr>
          <w:b/>
          <w:bCs/>
          <w:color w:val="1B3A6B"/>
          <w:sz w:val="24"/>
          <w:szCs w:val="24"/>
        </w:rPr>
        <w:t>1.  Reason for Referral</w:t>
      </w:r>
    </w:p>
    <w:p w:rsidR="00AF4ADE" w:rsidRDefault="00AF4ADE">
      <w:pPr>
        <w:keepNext/>
        <w:pBdr>
          <w:bottom w:val="single" w:sz="5" w:space="1" w:color="1B3A6B"/>
        </w:pBdr>
        <w:spacing w:before="40" w:after="140"/>
      </w:pPr>
    </w:p>
    <w:p w:rsidR="00AF4ADE" w:rsidRDefault="007A1FDA">
      <w:pPr>
        <w:spacing w:before="60" w:after="90"/>
      </w:pPr>
      <w:r>
        <w:rPr>
          <w:color w:val="1A1A2E"/>
        </w:rPr>
        <w:t>Sarah was referred due to ongoing lower back pain affecting her ability to undertake prolonged sitting, driving between sites, and occasional manual handling of documents and equipment.</w:t>
      </w:r>
    </w:p>
    <w:p w:rsidR="00AF4ADE" w:rsidRDefault="00AF4ADE">
      <w:pPr>
        <w:spacing w:before="120"/>
      </w:pPr>
    </w:p>
    <w:p w:rsidR="00AF4ADE" w:rsidRDefault="007A1FDA">
      <w:pPr>
        <w:keepNext/>
        <w:spacing w:before="320" w:after="100"/>
      </w:pPr>
      <w:r>
        <w:rPr>
          <w:b/>
          <w:bCs/>
          <w:color w:val="1B3A6B"/>
          <w:sz w:val="24"/>
          <w:szCs w:val="24"/>
        </w:rPr>
        <w:t>2.  Specific Questions Addressed (as Agreed with the Referring Employer)</w:t>
      </w:r>
    </w:p>
    <w:p w:rsidR="00AF4ADE" w:rsidRDefault="00AF4ADE">
      <w:pPr>
        <w:keepNext/>
        <w:pBdr>
          <w:bottom w:val="single" w:sz="5" w:space="1" w:color="1B3A6B"/>
        </w:pBdr>
        <w:spacing w:before="40" w:after="140"/>
      </w:pPr>
    </w:p>
    <w:p w:rsidR="00AF4ADE" w:rsidRPr="007D1E05" w:rsidRDefault="007A1FDA">
      <w:pPr>
        <w:pStyle w:val="ListParagraph"/>
        <w:numPr>
          <w:ilvl w:val="0"/>
          <w:numId w:val="2"/>
        </w:numPr>
        <w:spacing w:before="30" w:after="30"/>
      </w:pPr>
      <w:r>
        <w:rPr>
          <w:b/>
          <w:bCs/>
          <w:color w:val="1A1A2E"/>
        </w:rPr>
        <w:t>Q1: Is Sarah fit to continue with lone community visits, or should these be paused for now?</w:t>
      </w:r>
    </w:p>
    <w:p w:rsidR="007D1E05" w:rsidRDefault="007D1E05" w:rsidP="007D1E05">
      <w:pPr>
        <w:pStyle w:val="ListParagraph"/>
        <w:spacing w:before="30" w:after="30"/>
        <w:ind w:left="480"/>
      </w:pPr>
    </w:p>
    <w:p w:rsidR="00AF4ADE" w:rsidRDefault="007A1FDA">
      <w:pPr>
        <w:spacing w:before="60" w:after="90"/>
      </w:pPr>
      <w:r>
        <w:rPr>
          <w:color w:val="1A1A2E"/>
        </w:rPr>
        <w:t>A1: Lone community visits may continue. There are no safety-critical or lone-working safety concerns arising from Sarah's back pain. As a precaution while symptoms settle, visits should be limited to locations with nearby parking and minimal walking, and Sarah should feel able to decline or reschedule a visit on a day where her pain is acutely worse. This is a temporary, precautionary measure rather than a fixed restriction.</w:t>
      </w:r>
    </w:p>
    <w:p w:rsidR="00AF4ADE" w:rsidRDefault="00AF4ADE">
      <w:pPr>
        <w:spacing w:before="120"/>
      </w:pPr>
    </w:p>
    <w:p w:rsidR="00AF4ADE" w:rsidRDefault="007A1FDA">
      <w:pPr>
        <w:keepNext/>
        <w:spacing w:before="320" w:after="100"/>
      </w:pPr>
      <w:r>
        <w:rPr>
          <w:b/>
          <w:bCs/>
          <w:color w:val="1B3A6B"/>
          <w:sz w:val="24"/>
          <w:szCs w:val="24"/>
        </w:rPr>
        <w:t>3.  Role and Employment Context</w:t>
      </w:r>
    </w:p>
    <w:p w:rsidR="00AF4ADE" w:rsidRDefault="00AF4ADE">
      <w:pPr>
        <w:keepNext/>
        <w:pBdr>
          <w:bottom w:val="single" w:sz="5" w:space="1" w:color="1B3A6B"/>
        </w:pBdr>
        <w:spacing w:before="40" w:after="140"/>
      </w:pPr>
    </w:p>
    <w:p w:rsidR="00AF4ADE" w:rsidRDefault="007A1FDA">
      <w:pPr>
        <w:pStyle w:val="ListParagraph"/>
        <w:numPr>
          <w:ilvl w:val="0"/>
          <w:numId w:val="2"/>
        </w:numPr>
        <w:spacing w:before="30" w:after="30"/>
      </w:pPr>
      <w:r>
        <w:rPr>
          <w:color w:val="1A1A2E"/>
        </w:rPr>
        <w:t>Full-time, 37 hours per week, Monday to Friday.</w:t>
      </w:r>
    </w:p>
    <w:p w:rsidR="00AF4ADE" w:rsidRDefault="007A1FDA">
      <w:pPr>
        <w:pStyle w:val="ListParagraph"/>
        <w:numPr>
          <w:ilvl w:val="0"/>
          <w:numId w:val="2"/>
        </w:numPr>
        <w:spacing w:before="30" w:after="30"/>
      </w:pPr>
      <w:r>
        <w:rPr>
          <w:color w:val="1A1A2E"/>
        </w:rPr>
        <w:t>Hybrid working pattern: typically two days office-based and three days conducting community visits across her patch, with around one hour of driving per day on visit days.</w:t>
      </w:r>
    </w:p>
    <w:p w:rsidR="00AF4ADE" w:rsidRDefault="007A1FDA">
      <w:pPr>
        <w:pStyle w:val="ListParagraph"/>
        <w:numPr>
          <w:ilvl w:val="0"/>
          <w:numId w:val="2"/>
        </w:numPr>
        <w:spacing w:before="30" w:after="30"/>
      </w:pPr>
      <w:r>
        <w:rPr>
          <w:color w:val="1A1A2E"/>
        </w:rPr>
        <w:t xml:space="preserve">Four years' service in post, all with </w:t>
      </w:r>
      <w:proofErr w:type="spellStart"/>
      <w:r>
        <w:rPr>
          <w:color w:val="1A1A2E"/>
        </w:rPr>
        <w:t>Willowbank</w:t>
      </w:r>
      <w:proofErr w:type="spellEnd"/>
      <w:r>
        <w:rPr>
          <w:color w:val="1A1A2E"/>
        </w:rPr>
        <w:t xml:space="preserve"> Housing Association; reports to the Area Housing Manager.</w:t>
      </w:r>
    </w:p>
    <w:p w:rsidR="00AF4ADE" w:rsidRDefault="007A1FDA">
      <w:pPr>
        <w:pStyle w:val="ListParagraph"/>
        <w:numPr>
          <w:ilvl w:val="0"/>
          <w:numId w:val="2"/>
        </w:numPr>
        <w:spacing w:before="30" w:after="30"/>
      </w:pPr>
      <w:r>
        <w:rPr>
          <w:color w:val="1A1A2E"/>
        </w:rPr>
        <w:t>Core duties: tenancy management and casework, including anti-social behaviour cases, community visits, and ongoing case-note documentation.</w:t>
      </w:r>
    </w:p>
    <w:p w:rsidR="00AF4ADE" w:rsidRDefault="007A1FDA">
      <w:pPr>
        <w:pStyle w:val="ListParagraph"/>
        <w:numPr>
          <w:ilvl w:val="0"/>
          <w:numId w:val="2"/>
        </w:numPr>
        <w:spacing w:before="30" w:after="30"/>
      </w:pPr>
      <w:r>
        <w:rPr>
          <w:color w:val="1A1A2E"/>
        </w:rPr>
        <w:t>Previous OH involvement: this is Sarah's first referral to HealthBridge; no previous occupational health adjustments are currently in place.</w:t>
      </w:r>
    </w:p>
    <w:p w:rsidR="00AF4ADE" w:rsidRDefault="00AF4ADE">
      <w:pPr>
        <w:spacing w:before="120"/>
      </w:pPr>
    </w:p>
    <w:p w:rsidR="00AF4ADE" w:rsidRDefault="007A1FDA">
      <w:pPr>
        <w:keepNext/>
        <w:spacing w:before="320" w:after="100"/>
      </w:pPr>
      <w:r>
        <w:rPr>
          <w:b/>
          <w:bCs/>
          <w:color w:val="1B3A6B"/>
          <w:sz w:val="24"/>
          <w:szCs w:val="24"/>
        </w:rPr>
        <w:lastRenderedPageBreak/>
        <w:t>4.  Medical Summary (As Disclosed by Employee)</w:t>
      </w:r>
    </w:p>
    <w:p w:rsidR="00AF4ADE" w:rsidRDefault="00AF4ADE">
      <w:pPr>
        <w:keepNext/>
        <w:pBdr>
          <w:bottom w:val="single" w:sz="5" w:space="1" w:color="1B3A6B"/>
        </w:pBdr>
        <w:spacing w:before="40" w:after="140"/>
      </w:pPr>
    </w:p>
    <w:p w:rsidR="00AF4ADE" w:rsidRDefault="007A1FDA">
      <w:pPr>
        <w:pStyle w:val="ListParagraph"/>
        <w:numPr>
          <w:ilvl w:val="0"/>
          <w:numId w:val="2"/>
        </w:numPr>
        <w:spacing w:before="30" w:after="30"/>
      </w:pPr>
      <w:r>
        <w:rPr>
          <w:color w:val="1A1A2E"/>
        </w:rPr>
        <w:t>Pain began approximately 8 weeks ago after lifting a heavy box at home.</w:t>
      </w:r>
    </w:p>
    <w:p w:rsidR="00AF4ADE" w:rsidRDefault="007A1FDA">
      <w:pPr>
        <w:pStyle w:val="ListParagraph"/>
        <w:numPr>
          <w:ilvl w:val="0"/>
          <w:numId w:val="2"/>
        </w:numPr>
        <w:spacing w:before="30" w:after="30"/>
      </w:pPr>
      <w:r>
        <w:rPr>
          <w:color w:val="1A1A2E"/>
        </w:rPr>
        <w:t xml:space="preserve">Diagnosed by </w:t>
      </w:r>
      <w:proofErr w:type="gramStart"/>
      <w:r>
        <w:rPr>
          <w:color w:val="1A1A2E"/>
        </w:rPr>
        <w:t>her own</w:t>
      </w:r>
      <w:proofErr w:type="gramEnd"/>
      <w:r>
        <w:rPr>
          <w:color w:val="1A1A2E"/>
        </w:rPr>
        <w:t xml:space="preserve"> GP as non-specific mechanical lower back pain.</w:t>
      </w:r>
    </w:p>
    <w:p w:rsidR="00AF4ADE" w:rsidRDefault="007A1FDA">
      <w:pPr>
        <w:pStyle w:val="ListParagraph"/>
        <w:numPr>
          <w:ilvl w:val="0"/>
          <w:numId w:val="2"/>
        </w:numPr>
        <w:spacing w:before="30" w:after="30"/>
      </w:pPr>
      <w:r>
        <w:rPr>
          <w:color w:val="1A1A2E"/>
        </w:rPr>
        <w:t>Current symptoms: dull ache, worsened by sitting longer than 30 minutes or bending.</w:t>
      </w:r>
    </w:p>
    <w:p w:rsidR="00AF4ADE" w:rsidRDefault="007A1FDA">
      <w:pPr>
        <w:pStyle w:val="ListParagraph"/>
        <w:numPr>
          <w:ilvl w:val="0"/>
          <w:numId w:val="2"/>
        </w:numPr>
        <w:spacing w:before="30" w:after="30"/>
      </w:pPr>
      <w:r>
        <w:rPr>
          <w:color w:val="1A1A2E"/>
        </w:rPr>
        <w:t>No red-flag symptoms reported (no weakness, bladder or bowel changes, or unexplained weight loss).</w:t>
      </w:r>
    </w:p>
    <w:p w:rsidR="00AF4ADE" w:rsidRDefault="007A1FDA">
      <w:pPr>
        <w:pStyle w:val="ListParagraph"/>
        <w:numPr>
          <w:ilvl w:val="0"/>
          <w:numId w:val="2"/>
        </w:numPr>
        <w:spacing w:before="30" w:after="30"/>
      </w:pPr>
      <w:r>
        <w:rPr>
          <w:color w:val="1A1A2E"/>
        </w:rPr>
        <w:t>Medication: ibuprofen as needed; occasional diazepam 2mg at night for muscle spasm.</w:t>
      </w:r>
    </w:p>
    <w:p w:rsidR="00AF4ADE" w:rsidRDefault="007A1FDA">
      <w:pPr>
        <w:pStyle w:val="ListParagraph"/>
        <w:numPr>
          <w:ilvl w:val="0"/>
          <w:numId w:val="2"/>
        </w:numPr>
        <w:spacing w:before="30" w:after="30"/>
      </w:pPr>
      <w:r>
        <w:rPr>
          <w:color w:val="1A1A2E"/>
        </w:rPr>
        <w:t>Attending community physiotherapy, with mild improvement reported.</w:t>
      </w:r>
    </w:p>
    <w:p w:rsidR="00AF4ADE" w:rsidRDefault="007A1FDA">
      <w:pPr>
        <w:pStyle w:val="ListParagraph"/>
        <w:numPr>
          <w:ilvl w:val="0"/>
          <w:numId w:val="2"/>
        </w:numPr>
        <w:spacing w:before="30" w:after="30"/>
      </w:pPr>
      <w:r>
        <w:rPr>
          <w:color w:val="1A1A2E"/>
        </w:rPr>
        <w:t>Sarah's own assessment: she feels able to work, but long drives and long desk sessions make symptoms worse.</w:t>
      </w:r>
    </w:p>
    <w:p w:rsidR="00AF4ADE" w:rsidRDefault="00AF4ADE">
      <w:pPr>
        <w:spacing w:before="120"/>
      </w:pPr>
    </w:p>
    <w:p w:rsidR="00AF4ADE" w:rsidRDefault="007A1FDA">
      <w:pPr>
        <w:keepNext/>
        <w:spacing w:before="320" w:after="100"/>
      </w:pPr>
      <w:r>
        <w:rPr>
          <w:b/>
          <w:bCs/>
          <w:color w:val="1B3A6B"/>
          <w:sz w:val="24"/>
          <w:szCs w:val="24"/>
        </w:rPr>
        <w:t>5.  Functional Assessment</w:t>
      </w:r>
    </w:p>
    <w:p w:rsidR="00AF4ADE" w:rsidRDefault="00AF4ADE">
      <w:pPr>
        <w:keepNext/>
        <w:pBdr>
          <w:bottom w:val="single" w:sz="5" w:space="1" w:color="1B3A6B"/>
        </w:pBdr>
        <w:spacing w:before="40" w:after="140"/>
      </w:pPr>
    </w:p>
    <w:p w:rsidR="00AF4ADE" w:rsidRDefault="007A1FDA">
      <w:pPr>
        <w:pStyle w:val="ListParagraph"/>
        <w:numPr>
          <w:ilvl w:val="0"/>
          <w:numId w:val="2"/>
        </w:numPr>
        <w:spacing w:before="30" w:after="30"/>
      </w:pPr>
      <w:r>
        <w:rPr>
          <w:color w:val="1A1A2E"/>
        </w:rPr>
        <w:t>Sitting tolerance currently limited to approximately 20–30 minutes.</w:t>
      </w:r>
    </w:p>
    <w:p w:rsidR="00AF4ADE" w:rsidRDefault="007A1FDA">
      <w:pPr>
        <w:pStyle w:val="ListParagraph"/>
        <w:numPr>
          <w:ilvl w:val="0"/>
          <w:numId w:val="2"/>
        </w:numPr>
        <w:spacing w:before="30" w:after="30"/>
      </w:pPr>
      <w:r>
        <w:rPr>
          <w:color w:val="1A1A2E"/>
        </w:rPr>
        <w:t>Pain worsens with driving, which is a daily requirement of her usual working pattern (see Section 3).</w:t>
      </w:r>
    </w:p>
    <w:p w:rsidR="00AF4ADE" w:rsidRDefault="007A1FDA">
      <w:pPr>
        <w:pStyle w:val="ListParagraph"/>
        <w:numPr>
          <w:ilvl w:val="0"/>
          <w:numId w:val="2"/>
        </w:numPr>
        <w:spacing w:before="30" w:after="30"/>
      </w:pPr>
      <w:r>
        <w:rPr>
          <w:color w:val="1A1A2E"/>
        </w:rPr>
        <w:t>No reported issues with concentration or fatigue.</w:t>
      </w:r>
    </w:p>
    <w:p w:rsidR="00AF4ADE" w:rsidRDefault="007A1FDA">
      <w:pPr>
        <w:pStyle w:val="ListParagraph"/>
        <w:numPr>
          <w:ilvl w:val="0"/>
          <w:numId w:val="2"/>
        </w:numPr>
        <w:spacing w:before="30" w:after="30"/>
      </w:pPr>
      <w:r>
        <w:rPr>
          <w:color w:val="1A1A2E"/>
        </w:rPr>
        <w:t>Manual handling should be avoided temporarily.</w:t>
      </w:r>
    </w:p>
    <w:p w:rsidR="00AF4ADE" w:rsidRDefault="00AF4ADE">
      <w:pPr>
        <w:spacing w:before="120"/>
      </w:pPr>
    </w:p>
    <w:p w:rsidR="00AF4ADE" w:rsidRDefault="007A1FDA">
      <w:pPr>
        <w:keepNext/>
        <w:spacing w:before="320" w:after="100"/>
      </w:pPr>
      <w:r>
        <w:rPr>
          <w:b/>
          <w:bCs/>
          <w:color w:val="1B3A6B"/>
          <w:sz w:val="24"/>
          <w:szCs w:val="24"/>
        </w:rPr>
        <w:t>6.  Equality Act 2010 Considerations</w:t>
      </w:r>
    </w:p>
    <w:p w:rsidR="00AF4ADE" w:rsidRDefault="00AF4ADE">
      <w:pPr>
        <w:keepNext/>
        <w:pBdr>
          <w:bottom w:val="single" w:sz="5" w:space="1" w:color="1B3A6B"/>
        </w:pBdr>
        <w:spacing w:before="40" w:after="140"/>
      </w:pPr>
    </w:p>
    <w:p w:rsidR="00AF4ADE" w:rsidRDefault="007A1FDA">
      <w:pPr>
        <w:spacing w:before="60" w:after="90"/>
      </w:pPr>
      <w:r>
        <w:rPr>
          <w:color w:val="1A1A2E"/>
        </w:rPr>
        <w:t>Sarah's back pain has been present for approximately 8 weeks. Based on the clinical presentation and the expected recovery trajectory (typically 6–12 weeks for this type of presentation, with full recovery anticipated), this condition does not currently meet the Equality Act 2010 definition of disability, as it is not expected to have a substantial, long-term (12 months or more) adverse effect on day-to-day activities.</w:t>
      </w:r>
    </w:p>
    <w:p w:rsidR="00AF4ADE" w:rsidRDefault="00AF4ADE">
      <w:pPr>
        <w:spacing w:before="60"/>
      </w:pPr>
    </w:p>
    <w:p w:rsidR="00AF4ADE" w:rsidRDefault="007A1FDA">
      <w:pPr>
        <w:spacing w:before="60" w:after="90"/>
      </w:pPr>
      <w:r>
        <w:rPr>
          <w:color w:val="1A1A2E"/>
        </w:rPr>
        <w:t>This should be revisited if symptoms persist significantly beyond the expected recovery window, as a longer duration could bring the condition within scope of the Act.</w:t>
      </w:r>
    </w:p>
    <w:p w:rsidR="00AF4ADE" w:rsidRDefault="00AF4ADE">
      <w:pPr>
        <w:spacing w:before="120"/>
      </w:pPr>
    </w:p>
    <w:p w:rsidR="00AF4ADE" w:rsidRDefault="007A1FDA">
      <w:pPr>
        <w:spacing w:before="60" w:after="90"/>
      </w:pPr>
      <w:r>
        <w:rPr>
          <w:i/>
          <w:iCs/>
          <w:color w:val="6B7280"/>
        </w:rPr>
        <w:t>HealthBridge does not make legal determinations of disability status. This is a clinical observation only, intended to assist the employer in considering whether reasonable adjustment duties may apply. The employer should seek their own legal advice if there is any uncertainty.</w:t>
      </w:r>
    </w:p>
    <w:p w:rsidR="00AF4ADE" w:rsidRDefault="00AF4ADE">
      <w:pPr>
        <w:spacing w:before="120"/>
      </w:pPr>
    </w:p>
    <w:p w:rsidR="00AF4ADE" w:rsidRDefault="007A1FDA">
      <w:pPr>
        <w:keepNext/>
        <w:spacing w:before="320" w:after="100"/>
      </w:pPr>
      <w:r>
        <w:rPr>
          <w:b/>
          <w:bCs/>
          <w:color w:val="1B3A6B"/>
          <w:sz w:val="24"/>
          <w:szCs w:val="24"/>
        </w:rPr>
        <w:t>7.  Fitness for Work Opinion</w:t>
      </w:r>
    </w:p>
    <w:p w:rsidR="00AF4ADE" w:rsidRDefault="00AF4ADE">
      <w:pPr>
        <w:keepNext/>
        <w:pBdr>
          <w:bottom w:val="single" w:sz="5" w:space="1" w:color="1B3A6B"/>
        </w:pBdr>
        <w:spacing w:before="40" w:after="140"/>
      </w:pPr>
    </w:p>
    <w:p w:rsidR="00AF4ADE" w:rsidRDefault="007A1FDA">
      <w:pPr>
        <w:spacing w:before="60" w:after="90"/>
      </w:pPr>
      <w:r>
        <w:rPr>
          <w:b/>
          <w:bCs/>
          <w:color w:val="1A1A2E"/>
        </w:rPr>
        <w:t>Fit for work, with adjustments.</w:t>
      </w:r>
    </w:p>
    <w:p w:rsidR="00AF4ADE" w:rsidRDefault="00AF4ADE">
      <w:pPr>
        <w:spacing w:before="120"/>
      </w:pPr>
    </w:p>
    <w:p w:rsidR="00AF4ADE" w:rsidRDefault="007A1FDA">
      <w:pPr>
        <w:keepNext/>
        <w:spacing w:before="320" w:after="100"/>
      </w:pPr>
      <w:r>
        <w:rPr>
          <w:b/>
          <w:bCs/>
          <w:color w:val="1B3A6B"/>
          <w:sz w:val="24"/>
          <w:szCs w:val="24"/>
        </w:rPr>
        <w:t>8.  Recommended Adjustments</w:t>
      </w:r>
    </w:p>
    <w:p w:rsidR="00AF4ADE" w:rsidRDefault="00AF4ADE">
      <w:pPr>
        <w:keepNext/>
        <w:pBdr>
          <w:bottom w:val="single" w:sz="5" w:space="1" w:color="1B3A6B"/>
        </w:pBdr>
        <w:spacing w:before="40" w:after="140"/>
      </w:pPr>
    </w:p>
    <w:p w:rsidR="00AF4ADE" w:rsidRDefault="007A1FDA">
      <w:pPr>
        <w:spacing w:before="60" w:after="90"/>
        <w:rPr>
          <w:color w:val="1A1A2E"/>
        </w:rPr>
      </w:pPr>
      <w:r>
        <w:rPr>
          <w:color w:val="1A1A2E"/>
        </w:rPr>
        <w:t xml:space="preserve">The </w:t>
      </w:r>
      <w:r w:rsidR="007D1E05">
        <w:rPr>
          <w:color w:val="1A1A2E"/>
        </w:rPr>
        <w:t>following are recommended for 4-</w:t>
      </w:r>
      <w:r>
        <w:rPr>
          <w:color w:val="1A1A2E"/>
        </w:rPr>
        <w:t>6 weeks, with review thereafter:</w:t>
      </w:r>
    </w:p>
    <w:p w:rsidR="007D1E05" w:rsidRDefault="007D1E05">
      <w:pPr>
        <w:spacing w:before="60" w:after="90"/>
      </w:pPr>
    </w:p>
    <w:p w:rsidR="00AF4ADE" w:rsidRDefault="007A1FDA">
      <w:pPr>
        <w:pStyle w:val="ListParagraph"/>
        <w:numPr>
          <w:ilvl w:val="0"/>
          <w:numId w:val="2"/>
        </w:numPr>
        <w:spacing w:before="30" w:after="30"/>
      </w:pPr>
      <w:r>
        <w:rPr>
          <w:color w:val="1A1A2E"/>
        </w:rPr>
        <w:t>Provide a sit-stand desk, or</w:t>
      </w:r>
      <w:r w:rsidR="007D1E05">
        <w:rPr>
          <w:color w:val="1A1A2E"/>
        </w:rPr>
        <w:t xml:space="preserve"> allow standing breaks every 20-</w:t>
      </w:r>
      <w:r>
        <w:rPr>
          <w:color w:val="1A1A2E"/>
        </w:rPr>
        <w:t>30 minutes.</w:t>
      </w:r>
    </w:p>
    <w:p w:rsidR="00AF4ADE" w:rsidRDefault="007A1FDA">
      <w:pPr>
        <w:pStyle w:val="ListParagraph"/>
        <w:numPr>
          <w:ilvl w:val="0"/>
          <w:numId w:val="2"/>
        </w:numPr>
        <w:spacing w:before="30" w:after="30"/>
      </w:pPr>
      <w:r>
        <w:rPr>
          <w:color w:val="1A1A2E"/>
        </w:rPr>
        <w:t>Limit contin</w:t>
      </w:r>
      <w:r w:rsidR="007D1E05">
        <w:rPr>
          <w:color w:val="1A1A2E"/>
        </w:rPr>
        <w:t>uous driving to a maximum of 20-</w:t>
      </w:r>
      <w:r>
        <w:rPr>
          <w:color w:val="1A1A2E"/>
        </w:rPr>
        <w:t>30 minutes at a time; consider a temporary reduction in off-site visits where operationally possible.</w:t>
      </w:r>
    </w:p>
    <w:p w:rsidR="00AF4ADE" w:rsidRDefault="007A1FDA">
      <w:pPr>
        <w:pStyle w:val="ListParagraph"/>
        <w:numPr>
          <w:ilvl w:val="0"/>
          <w:numId w:val="2"/>
        </w:numPr>
        <w:spacing w:before="30" w:after="30"/>
      </w:pPr>
      <w:r>
        <w:rPr>
          <w:color w:val="1A1A2E"/>
        </w:rPr>
        <w:t>Avoid lifting items over 5kg.</w:t>
      </w:r>
    </w:p>
    <w:p w:rsidR="00AF4ADE" w:rsidRDefault="007A1FDA">
      <w:pPr>
        <w:pStyle w:val="ListParagraph"/>
        <w:numPr>
          <w:ilvl w:val="0"/>
          <w:numId w:val="2"/>
        </w:numPr>
        <w:spacing w:before="30" w:after="30"/>
      </w:pPr>
      <w:r>
        <w:rPr>
          <w:color w:val="1A1A2E"/>
        </w:rPr>
        <w:t>Allow flexible working, including partial home working if suitable for the role.</w:t>
      </w:r>
    </w:p>
    <w:p w:rsidR="00AF4ADE" w:rsidRDefault="007A1FDA">
      <w:pPr>
        <w:pStyle w:val="ListParagraph"/>
        <w:numPr>
          <w:ilvl w:val="0"/>
          <w:numId w:val="2"/>
        </w:numPr>
        <w:spacing w:before="30" w:after="30"/>
      </w:pPr>
      <w:r>
        <w:rPr>
          <w:color w:val="1A1A2E"/>
        </w:rPr>
        <w:lastRenderedPageBreak/>
        <w:t>Encourage regular movement and stretching through the working day.</w:t>
      </w:r>
    </w:p>
    <w:p w:rsidR="00AF4ADE" w:rsidRDefault="00AF4ADE">
      <w:pPr>
        <w:spacing w:before="120"/>
      </w:pPr>
    </w:p>
    <w:p w:rsidR="00AF4ADE" w:rsidRDefault="007A1FDA">
      <w:pPr>
        <w:spacing w:before="60" w:after="90"/>
      </w:pPr>
      <w:r>
        <w:rPr>
          <w:i/>
          <w:iCs/>
          <w:color w:val="6B7280"/>
        </w:rPr>
        <w:t>These recommendations are clinical in nature and are advisory and time-limited. HealthBridge does not assess the cost or operational fe</w:t>
      </w:r>
      <w:r w:rsidR="007D1E05">
        <w:rPr>
          <w:i/>
          <w:iCs/>
          <w:color w:val="6B7280"/>
        </w:rPr>
        <w:t>asibility of implementing them -</w:t>
      </w:r>
      <w:r>
        <w:rPr>
          <w:i/>
          <w:iCs/>
          <w:color w:val="6B7280"/>
        </w:rPr>
        <w:t xml:space="preserve"> that assessment is the employer's responsibility.</w:t>
      </w:r>
    </w:p>
    <w:p w:rsidR="00AF4ADE" w:rsidRDefault="00AF4ADE">
      <w:pPr>
        <w:spacing w:before="120"/>
      </w:pPr>
    </w:p>
    <w:p w:rsidR="00AF4ADE" w:rsidRDefault="007A1FDA">
      <w:pPr>
        <w:keepNext/>
        <w:spacing w:before="320" w:after="100"/>
      </w:pPr>
      <w:r>
        <w:rPr>
          <w:b/>
          <w:bCs/>
          <w:color w:val="1B3A6B"/>
          <w:sz w:val="24"/>
          <w:szCs w:val="24"/>
        </w:rPr>
        <w:t>9.  Likely Prognosis and Timescales</w:t>
      </w:r>
    </w:p>
    <w:p w:rsidR="00AF4ADE" w:rsidRDefault="00AF4ADE">
      <w:pPr>
        <w:keepNext/>
        <w:pBdr>
          <w:bottom w:val="single" w:sz="5" w:space="1" w:color="1B3A6B"/>
        </w:pBdr>
        <w:spacing w:before="40" w:after="140"/>
      </w:pPr>
    </w:p>
    <w:p w:rsidR="00AF4ADE" w:rsidRDefault="007A1FDA">
      <w:pPr>
        <w:pStyle w:val="ListParagraph"/>
        <w:numPr>
          <w:ilvl w:val="0"/>
          <w:numId w:val="2"/>
        </w:numPr>
        <w:spacing w:before="30" w:after="30"/>
      </w:pPr>
      <w:r>
        <w:rPr>
          <w:color w:val="1A1A2E"/>
        </w:rPr>
        <w:t>Most cases of mechanical back pain of this kind</w:t>
      </w:r>
      <w:r w:rsidR="007D1E05">
        <w:rPr>
          <w:color w:val="1A1A2E"/>
        </w:rPr>
        <w:t xml:space="preserve"> improve significantly within 6-</w:t>
      </w:r>
      <w:r>
        <w:rPr>
          <w:color w:val="1A1A2E"/>
        </w:rPr>
        <w:t>12 weeks.</w:t>
      </w:r>
    </w:p>
    <w:p w:rsidR="00AF4ADE" w:rsidRDefault="007A1FDA">
      <w:pPr>
        <w:pStyle w:val="ListParagraph"/>
        <w:numPr>
          <w:ilvl w:val="0"/>
          <w:numId w:val="2"/>
        </w:numPr>
        <w:spacing w:before="30" w:after="30"/>
      </w:pPr>
      <w:r>
        <w:rPr>
          <w:color w:val="1A1A2E"/>
        </w:rPr>
        <w:t>Full recovery is expected.</w:t>
      </w:r>
    </w:p>
    <w:p w:rsidR="00AF4ADE" w:rsidRDefault="007A1FDA">
      <w:pPr>
        <w:pStyle w:val="ListParagraph"/>
        <w:numPr>
          <w:ilvl w:val="0"/>
          <w:numId w:val="2"/>
        </w:numPr>
        <w:spacing w:before="30" w:after="30"/>
      </w:pPr>
      <w:r>
        <w:rPr>
          <w:color w:val="1A1A2E"/>
        </w:rPr>
        <w:t>Long-term restrictions are considered unlikely on current presentation.</w:t>
      </w:r>
    </w:p>
    <w:p w:rsidR="00AF4ADE" w:rsidRDefault="00AF4ADE">
      <w:pPr>
        <w:spacing w:before="120"/>
      </w:pPr>
    </w:p>
    <w:p w:rsidR="00AF4ADE" w:rsidRDefault="007A1FDA">
      <w:pPr>
        <w:keepNext/>
        <w:spacing w:before="320" w:after="100"/>
      </w:pPr>
      <w:r>
        <w:rPr>
          <w:b/>
          <w:bCs/>
          <w:color w:val="1B3A6B"/>
          <w:sz w:val="24"/>
          <w:szCs w:val="24"/>
        </w:rPr>
        <w:t>10.  Medication and Work Relevance</w:t>
      </w:r>
    </w:p>
    <w:p w:rsidR="00AF4ADE" w:rsidRDefault="00AF4ADE">
      <w:pPr>
        <w:keepNext/>
        <w:pBdr>
          <w:bottom w:val="single" w:sz="5" w:space="1" w:color="1B3A6B"/>
        </w:pBdr>
        <w:spacing w:before="40" w:after="140"/>
      </w:pPr>
    </w:p>
    <w:p w:rsidR="00AF4ADE" w:rsidRDefault="007A1FDA">
      <w:pPr>
        <w:spacing w:before="60" w:after="90"/>
      </w:pPr>
      <w:r>
        <w:rPr>
          <w:color w:val="1A1A2E"/>
        </w:rPr>
        <w:t>Diazepam may cause drowsiness; Sarah reports taking this only at bedtime and not during working hours. No workplace safety concern identified on this basis.</w:t>
      </w:r>
    </w:p>
    <w:p w:rsidR="00AF4ADE" w:rsidRDefault="00AF4ADE">
      <w:pPr>
        <w:spacing w:before="120"/>
      </w:pPr>
    </w:p>
    <w:p w:rsidR="00AF4ADE" w:rsidRDefault="007A1FDA">
      <w:pPr>
        <w:keepNext/>
        <w:spacing w:before="320" w:after="100"/>
      </w:pPr>
      <w:r>
        <w:rPr>
          <w:b/>
          <w:bCs/>
          <w:color w:val="1B3A6B"/>
          <w:sz w:val="24"/>
          <w:szCs w:val="24"/>
        </w:rPr>
        <w:t>11.  Additional Recommendations</w:t>
      </w:r>
    </w:p>
    <w:p w:rsidR="00AF4ADE" w:rsidRDefault="00AF4ADE">
      <w:pPr>
        <w:keepNext/>
        <w:pBdr>
          <w:bottom w:val="single" w:sz="5" w:space="1" w:color="1B3A6B"/>
        </w:pBdr>
        <w:spacing w:before="40" w:after="140"/>
      </w:pPr>
    </w:p>
    <w:p w:rsidR="00AF4ADE" w:rsidRDefault="007A1FDA">
      <w:pPr>
        <w:pStyle w:val="ListParagraph"/>
        <w:numPr>
          <w:ilvl w:val="0"/>
          <w:numId w:val="2"/>
        </w:numPr>
        <w:spacing w:before="30" w:after="30"/>
      </w:pPr>
      <w:r>
        <w:rPr>
          <w:color w:val="1A1A2E"/>
        </w:rPr>
        <w:t>Continue current physiotherapy exercises.</w:t>
      </w:r>
    </w:p>
    <w:p w:rsidR="00AF4ADE" w:rsidRDefault="007A1FDA">
      <w:pPr>
        <w:pStyle w:val="ListParagraph"/>
        <w:numPr>
          <w:ilvl w:val="0"/>
          <w:numId w:val="2"/>
        </w:numPr>
        <w:spacing w:before="30" w:after="30"/>
      </w:pPr>
      <w:r>
        <w:rPr>
          <w:color w:val="1A1A2E"/>
        </w:rPr>
        <w:t>Consider a workplace ergonomic assessment if pain pers</w:t>
      </w:r>
      <w:r w:rsidR="007D1E05">
        <w:rPr>
          <w:color w:val="1A1A2E"/>
        </w:rPr>
        <w:t>ists beyond 8-</w:t>
      </w:r>
      <w:r>
        <w:rPr>
          <w:color w:val="1A1A2E"/>
        </w:rPr>
        <w:t>10 weeks.</w:t>
      </w:r>
    </w:p>
    <w:p w:rsidR="00AF4ADE" w:rsidRDefault="007A1FDA">
      <w:pPr>
        <w:pStyle w:val="ListParagraph"/>
        <w:numPr>
          <w:ilvl w:val="0"/>
          <w:numId w:val="2"/>
        </w:numPr>
        <w:spacing w:before="30" w:after="30"/>
      </w:pPr>
      <w:r>
        <w:rPr>
          <w:color w:val="1A1A2E"/>
        </w:rPr>
        <w:t>Sarah is encouraged to discuss pain management with her own GP if symptoms worsen.</w:t>
      </w:r>
    </w:p>
    <w:p w:rsidR="00AF4ADE" w:rsidRDefault="00AF4ADE">
      <w:pPr>
        <w:spacing w:before="120"/>
      </w:pPr>
    </w:p>
    <w:p w:rsidR="00AF4ADE" w:rsidRDefault="007A1FDA">
      <w:pPr>
        <w:keepNext/>
        <w:spacing w:before="320" w:after="100"/>
      </w:pPr>
      <w:r>
        <w:rPr>
          <w:b/>
          <w:bCs/>
          <w:color w:val="1B3A6B"/>
          <w:sz w:val="24"/>
          <w:szCs w:val="24"/>
        </w:rPr>
        <w:t>12.  Report Status and Consent</w:t>
      </w:r>
    </w:p>
    <w:p w:rsidR="00AF4ADE" w:rsidRDefault="00AF4ADE">
      <w:pPr>
        <w:keepNext/>
        <w:pBdr>
          <w:bottom w:val="single" w:sz="5" w:space="1" w:color="1B3A6B"/>
        </w:pBdr>
        <w:spacing w:before="40" w:after="14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800"/>
        <w:gridCol w:w="5226"/>
      </w:tblGrid>
      <w:tr w:rsidR="00AF4ADE">
        <w:tc>
          <w:tcPr>
            <w:tcW w:w="3800" w:type="dxa"/>
            <w:tcBorders>
              <w:top w:val="single" w:sz="1" w:space="0" w:color="C5CEDE"/>
              <w:left w:val="single" w:sz="1" w:space="0" w:color="C5CEDE"/>
              <w:bottom w:val="single" w:sz="1" w:space="0" w:color="C5CEDE"/>
              <w:right w:val="single" w:sz="1" w:space="0" w:color="C5CEDE"/>
            </w:tcBorders>
            <w:shd w:val="clear" w:color="auto" w:fill="1B3A6B"/>
            <w:tcMar>
              <w:top w:w="100" w:type="dxa"/>
              <w:left w:w="160" w:type="dxa"/>
              <w:bottom w:w="100" w:type="dxa"/>
              <w:right w:w="160" w:type="dxa"/>
            </w:tcMar>
          </w:tcPr>
          <w:p w:rsidR="00AF4ADE" w:rsidRDefault="007A1FDA">
            <w:r>
              <w:rPr>
                <w:b/>
                <w:bCs/>
                <w:color w:val="FFFFFF"/>
              </w:rPr>
              <w:t>Stage</w:t>
            </w:r>
          </w:p>
        </w:tc>
        <w:tc>
          <w:tcPr>
            <w:tcW w:w="5226" w:type="dxa"/>
            <w:tcBorders>
              <w:top w:val="single" w:sz="1" w:space="0" w:color="C5CEDE"/>
              <w:left w:val="single" w:sz="1" w:space="0" w:color="C5CEDE"/>
              <w:bottom w:val="single" w:sz="1" w:space="0" w:color="C5CEDE"/>
              <w:right w:val="single" w:sz="1" w:space="0" w:color="C5CEDE"/>
            </w:tcBorders>
            <w:shd w:val="clear" w:color="auto" w:fill="1B3A6B"/>
            <w:tcMar>
              <w:top w:w="100" w:type="dxa"/>
              <w:left w:w="160" w:type="dxa"/>
              <w:bottom w:w="100" w:type="dxa"/>
              <w:right w:w="160" w:type="dxa"/>
            </w:tcMar>
          </w:tcPr>
          <w:p w:rsidR="00AF4ADE" w:rsidRDefault="007A1FDA">
            <w:r>
              <w:rPr>
                <w:b/>
                <w:bCs/>
                <w:color w:val="FFFFFF"/>
              </w:rPr>
              <w:t>Date</w:t>
            </w:r>
          </w:p>
        </w:tc>
      </w:tr>
      <w:tr w:rsidR="00AF4ADE">
        <w:tc>
          <w:tcPr>
            <w:tcW w:w="3800"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AF4ADE" w:rsidRDefault="007A1FDA">
            <w:r>
              <w:rPr>
                <w:color w:val="1A1A2E"/>
              </w:rPr>
              <w:t>Draft report issued to employee</w:t>
            </w:r>
          </w:p>
        </w:tc>
        <w:tc>
          <w:tcPr>
            <w:tcW w:w="5226"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AF4ADE" w:rsidRDefault="007A1FDA">
            <w:r>
              <w:rPr>
                <w:color w:val="1A1A2E"/>
              </w:rPr>
              <w:t>04/12/2025</w:t>
            </w:r>
          </w:p>
        </w:tc>
      </w:tr>
      <w:tr w:rsidR="00AF4ADE">
        <w:tc>
          <w:tcPr>
            <w:tcW w:w="3800"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AF4ADE" w:rsidRDefault="007A1FDA">
            <w:r>
              <w:rPr>
                <w:color w:val="1A1A2E"/>
              </w:rPr>
              <w:t>Emp</w:t>
            </w:r>
            <w:r w:rsidR="007D1E05">
              <w:rPr>
                <w:color w:val="1A1A2E"/>
              </w:rPr>
              <w:t>loyee review period (AMRA 1988 -</w:t>
            </w:r>
            <w:r>
              <w:rPr>
                <w:color w:val="1A1A2E"/>
              </w:rPr>
              <w:t xml:space="preserve"> 7 calendar days)</w:t>
            </w:r>
          </w:p>
        </w:tc>
        <w:tc>
          <w:tcPr>
            <w:tcW w:w="5226"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AF4ADE" w:rsidRDefault="007D1E05">
            <w:r>
              <w:rPr>
                <w:color w:val="1A1A2E"/>
              </w:rPr>
              <w:t>04/12/2025 -</w:t>
            </w:r>
            <w:r w:rsidR="007A1FDA">
              <w:rPr>
                <w:color w:val="1A1A2E"/>
              </w:rPr>
              <w:t xml:space="preserve"> 11/12/2025</w:t>
            </w:r>
          </w:p>
        </w:tc>
      </w:tr>
      <w:tr w:rsidR="00AF4ADE">
        <w:tc>
          <w:tcPr>
            <w:tcW w:w="3800"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AF4ADE" w:rsidRDefault="007A1FDA">
            <w:r>
              <w:rPr>
                <w:color w:val="1A1A2E"/>
              </w:rPr>
              <w:t>Consent to release confirmed</w:t>
            </w:r>
          </w:p>
        </w:tc>
        <w:tc>
          <w:tcPr>
            <w:tcW w:w="5226"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AF4ADE" w:rsidRDefault="007D1E05">
            <w:r>
              <w:rPr>
                <w:color w:val="1A1A2E"/>
              </w:rPr>
              <w:t>Email reply -</w:t>
            </w:r>
            <w:r w:rsidR="007A1FDA">
              <w:rPr>
                <w:color w:val="1A1A2E"/>
              </w:rPr>
              <w:t xml:space="preserve"> 10/12/2025</w:t>
            </w:r>
          </w:p>
        </w:tc>
      </w:tr>
      <w:tr w:rsidR="00AF4ADE">
        <w:tc>
          <w:tcPr>
            <w:tcW w:w="3800"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AF4ADE" w:rsidRDefault="007A1FDA">
            <w:r>
              <w:rPr>
                <w:color w:val="1A1A2E"/>
              </w:rPr>
              <w:t>Final report issued to employer</w:t>
            </w:r>
          </w:p>
        </w:tc>
        <w:tc>
          <w:tcPr>
            <w:tcW w:w="5226"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AF4ADE" w:rsidRDefault="007A1FDA">
            <w:r>
              <w:rPr>
                <w:color w:val="1A1A2E"/>
              </w:rPr>
              <w:t>11/12/2025</w:t>
            </w:r>
          </w:p>
        </w:tc>
      </w:tr>
    </w:tbl>
    <w:p w:rsidR="00AF4ADE" w:rsidRDefault="00AF4ADE">
      <w:pPr>
        <w:spacing w:before="80"/>
      </w:pPr>
    </w:p>
    <w:p w:rsidR="00AF4ADE" w:rsidRDefault="007A1FDA">
      <w:pPr>
        <w:spacing w:before="60" w:after="90"/>
      </w:pPr>
      <w:r>
        <w:rPr>
          <w:color w:val="1A1A2E"/>
        </w:rPr>
        <w:t xml:space="preserve">In line with the Access to Medical Reports Act 1988, Sarah was given the opportunity to review this report before release and confirmed by email her consent for it to be shared with </w:t>
      </w:r>
      <w:proofErr w:type="spellStart"/>
      <w:r>
        <w:rPr>
          <w:color w:val="1A1A2E"/>
        </w:rPr>
        <w:t>Willowbank</w:t>
      </w:r>
      <w:proofErr w:type="spellEnd"/>
      <w:r>
        <w:rPr>
          <w:color w:val="1A1A2E"/>
        </w:rPr>
        <w:t xml:space="preserve"> Housing Association in its current form. The evidentiary record of this consent is retained in the clinical case file in accordance with </w:t>
      </w:r>
      <w:proofErr w:type="spellStart"/>
      <w:r>
        <w:rPr>
          <w:color w:val="1A1A2E"/>
        </w:rPr>
        <w:t>HealthBridge's</w:t>
      </w:r>
      <w:proofErr w:type="spellEnd"/>
      <w:r>
        <w:rPr>
          <w:color w:val="1A1A2E"/>
        </w:rPr>
        <w:t xml:space="preserve"> Consent Policy.</w:t>
      </w:r>
    </w:p>
    <w:p w:rsidR="00AF4ADE" w:rsidRDefault="00AF4ADE">
      <w:pPr>
        <w:spacing w:before="140"/>
      </w:pPr>
    </w:p>
    <w:p w:rsidR="00AF4ADE" w:rsidRDefault="007A1FDA">
      <w:pPr>
        <w:keepNext/>
        <w:spacing w:before="320" w:after="100"/>
      </w:pPr>
      <w:r>
        <w:rPr>
          <w:b/>
          <w:bCs/>
          <w:color w:val="1B3A6B"/>
          <w:sz w:val="24"/>
          <w:szCs w:val="24"/>
        </w:rPr>
        <w:lastRenderedPageBreak/>
        <w:t>Clinician Signature</w:t>
      </w:r>
    </w:p>
    <w:p w:rsidR="00AF4ADE" w:rsidRDefault="00AF4ADE">
      <w:pPr>
        <w:keepNext/>
        <w:pBdr>
          <w:bottom w:val="single" w:sz="5" w:space="1" w:color="1B3A6B"/>
        </w:pBdr>
        <w:spacing w:before="40" w:after="140"/>
      </w:pPr>
    </w:p>
    <w:p w:rsidR="007D1E05" w:rsidRDefault="007D1E05">
      <w:pPr>
        <w:keepNext/>
        <w:spacing w:before="60" w:after="90"/>
        <w:rPr>
          <w:b/>
          <w:bCs/>
          <w:color w:val="1A1A2E"/>
        </w:rPr>
      </w:pPr>
    </w:p>
    <w:p w:rsidR="00AF4ADE" w:rsidRDefault="007A1FDA">
      <w:pPr>
        <w:keepNext/>
        <w:spacing w:before="60" w:after="90"/>
      </w:pPr>
      <w:r>
        <w:rPr>
          <w:b/>
          <w:bCs/>
          <w:color w:val="1A1A2E"/>
        </w:rPr>
        <w:t>Dr James Stanley</w:t>
      </w:r>
    </w:p>
    <w:p w:rsidR="00AF4ADE" w:rsidRDefault="007D1E05">
      <w:pPr>
        <w:keepNext/>
        <w:spacing w:before="60" w:after="90"/>
      </w:pPr>
      <w:r>
        <w:rPr>
          <w:noProof/>
          <w:color w:val="1A1A2E"/>
        </w:rPr>
        <w:drawing>
          <wp:anchor distT="0" distB="0" distL="114300" distR="114300" simplePos="0" relativeHeight="251658240" behindDoc="1" locked="0" layoutInCell="1" allowOverlap="1">
            <wp:simplePos x="0" y="0"/>
            <wp:positionH relativeFrom="column">
              <wp:posOffset>2695575</wp:posOffset>
            </wp:positionH>
            <wp:positionV relativeFrom="paragraph">
              <wp:posOffset>-466090</wp:posOffset>
            </wp:positionV>
            <wp:extent cx="1938655" cy="1228725"/>
            <wp:effectExtent l="19050" t="0" r="4445" b="0"/>
            <wp:wrapTight wrapText="bothSides">
              <wp:wrapPolygon edited="0">
                <wp:start x="-212" y="0"/>
                <wp:lineTo x="-212" y="21433"/>
                <wp:lineTo x="21650" y="21433"/>
                <wp:lineTo x="21650" y="0"/>
                <wp:lineTo x="-212"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938655" cy="1228725"/>
                    </a:xfrm>
                    <a:prstGeom prst="rect">
                      <a:avLst/>
                    </a:prstGeom>
                    <a:noFill/>
                    <a:ln w="9525">
                      <a:noFill/>
                      <a:miter lim="800000"/>
                      <a:headEnd/>
                      <a:tailEnd/>
                    </a:ln>
                  </pic:spPr>
                </pic:pic>
              </a:graphicData>
            </a:graphic>
          </wp:anchor>
        </w:drawing>
      </w:r>
      <w:r w:rsidR="007A1FDA">
        <w:rPr>
          <w:color w:val="1A1A2E"/>
        </w:rPr>
        <w:t>GP providing Occupational Health Services</w:t>
      </w:r>
    </w:p>
    <w:p w:rsidR="00AF4ADE" w:rsidRDefault="007A1FDA">
      <w:pPr>
        <w:keepNext/>
        <w:spacing w:before="60" w:after="90"/>
      </w:pPr>
      <w:r>
        <w:rPr>
          <w:color w:val="1A1A2E"/>
        </w:rPr>
        <w:t>GMC Registration No: 7285162</w:t>
      </w:r>
    </w:p>
    <w:p w:rsidR="00AF4ADE" w:rsidRDefault="007A1FDA">
      <w:pPr>
        <w:keepNext/>
        <w:spacing w:before="60" w:after="90"/>
      </w:pPr>
      <w:r>
        <w:rPr>
          <w:color w:val="1A1A2E"/>
        </w:rPr>
        <w:t>HealthBridge Occupational Health Ltd</w:t>
      </w:r>
    </w:p>
    <w:p w:rsidR="00AF4ADE" w:rsidRDefault="007A1FDA">
      <w:pPr>
        <w:spacing w:before="60" w:after="90"/>
        <w:rPr>
          <w:color w:val="1A1A2E"/>
        </w:rPr>
      </w:pPr>
      <w:r>
        <w:rPr>
          <w:color w:val="1A1A2E"/>
        </w:rPr>
        <w:t>Date: 11/12/2025</w:t>
      </w:r>
    </w:p>
    <w:p w:rsidR="007D1E05" w:rsidRDefault="007D1E05">
      <w:pPr>
        <w:spacing w:before="60" w:after="90"/>
      </w:pPr>
    </w:p>
    <w:sectPr w:rsidR="007D1E05" w:rsidSect="00AF4ADE">
      <w:headerReference w:type="default" r:id="rId8"/>
      <w:footerReference w:type="default" r:id="rId9"/>
      <w:pgSz w:w="11906" w:h="16838"/>
      <w:pgMar w:top="1080" w:right="1440" w:bottom="1080" w:left="1440"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1FDA" w:rsidRDefault="007A1FDA" w:rsidP="00AF4ADE">
      <w:r>
        <w:separator/>
      </w:r>
    </w:p>
  </w:endnote>
  <w:endnote w:type="continuationSeparator" w:id="0">
    <w:p w:rsidR="007A1FDA" w:rsidRDefault="007A1FDA" w:rsidP="00AF4AD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ADE" w:rsidRDefault="007A1FDA">
    <w:pPr>
      <w:pBdr>
        <w:top w:val="single" w:sz="3" w:space="2" w:color="1B3A6B"/>
      </w:pBdr>
      <w:spacing w:before="100"/>
    </w:pPr>
    <w:r>
      <w:rPr>
        <w:i/>
        <w:iCs/>
        <w:color w:val="6B7280"/>
        <w:sz w:val="13"/>
        <w:szCs w:val="13"/>
      </w:rPr>
      <w:t>This report provides the professional opinion of the assessing GP for occupational health purposes, to inform workplace decisions including fitness for work, adjustments, and (where relevant) capability or disciplinary processes. It is not a medico-legal report prepared for litigation and has not been written to the standard required for use as expert evidence in legal proceedings. Opinions are based on information available at the time of assessment.</w:t>
    </w:r>
  </w:p>
  <w:p w:rsidR="00AF4ADE" w:rsidRDefault="007A1FDA">
    <w:pPr>
      <w:tabs>
        <w:tab w:val="right" w:pos="9026"/>
      </w:tabs>
      <w:spacing w:before="60"/>
    </w:pPr>
    <w:r>
      <w:rPr>
        <w:color w:val="6B7280"/>
        <w:sz w:val="13"/>
        <w:szCs w:val="13"/>
      </w:rPr>
      <w:t xml:space="preserve">HealthBridge Occupational Health </w:t>
    </w:r>
    <w:proofErr w:type="gramStart"/>
    <w:r>
      <w:rPr>
        <w:color w:val="6B7280"/>
        <w:sz w:val="13"/>
        <w:szCs w:val="13"/>
      </w:rPr>
      <w:t>Ltd  |</w:t>
    </w:r>
    <w:proofErr w:type="gramEnd"/>
    <w:r>
      <w:rPr>
        <w:color w:val="6B7280"/>
        <w:sz w:val="13"/>
        <w:szCs w:val="13"/>
      </w:rPr>
      <w:t xml:space="preserve">  Co. No: </w:t>
    </w:r>
    <w:proofErr w:type="gramStart"/>
    <w:r>
      <w:rPr>
        <w:color w:val="6B7280"/>
        <w:sz w:val="13"/>
        <w:szCs w:val="13"/>
      </w:rPr>
      <w:t>16615396  |</w:t>
    </w:r>
    <w:proofErr w:type="gramEnd"/>
    <w:r>
      <w:rPr>
        <w:color w:val="6B7280"/>
        <w:sz w:val="13"/>
        <w:szCs w:val="13"/>
      </w:rPr>
      <w:t xml:space="preserve">  50 </w:t>
    </w:r>
    <w:proofErr w:type="spellStart"/>
    <w:r>
      <w:rPr>
        <w:color w:val="6B7280"/>
        <w:sz w:val="13"/>
        <w:szCs w:val="13"/>
      </w:rPr>
      <w:t>Hadow</w:t>
    </w:r>
    <w:proofErr w:type="spellEnd"/>
    <w:r>
      <w:rPr>
        <w:color w:val="6B7280"/>
        <w:sz w:val="13"/>
        <w:szCs w:val="13"/>
      </w:rPr>
      <w:t xml:space="preserve"> Way, Gloucester, GL2 4YJ</w:t>
    </w:r>
    <w:r>
      <w:rPr>
        <w:color w:val="6B7280"/>
        <w:sz w:val="13"/>
        <w:szCs w:val="13"/>
      </w:rPr>
      <w:tab/>
      <w:t xml:space="preserve">Page </w:t>
    </w:r>
    <w:r w:rsidR="009856EB">
      <w:rPr>
        <w:color w:val="6B7280"/>
        <w:sz w:val="13"/>
        <w:szCs w:val="13"/>
      </w:rPr>
      <w:fldChar w:fldCharType="begin"/>
    </w:r>
    <w:r>
      <w:rPr>
        <w:color w:val="6B7280"/>
        <w:sz w:val="13"/>
        <w:szCs w:val="13"/>
      </w:rPr>
      <w:instrText>PAGE</w:instrText>
    </w:r>
    <w:r w:rsidR="009856EB">
      <w:rPr>
        <w:color w:val="6B7280"/>
        <w:sz w:val="13"/>
        <w:szCs w:val="13"/>
      </w:rPr>
      <w:fldChar w:fldCharType="separate"/>
    </w:r>
    <w:r w:rsidR="008768D0">
      <w:rPr>
        <w:noProof/>
        <w:color w:val="6B7280"/>
        <w:sz w:val="13"/>
        <w:szCs w:val="13"/>
      </w:rPr>
      <w:t>2</w:t>
    </w:r>
    <w:r w:rsidR="009856EB">
      <w:rPr>
        <w:color w:val="6B7280"/>
        <w:sz w:val="13"/>
        <w:szCs w:val="13"/>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1FDA" w:rsidRDefault="007A1FDA" w:rsidP="00AF4ADE">
      <w:r>
        <w:separator/>
      </w:r>
    </w:p>
  </w:footnote>
  <w:footnote w:type="continuationSeparator" w:id="0">
    <w:p w:rsidR="007A1FDA" w:rsidRDefault="007A1FDA" w:rsidP="00AF4A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ADE" w:rsidRDefault="007A1FDA">
    <w:pPr>
      <w:tabs>
        <w:tab w:val="right" w:pos="9026"/>
      </w:tabs>
      <w:spacing w:after="80"/>
    </w:pPr>
    <w:r>
      <w:rPr>
        <w:color w:val="6B7280"/>
        <w:sz w:val="15"/>
        <w:szCs w:val="15"/>
      </w:rPr>
      <w:t xml:space="preserve">HealthBridge Occupational Health </w:t>
    </w:r>
    <w:proofErr w:type="gramStart"/>
    <w:r>
      <w:rPr>
        <w:color w:val="6B7280"/>
        <w:sz w:val="15"/>
        <w:szCs w:val="15"/>
      </w:rPr>
      <w:t>Ltd  |</w:t>
    </w:r>
    <w:proofErr w:type="gramEnd"/>
    <w:r>
      <w:rPr>
        <w:color w:val="6B7280"/>
        <w:sz w:val="15"/>
        <w:szCs w:val="15"/>
      </w:rPr>
      <w:t xml:space="preserve">  Dr James Stanley (GMC: 7285162)</w:t>
    </w:r>
    <w:r>
      <w:rPr>
        <w:b/>
        <w:bCs/>
        <w:color w:val="1B3A6B"/>
        <w:sz w:val="15"/>
        <w:szCs w:val="15"/>
      </w:rPr>
      <w:tab/>
      <w:t>CONFIDENTIAL</w:t>
    </w:r>
  </w:p>
  <w:p w:rsidR="00AF4ADE" w:rsidRDefault="00AF4ADE">
    <w:pPr>
      <w:pBdr>
        <w:bottom w:val="single" w:sz="5" w:space="1" w:color="1B3A6B"/>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F25238"/>
    <w:multiLevelType w:val="hybridMultilevel"/>
    <w:tmpl w:val="0B1CA2AE"/>
    <w:lvl w:ilvl="0" w:tplc="77824C40">
      <w:start w:val="1"/>
      <w:numFmt w:val="bullet"/>
      <w:lvlText w:val="•"/>
      <w:lvlJc w:val="left"/>
      <w:pPr>
        <w:ind w:left="320" w:hanging="320"/>
      </w:pPr>
    </w:lvl>
    <w:lvl w:ilvl="1" w:tplc="B840E40E">
      <w:numFmt w:val="decimal"/>
      <w:lvlText w:val=""/>
      <w:lvlJc w:val="left"/>
    </w:lvl>
    <w:lvl w:ilvl="2" w:tplc="A97A4396">
      <w:numFmt w:val="decimal"/>
      <w:lvlText w:val=""/>
      <w:lvlJc w:val="left"/>
    </w:lvl>
    <w:lvl w:ilvl="3" w:tplc="297A8F7A">
      <w:numFmt w:val="decimal"/>
      <w:lvlText w:val=""/>
      <w:lvlJc w:val="left"/>
    </w:lvl>
    <w:lvl w:ilvl="4" w:tplc="9FD678A0">
      <w:numFmt w:val="decimal"/>
      <w:lvlText w:val=""/>
      <w:lvlJc w:val="left"/>
    </w:lvl>
    <w:lvl w:ilvl="5" w:tplc="321848FE">
      <w:numFmt w:val="decimal"/>
      <w:lvlText w:val=""/>
      <w:lvlJc w:val="left"/>
    </w:lvl>
    <w:lvl w:ilvl="6" w:tplc="B8ECBA3A">
      <w:numFmt w:val="decimal"/>
      <w:lvlText w:val=""/>
      <w:lvlJc w:val="left"/>
    </w:lvl>
    <w:lvl w:ilvl="7" w:tplc="DB226566">
      <w:numFmt w:val="decimal"/>
      <w:lvlText w:val=""/>
      <w:lvlJc w:val="left"/>
    </w:lvl>
    <w:lvl w:ilvl="8" w:tplc="77125B22">
      <w:numFmt w:val="decimal"/>
      <w:lvlText w:val=""/>
      <w:lvlJc w:val="left"/>
    </w:lvl>
  </w:abstractNum>
  <w:abstractNum w:abstractNumId="1">
    <w:nsid w:val="5F866E66"/>
    <w:multiLevelType w:val="hybridMultilevel"/>
    <w:tmpl w:val="51827604"/>
    <w:lvl w:ilvl="0" w:tplc="0D745B88">
      <w:start w:val="1"/>
      <w:numFmt w:val="bullet"/>
      <w:lvlText w:val="●"/>
      <w:lvlJc w:val="left"/>
      <w:pPr>
        <w:ind w:left="720" w:hanging="360"/>
      </w:pPr>
    </w:lvl>
    <w:lvl w:ilvl="1" w:tplc="D96EED32">
      <w:start w:val="1"/>
      <w:numFmt w:val="bullet"/>
      <w:lvlText w:val="○"/>
      <w:lvlJc w:val="left"/>
      <w:pPr>
        <w:ind w:left="1440" w:hanging="360"/>
      </w:pPr>
    </w:lvl>
    <w:lvl w:ilvl="2" w:tplc="5F3C0E90">
      <w:start w:val="1"/>
      <w:numFmt w:val="bullet"/>
      <w:lvlText w:val="■"/>
      <w:lvlJc w:val="left"/>
      <w:pPr>
        <w:ind w:left="2160" w:hanging="360"/>
      </w:pPr>
    </w:lvl>
    <w:lvl w:ilvl="3" w:tplc="FEAEF228">
      <w:start w:val="1"/>
      <w:numFmt w:val="bullet"/>
      <w:lvlText w:val="●"/>
      <w:lvlJc w:val="left"/>
      <w:pPr>
        <w:ind w:left="2880" w:hanging="360"/>
      </w:pPr>
    </w:lvl>
    <w:lvl w:ilvl="4" w:tplc="7F2C22DA">
      <w:start w:val="1"/>
      <w:numFmt w:val="bullet"/>
      <w:lvlText w:val="○"/>
      <w:lvlJc w:val="left"/>
      <w:pPr>
        <w:ind w:left="3600" w:hanging="360"/>
      </w:pPr>
    </w:lvl>
    <w:lvl w:ilvl="5" w:tplc="57A4A892">
      <w:start w:val="1"/>
      <w:numFmt w:val="bullet"/>
      <w:lvlText w:val="■"/>
      <w:lvlJc w:val="left"/>
      <w:pPr>
        <w:ind w:left="4320" w:hanging="360"/>
      </w:pPr>
    </w:lvl>
    <w:lvl w:ilvl="6" w:tplc="82D6B924">
      <w:start w:val="1"/>
      <w:numFmt w:val="bullet"/>
      <w:lvlText w:val="●"/>
      <w:lvlJc w:val="left"/>
      <w:pPr>
        <w:ind w:left="5040" w:hanging="360"/>
      </w:pPr>
    </w:lvl>
    <w:lvl w:ilvl="7" w:tplc="0EE83EF0">
      <w:start w:val="1"/>
      <w:numFmt w:val="bullet"/>
      <w:lvlText w:val="●"/>
      <w:lvlJc w:val="left"/>
      <w:pPr>
        <w:ind w:left="5760" w:hanging="360"/>
      </w:pPr>
    </w:lvl>
    <w:lvl w:ilvl="8" w:tplc="0D5E0F40">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footnotePr>
    <w:footnote w:id="-1"/>
    <w:footnote w:id="0"/>
  </w:footnotePr>
  <w:endnotePr>
    <w:endnote w:id="-1"/>
    <w:endnote w:id="0"/>
  </w:endnotePr>
  <w:compat/>
  <w:rsids>
    <w:rsidRoot w:val="00AF4ADE"/>
    <w:rsid w:val="007A1FDA"/>
    <w:rsid w:val="007B2E22"/>
    <w:rsid w:val="007D1E05"/>
    <w:rsid w:val="008768D0"/>
    <w:rsid w:val="009856EB"/>
    <w:rsid w:val="00AF4AD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19"/>
        <w:szCs w:val="19"/>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56EB"/>
  </w:style>
  <w:style w:type="paragraph" w:styleId="Heading1">
    <w:name w:val="heading 1"/>
    <w:qFormat/>
    <w:rsid w:val="00AF4ADE"/>
    <w:pPr>
      <w:outlineLvl w:val="0"/>
    </w:pPr>
    <w:rPr>
      <w:color w:val="2E74B5"/>
      <w:sz w:val="32"/>
      <w:szCs w:val="32"/>
    </w:rPr>
  </w:style>
  <w:style w:type="paragraph" w:styleId="Heading2">
    <w:name w:val="heading 2"/>
    <w:qFormat/>
    <w:rsid w:val="00AF4ADE"/>
    <w:pPr>
      <w:outlineLvl w:val="1"/>
    </w:pPr>
    <w:rPr>
      <w:color w:val="2E74B5"/>
      <w:sz w:val="26"/>
      <w:szCs w:val="26"/>
    </w:rPr>
  </w:style>
  <w:style w:type="paragraph" w:styleId="Heading3">
    <w:name w:val="heading 3"/>
    <w:qFormat/>
    <w:rsid w:val="00AF4ADE"/>
    <w:pPr>
      <w:outlineLvl w:val="2"/>
    </w:pPr>
    <w:rPr>
      <w:color w:val="1F4D78"/>
      <w:sz w:val="24"/>
      <w:szCs w:val="24"/>
    </w:rPr>
  </w:style>
  <w:style w:type="paragraph" w:styleId="Heading4">
    <w:name w:val="heading 4"/>
    <w:qFormat/>
    <w:rsid w:val="00AF4ADE"/>
    <w:pPr>
      <w:outlineLvl w:val="3"/>
    </w:pPr>
    <w:rPr>
      <w:i/>
      <w:iCs/>
      <w:color w:val="2E74B5"/>
    </w:rPr>
  </w:style>
  <w:style w:type="paragraph" w:styleId="Heading5">
    <w:name w:val="heading 5"/>
    <w:qFormat/>
    <w:rsid w:val="00AF4ADE"/>
    <w:pPr>
      <w:outlineLvl w:val="4"/>
    </w:pPr>
    <w:rPr>
      <w:color w:val="2E74B5"/>
    </w:rPr>
  </w:style>
  <w:style w:type="paragraph" w:styleId="Heading6">
    <w:name w:val="heading 6"/>
    <w:qFormat/>
    <w:rsid w:val="00AF4ADE"/>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AF4ADE"/>
    <w:rPr>
      <w:sz w:val="56"/>
      <w:szCs w:val="56"/>
    </w:rPr>
  </w:style>
  <w:style w:type="paragraph" w:customStyle="1" w:styleId="Strong1">
    <w:name w:val="Strong1"/>
    <w:qFormat/>
    <w:rsid w:val="00AF4ADE"/>
    <w:rPr>
      <w:b/>
      <w:bCs/>
    </w:rPr>
  </w:style>
  <w:style w:type="paragraph" w:styleId="ListParagraph">
    <w:name w:val="List Paragraph"/>
    <w:qFormat/>
    <w:rsid w:val="00AF4ADE"/>
  </w:style>
  <w:style w:type="character" w:styleId="Hyperlink">
    <w:name w:val="Hyperlink"/>
    <w:uiPriority w:val="99"/>
    <w:unhideWhenUsed/>
    <w:rsid w:val="00AF4ADE"/>
    <w:rPr>
      <w:color w:val="0563C1"/>
      <w:u w:val="single"/>
    </w:rPr>
  </w:style>
  <w:style w:type="character" w:styleId="FootnoteReference">
    <w:name w:val="footnote reference"/>
    <w:uiPriority w:val="99"/>
    <w:semiHidden/>
    <w:unhideWhenUsed/>
    <w:rsid w:val="00AF4ADE"/>
    <w:rPr>
      <w:vertAlign w:val="superscript"/>
    </w:rPr>
  </w:style>
  <w:style w:type="paragraph" w:styleId="FootnoteText">
    <w:name w:val="footnote text"/>
    <w:link w:val="FootnoteTextChar"/>
    <w:uiPriority w:val="99"/>
    <w:semiHidden/>
    <w:unhideWhenUsed/>
    <w:rsid w:val="00AF4ADE"/>
    <w:rPr>
      <w:sz w:val="20"/>
      <w:szCs w:val="20"/>
    </w:rPr>
  </w:style>
  <w:style w:type="character" w:customStyle="1" w:styleId="FootnoteTextChar">
    <w:name w:val="Footnote Text Char"/>
    <w:link w:val="FootnoteText"/>
    <w:uiPriority w:val="99"/>
    <w:semiHidden/>
    <w:unhideWhenUsed/>
    <w:rsid w:val="00AF4ADE"/>
    <w:rPr>
      <w:sz w:val="20"/>
      <w:szCs w:val="20"/>
    </w:rPr>
  </w:style>
  <w:style w:type="character" w:styleId="EndnoteReference">
    <w:name w:val="endnote reference"/>
    <w:uiPriority w:val="99"/>
    <w:semiHidden/>
    <w:unhideWhenUsed/>
    <w:rsid w:val="00AF4ADE"/>
    <w:rPr>
      <w:vertAlign w:val="superscript"/>
    </w:rPr>
  </w:style>
  <w:style w:type="paragraph" w:styleId="EndnoteText">
    <w:name w:val="endnote text"/>
    <w:link w:val="EndnoteTextChar"/>
    <w:uiPriority w:val="99"/>
    <w:semiHidden/>
    <w:unhideWhenUsed/>
    <w:rsid w:val="00AF4ADE"/>
    <w:rPr>
      <w:sz w:val="20"/>
      <w:szCs w:val="20"/>
    </w:rPr>
  </w:style>
  <w:style w:type="character" w:customStyle="1" w:styleId="EndnoteTextChar">
    <w:name w:val="Endnote Text Char"/>
    <w:link w:val="EndnoteText"/>
    <w:uiPriority w:val="99"/>
    <w:semiHidden/>
    <w:unhideWhenUsed/>
    <w:rsid w:val="00AF4ADE"/>
    <w:rPr>
      <w:sz w:val="20"/>
      <w:szCs w:val="20"/>
    </w:rPr>
  </w:style>
  <w:style w:type="paragraph" w:styleId="BalloonText">
    <w:name w:val="Balloon Text"/>
    <w:basedOn w:val="Normal"/>
    <w:link w:val="BalloonTextChar"/>
    <w:uiPriority w:val="99"/>
    <w:semiHidden/>
    <w:unhideWhenUsed/>
    <w:rsid w:val="007D1E05"/>
    <w:rPr>
      <w:rFonts w:ascii="Tahoma" w:hAnsi="Tahoma" w:cs="Tahoma"/>
      <w:sz w:val="16"/>
      <w:szCs w:val="16"/>
    </w:rPr>
  </w:style>
  <w:style w:type="character" w:customStyle="1" w:styleId="BalloonTextChar">
    <w:name w:val="Balloon Text Char"/>
    <w:basedOn w:val="DefaultParagraphFont"/>
    <w:link w:val="BalloonText"/>
    <w:uiPriority w:val="99"/>
    <w:semiHidden/>
    <w:rsid w:val="007D1E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885</Words>
  <Characters>5050</Characters>
  <Application>Microsoft Office Word</Application>
  <DocSecurity>0</DocSecurity>
  <Lines>42</Lines>
  <Paragraphs>11</Paragraphs>
  <ScaleCrop>false</ScaleCrop>
  <Company>Grizli777</Company>
  <LinksUpToDate>false</LinksUpToDate>
  <CharactersWithSpaces>5924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James Stanley</cp:lastModifiedBy>
  <cp:revision>3</cp:revision>
  <dcterms:created xsi:type="dcterms:W3CDTF">2026-06-22T07:40:00Z</dcterms:created>
  <dcterms:modified xsi:type="dcterms:W3CDTF">2026-06-22T07:41:00Z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