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E0C" w:rsidRDefault="009770B7">
      <w:pPr>
        <w:spacing w:before="100" w:after="40"/>
      </w:pPr>
      <w:r>
        <w:rPr>
          <w:b/>
          <w:bCs/>
          <w:color w:val="1B3A6B"/>
          <w:sz w:val="30"/>
          <w:szCs w:val="30"/>
        </w:rPr>
        <w:t>HEALTHBRIDGE OCCUPATIONAL HEALTH</w:t>
      </w:r>
    </w:p>
    <w:p w:rsidR="007C7E0C" w:rsidRDefault="009770B7">
      <w:pPr>
        <w:spacing w:after="60"/>
      </w:pPr>
      <w:r>
        <w:rPr>
          <w:b/>
          <w:bCs/>
          <w:color w:val="1B3A6B"/>
          <w:sz w:val="24"/>
          <w:szCs w:val="24"/>
        </w:rPr>
        <w:t>Occupational Health Assessment Report</w:t>
      </w:r>
    </w:p>
    <w:p w:rsidR="007C7E0C" w:rsidRDefault="006D5B16">
      <w:pPr>
        <w:pBdr>
          <w:bottom w:val="thick" w:sz="10" w:space="3" w:color="1B3A6B"/>
        </w:pBdr>
        <w:spacing w:after="160"/>
      </w:pPr>
      <w:r>
        <w:rPr>
          <w:b/>
          <w:bCs/>
          <w:color w:val="6B7280"/>
          <w:sz w:val="18"/>
          <w:szCs w:val="18"/>
        </w:rPr>
        <w:t>CONFIDENTIAL -</w:t>
      </w:r>
      <w:r w:rsidR="009770B7">
        <w:rPr>
          <w:b/>
          <w:bCs/>
          <w:color w:val="6B7280"/>
          <w:sz w:val="18"/>
          <w:szCs w:val="18"/>
        </w:rPr>
        <w:t xml:space="preserve"> Occupational Health Use Only</w:t>
      </w:r>
    </w:p>
    <w:p w:rsidR="007C7E0C" w:rsidRDefault="007C7E0C">
      <w:pPr>
        <w:spacing w:before="8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400"/>
        <w:gridCol w:w="6626"/>
      </w:tblGrid>
      <w:tr w:rsidR="007C7E0C">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7C7E0C" w:rsidRDefault="009770B7">
            <w:r>
              <w:rPr>
                <w:b/>
                <w:bCs/>
                <w:color w:val="FFFFFF"/>
              </w:rPr>
              <w:t>Employee</w:t>
            </w:r>
          </w:p>
        </w:tc>
        <w:tc>
          <w:tcPr>
            <w:tcW w:w="66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7C7E0C" w:rsidRDefault="009770B7">
            <w:r>
              <w:t>Claire R.</w:t>
            </w:r>
          </w:p>
        </w:tc>
      </w:tr>
      <w:tr w:rsidR="007C7E0C">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7C7E0C" w:rsidRDefault="009770B7">
            <w:r>
              <w:rPr>
                <w:b/>
                <w:bCs/>
                <w:color w:val="FFFFFF"/>
              </w:rPr>
              <w:t>Date of Birth</w:t>
            </w:r>
          </w:p>
        </w:tc>
        <w:tc>
          <w:tcPr>
            <w:tcW w:w="66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7C7E0C" w:rsidRDefault="009770B7">
            <w:r>
              <w:t>22/05/1979</w:t>
            </w:r>
          </w:p>
        </w:tc>
      </w:tr>
      <w:tr w:rsidR="007C7E0C">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7C7E0C" w:rsidRDefault="009770B7">
            <w:r>
              <w:rPr>
                <w:b/>
                <w:bCs/>
                <w:color w:val="FFFFFF"/>
              </w:rPr>
              <w:t>Employer</w:t>
            </w:r>
          </w:p>
        </w:tc>
        <w:tc>
          <w:tcPr>
            <w:tcW w:w="66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7C7E0C" w:rsidRDefault="009770B7">
            <w:proofErr w:type="spellStart"/>
            <w:r>
              <w:t>Thornfield</w:t>
            </w:r>
            <w:proofErr w:type="spellEnd"/>
            <w:r>
              <w:t xml:space="preserve"> Medical Practice</w:t>
            </w:r>
          </w:p>
        </w:tc>
      </w:tr>
      <w:tr w:rsidR="007C7E0C">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7C7E0C" w:rsidRDefault="009770B7">
            <w:r>
              <w:rPr>
                <w:b/>
                <w:bCs/>
                <w:color w:val="FFFFFF"/>
              </w:rPr>
              <w:t>Role</w:t>
            </w:r>
          </w:p>
        </w:tc>
        <w:tc>
          <w:tcPr>
            <w:tcW w:w="66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7C7E0C" w:rsidRDefault="009770B7">
            <w:r>
              <w:t>Lead Practice Nurse (vaccination clinics, long-term condition reviews, minor procedure assistance; supervises two Healthcare Assistants)</w:t>
            </w:r>
          </w:p>
        </w:tc>
      </w:tr>
      <w:tr w:rsidR="007C7E0C">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7C7E0C" w:rsidRDefault="009770B7">
            <w:r>
              <w:rPr>
                <w:b/>
                <w:bCs/>
                <w:color w:val="FFFFFF"/>
              </w:rPr>
              <w:t>Assessment Date</w:t>
            </w:r>
          </w:p>
        </w:tc>
        <w:tc>
          <w:tcPr>
            <w:tcW w:w="66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7C7E0C" w:rsidRDefault="009770B7">
            <w:r>
              <w:t>14/01/2026</w:t>
            </w:r>
          </w:p>
        </w:tc>
      </w:tr>
      <w:tr w:rsidR="007C7E0C">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7C7E0C" w:rsidRDefault="009770B7">
            <w:r>
              <w:rPr>
                <w:b/>
                <w:bCs/>
                <w:color w:val="FFFFFF"/>
              </w:rPr>
              <w:t>Assessment Type</w:t>
            </w:r>
          </w:p>
        </w:tc>
        <w:tc>
          <w:tcPr>
            <w:tcW w:w="66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7C7E0C" w:rsidRDefault="009770B7">
            <w:r>
              <w:t>Remote Consultation (Video)</w:t>
            </w:r>
          </w:p>
        </w:tc>
      </w:tr>
      <w:tr w:rsidR="007C7E0C">
        <w:tc>
          <w:tcPr>
            <w:tcW w:w="24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7C7E0C" w:rsidRDefault="009770B7">
            <w:r>
              <w:rPr>
                <w:b/>
                <w:bCs/>
                <w:color w:val="FFFFFF"/>
              </w:rPr>
              <w:t>Clinician</w:t>
            </w:r>
          </w:p>
        </w:tc>
        <w:tc>
          <w:tcPr>
            <w:tcW w:w="66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7C7E0C" w:rsidRDefault="009770B7">
            <w:r>
              <w:t>Dr James Stanley, GP providing Occupational Health Services (GMC: 7285162)</w:t>
            </w:r>
          </w:p>
        </w:tc>
      </w:tr>
    </w:tbl>
    <w:p w:rsidR="007C7E0C" w:rsidRDefault="007C7E0C">
      <w:pPr>
        <w:spacing w:before="140"/>
      </w:pPr>
    </w:p>
    <w:p w:rsidR="007C7E0C" w:rsidRDefault="009770B7">
      <w:pPr>
        <w:keepNext/>
        <w:spacing w:before="320" w:after="100"/>
      </w:pPr>
      <w:r>
        <w:rPr>
          <w:b/>
          <w:bCs/>
          <w:color w:val="1B3A6B"/>
          <w:sz w:val="24"/>
          <w:szCs w:val="24"/>
        </w:rPr>
        <w:t>1.  Reason for Referral</w:t>
      </w:r>
    </w:p>
    <w:p w:rsidR="007C7E0C" w:rsidRDefault="007C7E0C">
      <w:pPr>
        <w:keepNext/>
        <w:pBdr>
          <w:bottom w:val="single" w:sz="5" w:space="1" w:color="1B3A6B"/>
        </w:pBdr>
        <w:spacing w:before="40" w:after="140"/>
      </w:pPr>
    </w:p>
    <w:p w:rsidR="007C7E0C" w:rsidRDefault="009770B7">
      <w:pPr>
        <w:spacing w:before="60" w:after="90"/>
      </w:pPr>
      <w:r>
        <w:rPr>
          <w:color w:val="1A1A2E"/>
        </w:rPr>
        <w:t>Claire was referred for an occupational health assessment following a sustained dip in performance and two short-notice absences over the preceding month. The immediate trigger was the sudden death of Claire's mother approximately seven weeks ago, against a background of a pre-existing, previously well-controlled generalised anxiety disorder. The employer is seeking advice on Claire's fitness to continue in a patient-facing clinical role, whether any interim safeguards are needed around clinical tasks, and the likely timescale for a full return to her previous level of function.</w:t>
      </w:r>
    </w:p>
    <w:p w:rsidR="007C7E0C" w:rsidRDefault="007C7E0C">
      <w:pPr>
        <w:spacing w:before="120"/>
      </w:pPr>
    </w:p>
    <w:p w:rsidR="007C7E0C" w:rsidRDefault="009770B7">
      <w:pPr>
        <w:keepNext/>
        <w:spacing w:before="320" w:after="100"/>
      </w:pPr>
      <w:r>
        <w:rPr>
          <w:b/>
          <w:bCs/>
          <w:color w:val="1B3A6B"/>
          <w:sz w:val="24"/>
          <w:szCs w:val="24"/>
        </w:rPr>
        <w:t>2.  Specific Questions Addressed (as Agreed with the Referring Employer)</w:t>
      </w:r>
    </w:p>
    <w:p w:rsidR="007C7E0C" w:rsidRDefault="007C7E0C">
      <w:pPr>
        <w:keepNext/>
        <w:pBdr>
          <w:bottom w:val="single" w:sz="5" w:space="1" w:color="1B3A6B"/>
        </w:pBdr>
        <w:spacing w:before="40" w:after="140"/>
      </w:pPr>
    </w:p>
    <w:p w:rsidR="007C7E0C" w:rsidRPr="006D5B16" w:rsidRDefault="009770B7">
      <w:pPr>
        <w:pStyle w:val="ListParagraph"/>
        <w:numPr>
          <w:ilvl w:val="0"/>
          <w:numId w:val="2"/>
        </w:numPr>
        <w:spacing w:before="30" w:after="30"/>
      </w:pPr>
      <w:r>
        <w:rPr>
          <w:b/>
          <w:bCs/>
          <w:color w:val="1A1A2E"/>
        </w:rPr>
        <w:t>Q1: Is Claire currently fit to continue independently administering vaccinations and assisting with minor procedures, or should these tasks be undertaken with additional supervision in the short term?</w:t>
      </w:r>
    </w:p>
    <w:p w:rsidR="006D5B16" w:rsidRDefault="006D5B16" w:rsidP="006D5B16">
      <w:pPr>
        <w:pStyle w:val="ListParagraph"/>
        <w:spacing w:before="30" w:after="30"/>
        <w:ind w:left="320"/>
      </w:pPr>
    </w:p>
    <w:p w:rsidR="007C7E0C" w:rsidRDefault="009770B7">
      <w:pPr>
        <w:spacing w:before="60" w:after="90"/>
      </w:pPr>
      <w:r>
        <w:rPr>
          <w:color w:val="1A1A2E"/>
        </w:rPr>
        <w:t>A1: Claire remains fit to continue in her clinical role. In light of two recent checking-related incidents associated with reduced concentration, I recommend a temporary second-checker arrangement for vaccine administration, medication-related tasks, and minor procedure assistance. This is a precautionary clinical safeguard rather than a reflection of any sustained competency concern, and should be reviewed within four weeks.</w:t>
      </w:r>
    </w:p>
    <w:p w:rsidR="007C7E0C" w:rsidRDefault="007C7E0C">
      <w:pPr>
        <w:spacing w:before="120"/>
      </w:pPr>
    </w:p>
    <w:p w:rsidR="007C7E0C" w:rsidRPr="006D5B16" w:rsidRDefault="009770B7">
      <w:pPr>
        <w:pStyle w:val="ListParagraph"/>
        <w:numPr>
          <w:ilvl w:val="0"/>
          <w:numId w:val="2"/>
        </w:numPr>
        <w:spacing w:before="30" w:after="30"/>
      </w:pPr>
      <w:r>
        <w:rPr>
          <w:b/>
          <w:bCs/>
          <w:color w:val="1A1A2E"/>
        </w:rPr>
        <w:t>Q2: Does Claire's underlying anxiety disorder meet the definition of disability under the Equality Act 2010, and does this have implications beyond the current bereavement period?</w:t>
      </w:r>
    </w:p>
    <w:p w:rsidR="006D5B16" w:rsidRDefault="006D5B16" w:rsidP="006D5B16">
      <w:pPr>
        <w:pStyle w:val="ListParagraph"/>
        <w:spacing w:before="30" w:after="30"/>
        <w:ind w:left="320"/>
      </w:pPr>
    </w:p>
    <w:p w:rsidR="007C7E0C" w:rsidRDefault="009770B7">
      <w:pPr>
        <w:spacing w:before="60" w:after="90"/>
      </w:pPr>
      <w:r>
        <w:rPr>
          <w:color w:val="1A1A2E"/>
        </w:rPr>
        <w:t>A</w:t>
      </w:r>
      <w:r w:rsidR="006D5B16">
        <w:rPr>
          <w:color w:val="1A1A2E"/>
        </w:rPr>
        <w:t>2: In my clinical opinion, yes,</w:t>
      </w:r>
      <w:r>
        <w:rPr>
          <w:color w:val="1A1A2E"/>
        </w:rPr>
        <w:t xml:space="preserve"> see Section 6 for full reasoning. This matters because the duty to consider reasonable adjustments is not limited to the acute grief period and may need to remain live, on a lower level, on an ongoing basis.</w:t>
      </w:r>
    </w:p>
    <w:p w:rsidR="007C7E0C" w:rsidRDefault="007C7E0C">
      <w:pPr>
        <w:spacing w:before="120"/>
      </w:pPr>
    </w:p>
    <w:p w:rsidR="007C7E0C" w:rsidRDefault="009770B7">
      <w:pPr>
        <w:pStyle w:val="ListParagraph"/>
        <w:numPr>
          <w:ilvl w:val="0"/>
          <w:numId w:val="2"/>
        </w:numPr>
        <w:spacing w:before="30" w:after="30"/>
      </w:pPr>
      <w:r>
        <w:rPr>
          <w:b/>
          <w:bCs/>
          <w:color w:val="1A1A2E"/>
        </w:rPr>
        <w:t>Q3: What is a realistic timescale before Claire can resume fully independent clinical duties without additional safeguards?</w:t>
      </w:r>
    </w:p>
    <w:p w:rsidR="006D5B16" w:rsidRDefault="006D5B16">
      <w:pPr>
        <w:spacing w:before="60" w:after="90"/>
        <w:rPr>
          <w:color w:val="1A1A2E"/>
        </w:rPr>
      </w:pPr>
    </w:p>
    <w:p w:rsidR="006D5B16" w:rsidRDefault="006D5B16">
      <w:pPr>
        <w:spacing w:before="60" w:after="90"/>
        <w:rPr>
          <w:color w:val="1A1A2E"/>
        </w:rPr>
      </w:pPr>
    </w:p>
    <w:p w:rsidR="007C7E0C" w:rsidRDefault="009770B7">
      <w:pPr>
        <w:spacing w:before="60" w:after="90"/>
      </w:pPr>
      <w:r>
        <w:rPr>
          <w:color w:val="1A1A2E"/>
        </w:rPr>
        <w:t>A3: On current presentation, this appears achievable within six to eight weeks, subject to a positive OH review confirming sustained improvement in concentration and emotional regulation. An interim review is recommended at four weeks.</w:t>
      </w:r>
    </w:p>
    <w:p w:rsidR="007C7E0C" w:rsidRDefault="007C7E0C">
      <w:pPr>
        <w:spacing w:before="120"/>
      </w:pPr>
    </w:p>
    <w:p w:rsidR="007C7E0C" w:rsidRDefault="009770B7">
      <w:pPr>
        <w:keepNext/>
        <w:spacing w:before="320" w:after="100"/>
      </w:pPr>
      <w:r>
        <w:rPr>
          <w:b/>
          <w:bCs/>
          <w:color w:val="1B3A6B"/>
          <w:sz w:val="24"/>
          <w:szCs w:val="24"/>
        </w:rPr>
        <w:t>3.  Role and Employment Context</w:t>
      </w:r>
    </w:p>
    <w:p w:rsidR="007C7E0C" w:rsidRDefault="007C7E0C">
      <w:pPr>
        <w:keepNext/>
        <w:pBdr>
          <w:bottom w:val="single" w:sz="5" w:space="1" w:color="1B3A6B"/>
        </w:pBdr>
        <w:spacing w:before="40" w:after="140"/>
      </w:pPr>
    </w:p>
    <w:p w:rsidR="007C7E0C" w:rsidRDefault="009770B7">
      <w:pPr>
        <w:pStyle w:val="ListParagraph"/>
        <w:numPr>
          <w:ilvl w:val="0"/>
          <w:numId w:val="2"/>
        </w:numPr>
        <w:spacing w:before="30" w:after="30"/>
      </w:pPr>
      <w:r>
        <w:rPr>
          <w:color w:val="1A1A2E"/>
        </w:rPr>
        <w:t>Full-time, 37.5 hours per week across four clinical shifts, including occasional early starts for vaccination clinics; the role is fully site-based and does not offer remote or hybrid working given its clinical nature.</w:t>
      </w:r>
    </w:p>
    <w:p w:rsidR="007C7E0C" w:rsidRDefault="009770B7">
      <w:pPr>
        <w:pStyle w:val="ListParagraph"/>
        <w:numPr>
          <w:ilvl w:val="0"/>
          <w:numId w:val="2"/>
        </w:numPr>
        <w:spacing w:before="30" w:after="30"/>
      </w:pPr>
      <w:r>
        <w:rPr>
          <w:color w:val="1A1A2E"/>
        </w:rPr>
        <w:t xml:space="preserve">Nine years' service at </w:t>
      </w:r>
      <w:proofErr w:type="spellStart"/>
      <w:r>
        <w:rPr>
          <w:color w:val="1A1A2E"/>
        </w:rPr>
        <w:t>Thornfield</w:t>
      </w:r>
      <w:proofErr w:type="spellEnd"/>
      <w:r>
        <w:rPr>
          <w:color w:val="1A1A2E"/>
        </w:rPr>
        <w:t xml:space="preserve"> Medical Practice, the last three years in the Lead Practice Nurse role; reports to the Practice Manager, with day-to-day clinical supervision from the lead GP partner. Claire in turn supervises two Healthcare Assistants.</w:t>
      </w:r>
    </w:p>
    <w:p w:rsidR="007C7E0C" w:rsidRDefault="009770B7">
      <w:pPr>
        <w:pStyle w:val="ListParagraph"/>
        <w:numPr>
          <w:ilvl w:val="0"/>
          <w:numId w:val="2"/>
        </w:numPr>
        <w:spacing w:before="30" w:after="30"/>
      </w:pPr>
      <w:r>
        <w:rPr>
          <w:color w:val="1A1A2E"/>
        </w:rPr>
        <w:t>Core duties: vaccination clinics, long-term condition reviews (diabetes, asthma, hypertension), assisting with minor procedures, and clinical supervision of the HCA team.</w:t>
      </w:r>
    </w:p>
    <w:p w:rsidR="007C7E0C" w:rsidRDefault="009770B7">
      <w:pPr>
        <w:pStyle w:val="ListParagraph"/>
        <w:numPr>
          <w:ilvl w:val="0"/>
          <w:numId w:val="2"/>
        </w:numPr>
        <w:spacing w:before="30" w:after="30"/>
      </w:pPr>
      <w:r>
        <w:rPr>
          <w:color w:val="1A1A2E"/>
        </w:rPr>
        <w:t>Previous OH involvement: Claire was referred to HealthBridge approximately 14 months ago following a manual handling injury, resulting in a temporary lifting restriction (avoid loads over 10kg) for six weeks. This resolved fully with no ongoing adjustment and is unrelated to the current referral.</w:t>
      </w:r>
    </w:p>
    <w:p w:rsidR="007C7E0C" w:rsidRDefault="009770B7">
      <w:pPr>
        <w:pStyle w:val="ListParagraph"/>
        <w:numPr>
          <w:ilvl w:val="0"/>
          <w:numId w:val="2"/>
        </w:numPr>
        <w:spacing w:before="30" w:after="30"/>
      </w:pPr>
      <w:r>
        <w:rPr>
          <w:color w:val="1A1A2E"/>
        </w:rPr>
        <w:t>No formal occupational health adjustments were in place immediately prior to this referral; the informal phased return arranged by her line manager following the bereavement (see Section 4) had not been formalised through OH.</w:t>
      </w:r>
    </w:p>
    <w:p w:rsidR="007C7E0C" w:rsidRDefault="007C7E0C">
      <w:pPr>
        <w:spacing w:before="120"/>
      </w:pPr>
    </w:p>
    <w:p w:rsidR="007C7E0C" w:rsidRDefault="009770B7">
      <w:pPr>
        <w:keepNext/>
        <w:spacing w:before="320" w:after="100"/>
      </w:pPr>
      <w:r>
        <w:rPr>
          <w:b/>
          <w:bCs/>
          <w:color w:val="1B3A6B"/>
          <w:sz w:val="24"/>
          <w:szCs w:val="24"/>
        </w:rPr>
        <w:t>4.  Medical Summary (As Disclosed by Employee)</w:t>
      </w:r>
    </w:p>
    <w:p w:rsidR="007C7E0C" w:rsidRDefault="007C7E0C">
      <w:pPr>
        <w:keepNext/>
        <w:pBdr>
          <w:bottom w:val="single" w:sz="5" w:space="1" w:color="1B3A6B"/>
        </w:pBdr>
        <w:spacing w:before="40" w:after="140"/>
      </w:pPr>
    </w:p>
    <w:p w:rsidR="007C7E0C" w:rsidRDefault="009770B7">
      <w:pPr>
        <w:pStyle w:val="ListParagraph"/>
        <w:numPr>
          <w:ilvl w:val="0"/>
          <w:numId w:val="2"/>
        </w:numPr>
        <w:spacing w:before="30" w:after="30"/>
      </w:pPr>
      <w:r>
        <w:rPr>
          <w:color w:val="1A1A2E"/>
        </w:rPr>
        <w:t xml:space="preserve">Diagnosed with generalised anxiety disorder approximately 18 months ago by her own GP; previously well controlled on </w:t>
      </w:r>
      <w:proofErr w:type="spellStart"/>
      <w:r>
        <w:rPr>
          <w:color w:val="1A1A2E"/>
        </w:rPr>
        <w:t>sertraline</w:t>
      </w:r>
      <w:proofErr w:type="spellEnd"/>
      <w:r>
        <w:rPr>
          <w:color w:val="1A1A2E"/>
        </w:rPr>
        <w:t xml:space="preserve"> 50mg daily, with a course of low-intensity CBT via NHS Talking Therapies completed around 12 months ago and a good response reported at the time.</w:t>
      </w:r>
    </w:p>
    <w:p w:rsidR="007C7E0C" w:rsidRDefault="009770B7">
      <w:pPr>
        <w:pStyle w:val="ListParagraph"/>
        <w:numPr>
          <w:ilvl w:val="0"/>
          <w:numId w:val="2"/>
        </w:numPr>
        <w:spacing w:before="30" w:after="30"/>
      </w:pPr>
      <w:r>
        <w:rPr>
          <w:color w:val="1A1A2E"/>
        </w:rPr>
        <w:t>Claire's mother died unexpectedly (a cardiac event) approximately seven weeks ago. Since then she describes a marked flare in anxiety symptoms layered on top of acute grief: poor concentration, intrusive tearfulness, disrupted sleep (aver</w:t>
      </w:r>
      <w:r w:rsidR="006D5B16">
        <w:rPr>
          <w:color w:val="1A1A2E"/>
        </w:rPr>
        <w:t>aging 3-</w:t>
      </w:r>
      <w:r>
        <w:rPr>
          <w:color w:val="1A1A2E"/>
        </w:rPr>
        <w:t>4 hours per night), intermittent panic-type episodes, and reduced appetite.</w:t>
      </w:r>
    </w:p>
    <w:p w:rsidR="007C7E0C" w:rsidRDefault="009770B7">
      <w:pPr>
        <w:pStyle w:val="ListParagraph"/>
        <w:numPr>
          <w:ilvl w:val="0"/>
          <w:numId w:val="2"/>
        </w:numPr>
        <w:spacing w:before="30" w:after="30"/>
      </w:pPr>
      <w:r>
        <w:rPr>
          <w:color w:val="1A1A2E"/>
        </w:rPr>
        <w:t xml:space="preserve">Her own GP increased </w:t>
      </w:r>
      <w:proofErr w:type="spellStart"/>
      <w:r>
        <w:rPr>
          <w:color w:val="1A1A2E"/>
        </w:rPr>
        <w:t>sertraline</w:t>
      </w:r>
      <w:proofErr w:type="spellEnd"/>
      <w:r>
        <w:rPr>
          <w:color w:val="1A1A2E"/>
        </w:rPr>
        <w:t xml:space="preserve"> to 100mg daily three weeks ago and prescribed a short, 7-day course of </w:t>
      </w:r>
      <w:proofErr w:type="spellStart"/>
      <w:r>
        <w:rPr>
          <w:color w:val="1A1A2E"/>
        </w:rPr>
        <w:t>zopiclone</w:t>
      </w:r>
      <w:proofErr w:type="spellEnd"/>
      <w:r>
        <w:rPr>
          <w:color w:val="1A1A2E"/>
        </w:rPr>
        <w:t xml:space="preserve"> for acute insomnia; this course is now complete and Claire is not currently taking any sedative medication.</w:t>
      </w:r>
    </w:p>
    <w:p w:rsidR="007C7E0C" w:rsidRDefault="009770B7">
      <w:pPr>
        <w:pStyle w:val="ListParagraph"/>
        <w:numPr>
          <w:ilvl w:val="0"/>
          <w:numId w:val="2"/>
        </w:numPr>
        <w:spacing w:before="30" w:after="30"/>
      </w:pPr>
      <w:r>
        <w:rPr>
          <w:color w:val="1A1A2E"/>
        </w:rPr>
        <w:t>Claire has self-referred back to NHS Talking Therapies for additional CBT sessions and is awaiting an assessment appointment.</w:t>
      </w:r>
    </w:p>
    <w:p w:rsidR="007C7E0C" w:rsidRDefault="009770B7">
      <w:pPr>
        <w:pStyle w:val="ListParagraph"/>
        <w:numPr>
          <w:ilvl w:val="0"/>
          <w:numId w:val="2"/>
        </w:numPr>
        <w:spacing w:before="30" w:after="30"/>
      </w:pPr>
      <w:r>
        <w:rPr>
          <w:color w:val="1A1A2E"/>
        </w:rPr>
        <w:t xml:space="preserve">She explicitly denies suicidal ideation, self-harm, psychotic symptoms, or harmful substance use. Appropriate safety-netting advice has already been given by </w:t>
      </w:r>
      <w:proofErr w:type="gramStart"/>
      <w:r>
        <w:rPr>
          <w:color w:val="1A1A2E"/>
        </w:rPr>
        <w:t>her own</w:t>
      </w:r>
      <w:proofErr w:type="gramEnd"/>
      <w:r>
        <w:rPr>
          <w:color w:val="1A1A2E"/>
        </w:rPr>
        <w:t xml:space="preserve"> GP and was reinforced during this assessment.</w:t>
      </w:r>
    </w:p>
    <w:p w:rsidR="007C7E0C" w:rsidRDefault="009770B7">
      <w:pPr>
        <w:pStyle w:val="ListParagraph"/>
        <w:numPr>
          <w:ilvl w:val="0"/>
          <w:numId w:val="2"/>
        </w:numPr>
        <w:spacing w:before="30" w:after="30"/>
      </w:pPr>
      <w:r>
        <w:rPr>
          <w:color w:val="1A1A2E"/>
        </w:rPr>
        <w:t>Absence history in the relevant period: a two-week fit note immediately following the bereavement, followed by an informal phased return agreed locally with her line manager, plus two further single-day absences coded as stress-related.</w:t>
      </w:r>
    </w:p>
    <w:p w:rsidR="007C7E0C" w:rsidRDefault="009770B7">
      <w:pPr>
        <w:pStyle w:val="ListParagraph"/>
        <w:numPr>
          <w:ilvl w:val="0"/>
          <w:numId w:val="2"/>
        </w:numPr>
        <w:spacing w:before="30" w:after="30"/>
      </w:pPr>
      <w:r>
        <w:rPr>
          <w:color w:val="1A1A2E"/>
        </w:rPr>
        <w:t>Claire's own view: she wants to remain at work and finds the structure and routine of her role genuinely helpful to her wellbeing, but she is anxious about repeating two rec</w:t>
      </w:r>
      <w:r w:rsidR="006D5B16">
        <w:rPr>
          <w:color w:val="1A1A2E"/>
        </w:rPr>
        <w:t>ent checking-related incidents,</w:t>
      </w:r>
      <w:r>
        <w:rPr>
          <w:color w:val="1A1A2E"/>
        </w:rPr>
        <w:t xml:space="preserve"> an incorrect entry during a vaccination clinic and a near-mis</w:t>
      </w:r>
      <w:r w:rsidR="006D5B16">
        <w:rPr>
          <w:color w:val="1A1A2E"/>
        </w:rPr>
        <w:t xml:space="preserve">s in medication </w:t>
      </w:r>
      <w:proofErr w:type="gramStart"/>
      <w:r w:rsidR="006D5B16">
        <w:rPr>
          <w:color w:val="1A1A2E"/>
        </w:rPr>
        <w:t xml:space="preserve">reconciliation </w:t>
      </w:r>
      <w:r>
        <w:rPr>
          <w:color w:val="1A1A2E"/>
        </w:rPr>
        <w:t xml:space="preserve"> that</w:t>
      </w:r>
      <w:proofErr w:type="gramEnd"/>
      <w:r>
        <w:rPr>
          <w:color w:val="1A1A2E"/>
        </w:rPr>
        <w:t xml:space="preserve"> occurred during a period of acute distress.</w:t>
      </w:r>
    </w:p>
    <w:p w:rsidR="007C7E0C" w:rsidRDefault="007C7E0C">
      <w:pPr>
        <w:spacing w:before="120"/>
      </w:pPr>
    </w:p>
    <w:p w:rsidR="007C7E0C" w:rsidRDefault="009770B7">
      <w:pPr>
        <w:keepNext/>
        <w:spacing w:before="320" w:after="100"/>
      </w:pPr>
      <w:r>
        <w:rPr>
          <w:b/>
          <w:bCs/>
          <w:color w:val="1B3A6B"/>
          <w:sz w:val="24"/>
          <w:szCs w:val="24"/>
        </w:rPr>
        <w:t>5.  Functional Assessment</w:t>
      </w:r>
    </w:p>
    <w:p w:rsidR="007C7E0C" w:rsidRDefault="007C7E0C">
      <w:pPr>
        <w:keepNext/>
        <w:pBdr>
          <w:bottom w:val="single" w:sz="5" w:space="1" w:color="1B3A6B"/>
        </w:pBdr>
        <w:spacing w:before="40" w:after="140"/>
      </w:pPr>
    </w:p>
    <w:p w:rsidR="007C7E0C" w:rsidRDefault="009770B7">
      <w:pPr>
        <w:pStyle w:val="ListParagraph"/>
        <w:numPr>
          <w:ilvl w:val="0"/>
          <w:numId w:val="2"/>
        </w:numPr>
        <w:spacing w:before="30" w:after="30"/>
      </w:pPr>
      <w:r>
        <w:rPr>
          <w:color w:val="1A1A2E"/>
        </w:rPr>
        <w:t>Concentration is measurably reduced, particularly affecting dual-checking tasks such as vaccine batch and dose verification and medication reconciliation.</w:t>
      </w:r>
    </w:p>
    <w:p w:rsidR="007C7E0C" w:rsidRDefault="009770B7">
      <w:pPr>
        <w:pStyle w:val="ListParagraph"/>
        <w:numPr>
          <w:ilvl w:val="0"/>
          <w:numId w:val="2"/>
        </w:numPr>
        <w:spacing w:before="30" w:after="30"/>
      </w:pPr>
      <w:r>
        <w:rPr>
          <w:color w:val="1A1A2E"/>
        </w:rPr>
        <w:lastRenderedPageBreak/>
        <w:t>Emotional regulation is currently variable; Claire reports unpredictable tearfulness during consultations and has stepped out of two consultations in the past three weeks to compose herself.</w:t>
      </w:r>
    </w:p>
    <w:p w:rsidR="007C7E0C" w:rsidRDefault="009770B7">
      <w:pPr>
        <w:pStyle w:val="ListParagraph"/>
        <w:numPr>
          <w:ilvl w:val="0"/>
          <w:numId w:val="2"/>
        </w:numPr>
        <w:spacing w:before="30" w:after="30"/>
      </w:pPr>
      <w:r>
        <w:rPr>
          <w:color w:val="1A1A2E"/>
        </w:rPr>
        <w:t>No physical functional limitations reported or observed; no concerns regarding manual handling or mobility.</w:t>
      </w:r>
    </w:p>
    <w:p w:rsidR="007C7E0C" w:rsidRDefault="009770B7">
      <w:pPr>
        <w:pStyle w:val="ListParagraph"/>
        <w:numPr>
          <w:ilvl w:val="0"/>
          <w:numId w:val="2"/>
        </w:numPr>
        <w:spacing w:before="30" w:after="30"/>
      </w:pPr>
      <w:r>
        <w:rPr>
          <w:color w:val="1A1A2E"/>
        </w:rPr>
        <w:t>Fatigue secondary to disrupted sleep is moderate and most noticeable later in clinic sessions.</w:t>
      </w:r>
    </w:p>
    <w:p w:rsidR="007C7E0C" w:rsidRDefault="009770B7">
      <w:pPr>
        <w:pStyle w:val="ListParagraph"/>
        <w:numPr>
          <w:ilvl w:val="0"/>
          <w:numId w:val="2"/>
        </w:numPr>
        <w:spacing w:before="30" w:after="30"/>
      </w:pPr>
      <w:r>
        <w:rPr>
          <w:color w:val="1A1A2E"/>
        </w:rPr>
        <w:t>This is not a formally classified safety-critical role in the regulatory sense, but the clinical tasks involved (medication administration, vaccination, wound care) carry genuine patient-safety implications when concentration is impaired. This is reflected in the recommendations in Section 8 rather than in a fitness-for-work restriction.</w:t>
      </w:r>
    </w:p>
    <w:p w:rsidR="007C7E0C" w:rsidRDefault="007C7E0C">
      <w:pPr>
        <w:spacing w:before="120"/>
      </w:pPr>
    </w:p>
    <w:p w:rsidR="007C7E0C" w:rsidRDefault="009770B7">
      <w:pPr>
        <w:keepNext/>
        <w:spacing w:before="320" w:after="100"/>
      </w:pPr>
      <w:r>
        <w:rPr>
          <w:b/>
          <w:bCs/>
          <w:color w:val="1B3A6B"/>
          <w:sz w:val="24"/>
          <w:szCs w:val="24"/>
        </w:rPr>
        <w:t>6.  Equality Act 2010 Considerations</w:t>
      </w:r>
    </w:p>
    <w:p w:rsidR="007C7E0C" w:rsidRDefault="007C7E0C">
      <w:pPr>
        <w:keepNext/>
        <w:pBdr>
          <w:bottom w:val="single" w:sz="5" w:space="1" w:color="1B3A6B"/>
        </w:pBdr>
        <w:spacing w:before="40" w:after="140"/>
      </w:pPr>
    </w:p>
    <w:p w:rsidR="007C7E0C" w:rsidRDefault="009770B7">
      <w:pPr>
        <w:spacing w:before="60" w:after="90"/>
      </w:pPr>
      <w:r>
        <w:rPr>
          <w:color w:val="1A1A2E"/>
        </w:rPr>
        <w:t>Claire's diagnosed generalised anxiety disorder has been present for approximately 18 months and has required ongoing medication, alongside a period of psychological therapy. Day-to-day, the condition has been well controlled with treatment; however, the Equality Act 2010 (Schedule 1, paragraph 5) requires the question of substantial adverse effect to be assessed on the basis of the effect the condition would have without the ameliorating effect of medication or treatment. On that basis, and given the duration already exceeds 12 months with no indication that the underlying vulnerability has resolved, this condition is likely to meet the Equality Act 2010 definition of disability.</w:t>
      </w:r>
    </w:p>
    <w:p w:rsidR="007C7E0C" w:rsidRDefault="007C7E0C">
      <w:pPr>
        <w:spacing w:before="60"/>
      </w:pPr>
    </w:p>
    <w:p w:rsidR="007C7E0C" w:rsidRDefault="009770B7">
      <w:pPr>
        <w:spacing w:before="60" w:after="90"/>
      </w:pPr>
      <w:r>
        <w:rPr>
          <w:color w:val="1A1A2E"/>
        </w:rPr>
        <w:t>The acute bereavement reaction itself, considered in isolation, would not be expected to meet the 12-month duration threshold and is anticipated to improve over a period of weeks to months. However, because it is occurring in someone with an underlying condition that already meets the threshold, the current presentation should be considered against the backdrop of an existing duty to consider reasonable adjustments, rather than treated solely as a time-limited bereavement response.</w:t>
      </w:r>
    </w:p>
    <w:p w:rsidR="007C7E0C" w:rsidRDefault="007C7E0C">
      <w:pPr>
        <w:spacing w:before="120"/>
      </w:pPr>
    </w:p>
    <w:p w:rsidR="007C7E0C" w:rsidRDefault="009770B7">
      <w:pPr>
        <w:spacing w:before="60" w:after="90"/>
      </w:pPr>
      <w:r>
        <w:rPr>
          <w:i/>
          <w:iCs/>
          <w:color w:val="6B7280"/>
        </w:rPr>
        <w:t>HealthBridge does not make legal determinations of disability status. This is a clinical observation only, intended to assist the employer in considering whether reasonable adjustment duties may apply. The employer should seek their own legal advice if there is any uncertainty.</w:t>
      </w:r>
    </w:p>
    <w:p w:rsidR="007C7E0C" w:rsidRDefault="007C7E0C">
      <w:pPr>
        <w:spacing w:before="120"/>
      </w:pPr>
    </w:p>
    <w:p w:rsidR="007C7E0C" w:rsidRDefault="009770B7">
      <w:pPr>
        <w:keepNext/>
        <w:spacing w:before="320" w:after="100"/>
      </w:pPr>
      <w:r>
        <w:rPr>
          <w:b/>
          <w:bCs/>
          <w:color w:val="1B3A6B"/>
          <w:sz w:val="24"/>
          <w:szCs w:val="24"/>
        </w:rPr>
        <w:t>7.  Fitness for Work Opinion</w:t>
      </w:r>
    </w:p>
    <w:p w:rsidR="007C7E0C" w:rsidRDefault="007C7E0C">
      <w:pPr>
        <w:keepNext/>
        <w:pBdr>
          <w:bottom w:val="single" w:sz="5" w:space="1" w:color="1B3A6B"/>
        </w:pBdr>
        <w:spacing w:before="40" w:after="140"/>
      </w:pPr>
    </w:p>
    <w:p w:rsidR="007C7E0C" w:rsidRDefault="009770B7">
      <w:pPr>
        <w:spacing w:before="60" w:after="90"/>
      </w:pPr>
      <w:r>
        <w:rPr>
          <w:b/>
          <w:bCs/>
          <w:color w:val="1A1A2E"/>
        </w:rPr>
        <w:t>Fit for work, with adjustments.</w:t>
      </w:r>
    </w:p>
    <w:p w:rsidR="007C7E0C" w:rsidRDefault="007C7E0C">
      <w:pPr>
        <w:spacing w:before="120"/>
      </w:pPr>
    </w:p>
    <w:p w:rsidR="007C7E0C" w:rsidRDefault="009770B7">
      <w:pPr>
        <w:keepNext/>
        <w:spacing w:before="320" w:after="100"/>
      </w:pPr>
      <w:r>
        <w:rPr>
          <w:b/>
          <w:bCs/>
          <w:color w:val="1B3A6B"/>
          <w:sz w:val="24"/>
          <w:szCs w:val="24"/>
        </w:rPr>
        <w:t>8.  Recommended Adjustments</w:t>
      </w:r>
    </w:p>
    <w:p w:rsidR="007C7E0C" w:rsidRDefault="007C7E0C">
      <w:pPr>
        <w:keepNext/>
        <w:pBdr>
          <w:bottom w:val="single" w:sz="5" w:space="1" w:color="1B3A6B"/>
        </w:pBdr>
        <w:spacing w:before="40" w:after="140"/>
      </w:pPr>
    </w:p>
    <w:p w:rsidR="007C7E0C" w:rsidRDefault="009770B7">
      <w:pPr>
        <w:spacing w:before="60" w:after="90"/>
      </w:pPr>
      <w:r>
        <w:rPr>
          <w:color w:val="1A1A2E"/>
        </w:rPr>
        <w:t>The following are structured in three phases, reflecting</w:t>
      </w:r>
      <w:r w:rsidR="006D5B16">
        <w:rPr>
          <w:color w:val="1A1A2E"/>
        </w:rPr>
        <w:t xml:space="preserve"> the dual nature of this case, </w:t>
      </w:r>
      <w:r>
        <w:rPr>
          <w:color w:val="1A1A2E"/>
        </w:rPr>
        <w:t>an acute, time-limited bereavement reaction overlaid on a longer-standing condition:</w:t>
      </w:r>
    </w:p>
    <w:p w:rsidR="007C7E0C" w:rsidRDefault="007C7E0C">
      <w:pPr>
        <w:spacing w:before="100"/>
      </w:pPr>
    </w:p>
    <w:p w:rsidR="007C7E0C" w:rsidRDefault="006D5B16">
      <w:pPr>
        <w:spacing w:before="60" w:after="90"/>
      </w:pPr>
      <w:r>
        <w:rPr>
          <w:b/>
          <w:bCs/>
          <w:color w:val="1A1A2E"/>
        </w:rPr>
        <w:t>Phase 1 -</w:t>
      </w:r>
      <w:r w:rsidR="009770B7">
        <w:rPr>
          <w:b/>
          <w:bCs/>
          <w:color w:val="1A1A2E"/>
        </w:rPr>
        <w:t xml:space="preserve"> Immediate (0–4 weeks):</w:t>
      </w:r>
    </w:p>
    <w:p w:rsidR="007C7E0C" w:rsidRDefault="009770B7">
      <w:pPr>
        <w:pStyle w:val="ListParagraph"/>
        <w:numPr>
          <w:ilvl w:val="0"/>
          <w:numId w:val="2"/>
        </w:numPr>
        <w:spacing w:before="30" w:after="30"/>
      </w:pPr>
      <w:r>
        <w:rPr>
          <w:color w:val="1A1A2E"/>
        </w:rPr>
        <w:t>Temporary second-checker arrangement for vaccine administration, medication-related tasks, and minor procedure assistance.</w:t>
      </w:r>
    </w:p>
    <w:p w:rsidR="007C7E0C" w:rsidRDefault="009770B7">
      <w:pPr>
        <w:pStyle w:val="ListParagraph"/>
        <w:numPr>
          <w:ilvl w:val="0"/>
          <w:numId w:val="2"/>
        </w:numPr>
        <w:spacing w:before="30" w:after="30"/>
      </w:pPr>
      <w:r>
        <w:rPr>
          <w:color w:val="1A1A2E"/>
        </w:rPr>
        <w:t>Slightly extended appointment slots to reduce time pressure during the working day.</w:t>
      </w:r>
    </w:p>
    <w:p w:rsidR="007C7E0C" w:rsidRDefault="009770B7">
      <w:pPr>
        <w:pStyle w:val="ListParagraph"/>
        <w:numPr>
          <w:ilvl w:val="0"/>
          <w:numId w:val="2"/>
        </w:numPr>
        <w:spacing w:before="30" w:after="30"/>
      </w:pPr>
      <w:r>
        <w:rPr>
          <w:color w:val="1A1A2E"/>
        </w:rPr>
        <w:t>An explicit, manager-sanctioned option to pause or hand over a consultation if Claire becomes acutely distressed, without this being treated as a performance concern.</w:t>
      </w:r>
    </w:p>
    <w:p w:rsidR="007C7E0C" w:rsidRDefault="009770B7">
      <w:pPr>
        <w:pStyle w:val="ListParagraph"/>
        <w:numPr>
          <w:ilvl w:val="0"/>
          <w:numId w:val="2"/>
        </w:numPr>
        <w:spacing w:before="30" w:after="30"/>
      </w:pPr>
      <w:r>
        <w:rPr>
          <w:color w:val="1A1A2E"/>
        </w:rPr>
        <w:t>Temporary removal of sole responsibility for the minor surgery assisting list.</w:t>
      </w:r>
    </w:p>
    <w:p w:rsidR="007C7E0C" w:rsidRDefault="009770B7">
      <w:pPr>
        <w:pStyle w:val="ListParagraph"/>
        <w:numPr>
          <w:ilvl w:val="0"/>
          <w:numId w:val="2"/>
        </w:numPr>
        <w:spacing w:before="30" w:after="30"/>
      </w:pPr>
      <w:r>
        <w:rPr>
          <w:color w:val="1A1A2E"/>
        </w:rPr>
        <w:t>A brief, supportive (not performance-framed) weekly check-in with her line manager.</w:t>
      </w:r>
    </w:p>
    <w:p w:rsidR="007C7E0C" w:rsidRDefault="007C7E0C">
      <w:pPr>
        <w:spacing w:before="120"/>
      </w:pPr>
    </w:p>
    <w:p w:rsidR="007C7E0C" w:rsidRDefault="006D5B16">
      <w:pPr>
        <w:spacing w:before="60" w:after="90"/>
      </w:pPr>
      <w:r>
        <w:rPr>
          <w:b/>
          <w:bCs/>
          <w:color w:val="1A1A2E"/>
        </w:rPr>
        <w:t>Phase 2 -</w:t>
      </w:r>
      <w:r w:rsidR="009770B7">
        <w:rPr>
          <w:b/>
          <w:bCs/>
          <w:color w:val="1A1A2E"/>
        </w:rPr>
        <w:t xml:space="preserve"> Reassessment (4–8 weeks, subject to OH review):</w:t>
      </w:r>
    </w:p>
    <w:p w:rsidR="007C7E0C" w:rsidRDefault="009770B7">
      <w:pPr>
        <w:pStyle w:val="ListParagraph"/>
        <w:numPr>
          <w:ilvl w:val="0"/>
          <w:numId w:val="2"/>
        </w:numPr>
        <w:spacing w:before="30" w:after="30"/>
      </w:pPr>
      <w:r>
        <w:rPr>
          <w:color w:val="1A1A2E"/>
        </w:rPr>
        <w:lastRenderedPageBreak/>
        <w:t>Gradual removal of the second-checker arrangement once two consecutive review points confirm sustained improvement.</w:t>
      </w:r>
    </w:p>
    <w:p w:rsidR="007C7E0C" w:rsidRDefault="009770B7">
      <w:pPr>
        <w:pStyle w:val="ListParagraph"/>
        <w:numPr>
          <w:ilvl w:val="0"/>
          <w:numId w:val="2"/>
        </w:numPr>
        <w:spacing w:before="30" w:after="30"/>
      </w:pPr>
      <w:r>
        <w:rPr>
          <w:color w:val="1A1A2E"/>
        </w:rPr>
        <w:t>Continued flexibility to attend NHS Talking Therapies appointments.</w:t>
      </w:r>
    </w:p>
    <w:p w:rsidR="007C7E0C" w:rsidRDefault="009770B7">
      <w:pPr>
        <w:pStyle w:val="ListParagraph"/>
        <w:numPr>
          <w:ilvl w:val="0"/>
          <w:numId w:val="2"/>
        </w:numPr>
        <w:spacing w:before="30" w:after="30"/>
      </w:pPr>
      <w:r>
        <w:rPr>
          <w:color w:val="1A1A2E"/>
        </w:rPr>
        <w:t>Consideration of a referral to any Employee Assistance Programme or equivalent counselling support available through the employer, if not already accessed.</w:t>
      </w:r>
    </w:p>
    <w:p w:rsidR="007C7E0C" w:rsidRDefault="007C7E0C">
      <w:pPr>
        <w:spacing w:before="120"/>
      </w:pPr>
    </w:p>
    <w:p w:rsidR="007C7E0C" w:rsidRDefault="006D5B16">
      <w:pPr>
        <w:spacing w:before="60" w:after="90"/>
      </w:pPr>
      <w:r>
        <w:rPr>
          <w:b/>
          <w:bCs/>
          <w:color w:val="1A1A2E"/>
        </w:rPr>
        <w:t xml:space="preserve">Phase 3 - </w:t>
      </w:r>
      <w:r w:rsidR="009770B7">
        <w:rPr>
          <w:b/>
          <w:bCs/>
          <w:color w:val="1A1A2E"/>
        </w:rPr>
        <w:t>Ongoing, Equality Act-related (beyond 8 weeks):</w:t>
      </w:r>
    </w:p>
    <w:p w:rsidR="007C7E0C" w:rsidRDefault="009770B7">
      <w:pPr>
        <w:pStyle w:val="ListParagraph"/>
        <w:numPr>
          <w:ilvl w:val="0"/>
          <w:numId w:val="2"/>
        </w:numPr>
        <w:spacing w:before="30" w:after="30"/>
      </w:pPr>
      <w:r>
        <w:rPr>
          <w:color w:val="1A1A2E"/>
        </w:rPr>
        <w:t>Given the likely application of the Equality Act 2010 to the underlying anxiety disorder (Section 6)</w:t>
      </w:r>
      <w:r w:rsidR="006D5B16">
        <w:rPr>
          <w:color w:val="1A1A2E"/>
        </w:rPr>
        <w:t>, some lower-level flexibility,</w:t>
      </w:r>
      <w:r>
        <w:rPr>
          <w:color w:val="1A1A2E"/>
        </w:rPr>
        <w:t xml:space="preserve"> for example around clinic intensity </w:t>
      </w:r>
      <w:r w:rsidR="006D5B16">
        <w:rPr>
          <w:color w:val="1A1A2E"/>
        </w:rPr>
        <w:t>on particularly demanding days,</w:t>
      </w:r>
      <w:r>
        <w:rPr>
          <w:color w:val="1A1A2E"/>
        </w:rPr>
        <w:t xml:space="preserve"> may need to remain available on an ongoing basis even once the acute bereavement period has resolved.</w:t>
      </w:r>
    </w:p>
    <w:p w:rsidR="007C7E0C" w:rsidRDefault="007C7E0C">
      <w:pPr>
        <w:spacing w:before="120"/>
      </w:pPr>
    </w:p>
    <w:p w:rsidR="007C7E0C" w:rsidRDefault="009770B7">
      <w:pPr>
        <w:spacing w:before="60" w:after="90"/>
      </w:pPr>
      <w:r>
        <w:rPr>
          <w:i/>
          <w:iCs/>
          <w:color w:val="6B7280"/>
        </w:rPr>
        <w:t>These recommendations are clinical in nature and are advisory and time-limited where specified. HealthBridge does not assess the cost or operational fe</w:t>
      </w:r>
      <w:r w:rsidR="006D5B16">
        <w:rPr>
          <w:i/>
          <w:iCs/>
          <w:color w:val="6B7280"/>
        </w:rPr>
        <w:t>asibility of implementing them,</w:t>
      </w:r>
      <w:r>
        <w:rPr>
          <w:i/>
          <w:iCs/>
          <w:color w:val="6B7280"/>
        </w:rPr>
        <w:t xml:space="preserve"> that assessment is the employer's responsibility.</w:t>
      </w:r>
    </w:p>
    <w:p w:rsidR="007C7E0C" w:rsidRDefault="007C7E0C">
      <w:pPr>
        <w:spacing w:before="120"/>
      </w:pPr>
    </w:p>
    <w:p w:rsidR="007C7E0C" w:rsidRDefault="009770B7">
      <w:pPr>
        <w:keepNext/>
        <w:spacing w:before="320" w:after="100"/>
      </w:pPr>
      <w:r>
        <w:rPr>
          <w:b/>
          <w:bCs/>
          <w:color w:val="1B3A6B"/>
          <w:sz w:val="24"/>
          <w:szCs w:val="24"/>
        </w:rPr>
        <w:t>9.  Likely Prognosis and Timescales</w:t>
      </w:r>
    </w:p>
    <w:p w:rsidR="007C7E0C" w:rsidRDefault="007C7E0C">
      <w:pPr>
        <w:keepNext/>
        <w:pBdr>
          <w:bottom w:val="single" w:sz="5" w:space="1" w:color="1B3A6B"/>
        </w:pBdr>
        <w:spacing w:before="40" w:after="140"/>
      </w:pPr>
    </w:p>
    <w:p w:rsidR="007C7E0C" w:rsidRDefault="009770B7">
      <w:pPr>
        <w:pStyle w:val="ListParagraph"/>
        <w:numPr>
          <w:ilvl w:val="0"/>
          <w:numId w:val="2"/>
        </w:numPr>
        <w:spacing w:before="30" w:after="30"/>
      </w:pPr>
      <w:r>
        <w:rPr>
          <w:color w:val="1A1A2E"/>
        </w:rPr>
        <w:t>The acute grief-related component is expected to follow a typical bereavement trajectory, with gradual improvement a</w:t>
      </w:r>
      <w:r w:rsidR="006D5B16">
        <w:rPr>
          <w:color w:val="1A1A2E"/>
        </w:rPr>
        <w:t>nticipated over approximately 8-</w:t>
      </w:r>
      <w:r>
        <w:rPr>
          <w:color w:val="1A1A2E"/>
        </w:rPr>
        <w:t>12 weeks, supported by psychological therapy and the recent medication adjustment.</w:t>
      </w:r>
    </w:p>
    <w:p w:rsidR="007C7E0C" w:rsidRDefault="009770B7">
      <w:pPr>
        <w:pStyle w:val="ListParagraph"/>
        <w:numPr>
          <w:ilvl w:val="0"/>
          <w:numId w:val="2"/>
        </w:numPr>
        <w:spacing w:before="30" w:after="30"/>
      </w:pPr>
      <w:r>
        <w:rPr>
          <w:color w:val="1A1A2E"/>
        </w:rPr>
        <w:t>The underlying generalised anxiety disorder is a chronic but historically well-managed condition; full resolution of the underlying diagnosis is not anticipated, but a return to Claire's pre-bereavement baseline level of function is considered likely.</w:t>
      </w:r>
    </w:p>
    <w:p w:rsidR="007C7E0C" w:rsidRDefault="009770B7">
      <w:pPr>
        <w:pStyle w:val="ListParagraph"/>
        <w:numPr>
          <w:ilvl w:val="0"/>
          <w:numId w:val="2"/>
        </w:numPr>
        <w:spacing w:before="30" w:after="30"/>
      </w:pPr>
      <w:r>
        <w:rPr>
          <w:color w:val="1A1A2E"/>
        </w:rPr>
        <w:t>An OH review is recommended at 4–6 weeks to reassess the clinical safeguards described in Section 8.</w:t>
      </w:r>
    </w:p>
    <w:p w:rsidR="007C7E0C" w:rsidRDefault="007C7E0C">
      <w:pPr>
        <w:spacing w:before="120"/>
      </w:pPr>
    </w:p>
    <w:p w:rsidR="007C7E0C" w:rsidRDefault="009770B7">
      <w:pPr>
        <w:keepNext/>
        <w:spacing w:before="320" w:after="100"/>
      </w:pPr>
      <w:r>
        <w:rPr>
          <w:b/>
          <w:bCs/>
          <w:color w:val="1B3A6B"/>
          <w:sz w:val="24"/>
          <w:szCs w:val="24"/>
        </w:rPr>
        <w:t>10.  Medication and Work Relevance</w:t>
      </w:r>
    </w:p>
    <w:p w:rsidR="007C7E0C" w:rsidRDefault="007C7E0C">
      <w:pPr>
        <w:keepNext/>
        <w:pBdr>
          <w:bottom w:val="single" w:sz="5" w:space="1" w:color="1B3A6B"/>
        </w:pBdr>
        <w:spacing w:before="40" w:after="140"/>
      </w:pPr>
    </w:p>
    <w:p w:rsidR="007C7E0C" w:rsidRDefault="009770B7">
      <w:pPr>
        <w:pStyle w:val="ListParagraph"/>
        <w:numPr>
          <w:ilvl w:val="0"/>
          <w:numId w:val="2"/>
        </w:numPr>
        <w:spacing w:before="30" w:after="30"/>
      </w:pPr>
      <w:proofErr w:type="spellStart"/>
      <w:r>
        <w:rPr>
          <w:color w:val="1A1A2E"/>
        </w:rPr>
        <w:t>Sertraline</w:t>
      </w:r>
      <w:proofErr w:type="spellEnd"/>
      <w:r>
        <w:rPr>
          <w:color w:val="1A1A2E"/>
        </w:rPr>
        <w:t xml:space="preserve"> 100mg daily: a non-sedating SSRI at this dose; no impairment to safety-related tasks identified. Some individuals experience transient nausea or jitteriness around dose changes; none reported by Claire.</w:t>
      </w:r>
    </w:p>
    <w:p w:rsidR="007C7E0C" w:rsidRDefault="009770B7">
      <w:pPr>
        <w:pStyle w:val="ListParagraph"/>
        <w:numPr>
          <w:ilvl w:val="0"/>
          <w:numId w:val="2"/>
        </w:numPr>
        <w:spacing w:before="30" w:after="30"/>
      </w:pPr>
      <w:proofErr w:type="spellStart"/>
      <w:r>
        <w:rPr>
          <w:color w:val="1A1A2E"/>
        </w:rPr>
        <w:t>Zopiclone</w:t>
      </w:r>
      <w:proofErr w:type="spellEnd"/>
      <w:r>
        <w:rPr>
          <w:color w:val="1A1A2E"/>
        </w:rPr>
        <w:t xml:space="preserve"> 7.5mg: a short, 7-day course for acute </w:t>
      </w:r>
      <w:proofErr w:type="gramStart"/>
      <w:r>
        <w:rPr>
          <w:color w:val="1A1A2E"/>
        </w:rPr>
        <w:t>insomnia,</w:t>
      </w:r>
      <w:proofErr w:type="gramEnd"/>
      <w:r>
        <w:rPr>
          <w:color w:val="1A1A2E"/>
        </w:rPr>
        <w:t xml:space="preserve"> now completed; Claire is not currently taking this medication. </w:t>
      </w:r>
      <w:proofErr w:type="gramStart"/>
      <w:r>
        <w:rPr>
          <w:color w:val="1A1A2E"/>
        </w:rPr>
        <w:t>Were</w:t>
      </w:r>
      <w:proofErr w:type="gramEnd"/>
      <w:r>
        <w:rPr>
          <w:color w:val="1A1A2E"/>
        </w:rPr>
        <w:t xml:space="preserve"> it to be re-prescribed, its sedative effect would warrant a review of timing relative to shifts involving clinical procedures.</w:t>
      </w:r>
    </w:p>
    <w:p w:rsidR="007C7E0C" w:rsidRDefault="009770B7">
      <w:pPr>
        <w:pStyle w:val="ListParagraph"/>
        <w:numPr>
          <w:ilvl w:val="0"/>
          <w:numId w:val="2"/>
        </w:numPr>
        <w:spacing w:before="30" w:after="30"/>
      </w:pPr>
      <w:r>
        <w:rPr>
          <w:color w:val="1A1A2E"/>
        </w:rPr>
        <w:t>No other medications reported with work relevance.</w:t>
      </w:r>
    </w:p>
    <w:p w:rsidR="007C7E0C" w:rsidRDefault="007C7E0C">
      <w:pPr>
        <w:spacing w:before="120"/>
      </w:pPr>
    </w:p>
    <w:p w:rsidR="007C7E0C" w:rsidRDefault="009770B7">
      <w:pPr>
        <w:keepNext/>
        <w:spacing w:before="320" w:after="100"/>
      </w:pPr>
      <w:r>
        <w:rPr>
          <w:b/>
          <w:bCs/>
          <w:color w:val="1B3A6B"/>
          <w:sz w:val="24"/>
          <w:szCs w:val="24"/>
        </w:rPr>
        <w:t>11.  Additional Recommendations</w:t>
      </w:r>
    </w:p>
    <w:p w:rsidR="007C7E0C" w:rsidRDefault="007C7E0C">
      <w:pPr>
        <w:keepNext/>
        <w:pBdr>
          <w:bottom w:val="single" w:sz="5" w:space="1" w:color="1B3A6B"/>
        </w:pBdr>
        <w:spacing w:before="40" w:after="140"/>
      </w:pPr>
    </w:p>
    <w:p w:rsidR="007C7E0C" w:rsidRDefault="009770B7">
      <w:pPr>
        <w:pStyle w:val="ListParagraph"/>
        <w:numPr>
          <w:ilvl w:val="0"/>
          <w:numId w:val="2"/>
        </w:numPr>
        <w:spacing w:before="30" w:after="30"/>
      </w:pPr>
      <w:r>
        <w:rPr>
          <w:color w:val="1A1A2E"/>
        </w:rPr>
        <w:t>Continued engagement with NHS Talking Therapies and her own GP for ongoing medication review is encouraged.</w:t>
      </w:r>
    </w:p>
    <w:p w:rsidR="007C7E0C" w:rsidRDefault="009770B7">
      <w:pPr>
        <w:pStyle w:val="ListParagraph"/>
        <w:numPr>
          <w:ilvl w:val="0"/>
          <w:numId w:val="2"/>
        </w:numPr>
        <w:spacing w:before="30" w:after="30"/>
      </w:pPr>
      <w:r>
        <w:rPr>
          <w:color w:val="1A1A2E"/>
        </w:rPr>
        <w:t>Signposting to bereavement-specific support (for example, Cruse Bereavement Support), alongside any Employee Assistance Programme available through the employer.</w:t>
      </w:r>
    </w:p>
    <w:p w:rsidR="007C7E0C" w:rsidRDefault="009770B7">
      <w:pPr>
        <w:pStyle w:val="ListParagraph"/>
        <w:numPr>
          <w:ilvl w:val="0"/>
          <w:numId w:val="2"/>
        </w:numPr>
        <w:spacing w:before="30" w:after="30"/>
      </w:pPr>
      <w:r>
        <w:rPr>
          <w:color w:val="1A1A2E"/>
        </w:rPr>
        <w:t>Brief manager guidance on supportive, rather than performance-led, conversations around grief and anxiety may help sustain the adjustments above.</w:t>
      </w:r>
    </w:p>
    <w:p w:rsidR="007C7E0C" w:rsidRDefault="009770B7">
      <w:pPr>
        <w:pStyle w:val="ListParagraph"/>
        <w:numPr>
          <w:ilvl w:val="0"/>
          <w:numId w:val="2"/>
        </w:numPr>
        <w:spacing w:before="30" w:after="30"/>
      </w:pPr>
      <w:r>
        <w:rPr>
          <w:color w:val="1A1A2E"/>
        </w:rPr>
        <w:t>Re-referra</w:t>
      </w:r>
      <w:r w:rsidR="006D5B16">
        <w:rPr>
          <w:color w:val="1A1A2E"/>
        </w:rPr>
        <w:t>l to OH is recommended at the 4-</w:t>
      </w:r>
      <w:r>
        <w:rPr>
          <w:color w:val="1A1A2E"/>
        </w:rPr>
        <w:t>6 week review point, or sooner if further absence occurs.</w:t>
      </w:r>
    </w:p>
    <w:p w:rsidR="007C7E0C" w:rsidRDefault="007C7E0C">
      <w:pPr>
        <w:spacing w:before="120"/>
      </w:pPr>
    </w:p>
    <w:p w:rsidR="007C7E0C" w:rsidRDefault="009770B7">
      <w:pPr>
        <w:keepNext/>
        <w:spacing w:before="320" w:after="100"/>
      </w:pPr>
      <w:r>
        <w:rPr>
          <w:b/>
          <w:bCs/>
          <w:color w:val="1B3A6B"/>
          <w:sz w:val="24"/>
          <w:szCs w:val="24"/>
        </w:rPr>
        <w:lastRenderedPageBreak/>
        <w:t>12.  Report Status and Consent</w:t>
      </w:r>
    </w:p>
    <w:p w:rsidR="007C7E0C" w:rsidRDefault="007C7E0C">
      <w:pPr>
        <w:keepNext/>
        <w:pBdr>
          <w:bottom w:val="single" w:sz="5" w:space="1" w:color="1B3A6B"/>
        </w:pBdr>
        <w:spacing w:before="40" w:after="140"/>
      </w:pPr>
    </w:p>
    <w:tbl>
      <w:tblPr>
        <w:tblW w:w="9026"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800"/>
        <w:gridCol w:w="5226"/>
      </w:tblGrid>
      <w:tr w:rsidR="007C7E0C">
        <w:tc>
          <w:tcPr>
            <w:tcW w:w="3800"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7C7E0C" w:rsidRDefault="009770B7">
            <w:r>
              <w:rPr>
                <w:b/>
                <w:bCs/>
                <w:color w:val="FFFFFF"/>
              </w:rPr>
              <w:t>Stage</w:t>
            </w:r>
          </w:p>
        </w:tc>
        <w:tc>
          <w:tcPr>
            <w:tcW w:w="5226" w:type="dxa"/>
            <w:tcBorders>
              <w:top w:val="single" w:sz="1" w:space="0" w:color="C5CEDE"/>
              <w:left w:val="single" w:sz="1" w:space="0" w:color="C5CEDE"/>
              <w:bottom w:val="single" w:sz="1" w:space="0" w:color="C5CEDE"/>
              <w:right w:val="single" w:sz="1" w:space="0" w:color="C5CEDE"/>
            </w:tcBorders>
            <w:shd w:val="clear" w:color="auto" w:fill="1B3A6B"/>
            <w:tcMar>
              <w:top w:w="100" w:type="dxa"/>
              <w:left w:w="160" w:type="dxa"/>
              <w:bottom w:w="100" w:type="dxa"/>
              <w:right w:w="160" w:type="dxa"/>
            </w:tcMar>
          </w:tcPr>
          <w:p w:rsidR="007C7E0C" w:rsidRDefault="009770B7">
            <w:r>
              <w:rPr>
                <w:b/>
                <w:bCs/>
                <w:color w:val="FFFFFF"/>
              </w:rPr>
              <w:t>Date</w:t>
            </w:r>
          </w:p>
        </w:tc>
      </w:tr>
      <w:tr w:rsidR="007C7E0C">
        <w:tc>
          <w:tcPr>
            <w:tcW w:w="3800"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7C7E0C" w:rsidRDefault="009770B7">
            <w:r>
              <w:rPr>
                <w:color w:val="1A1A2E"/>
              </w:rPr>
              <w:t>Draft report issued to employee</w:t>
            </w:r>
          </w:p>
        </w:tc>
        <w:tc>
          <w:tcPr>
            <w:tcW w:w="52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7C7E0C" w:rsidRDefault="009770B7">
            <w:r>
              <w:rPr>
                <w:color w:val="1A1A2E"/>
              </w:rPr>
              <w:t>18/01/2026</w:t>
            </w:r>
          </w:p>
        </w:tc>
      </w:tr>
      <w:tr w:rsidR="007C7E0C">
        <w:tc>
          <w:tcPr>
            <w:tcW w:w="3800"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7C7E0C" w:rsidRDefault="009770B7">
            <w:r>
              <w:rPr>
                <w:color w:val="1A1A2E"/>
              </w:rPr>
              <w:t>Emp</w:t>
            </w:r>
            <w:r w:rsidR="00EE7E37">
              <w:rPr>
                <w:color w:val="1A1A2E"/>
              </w:rPr>
              <w:t>loyee review period (AMRA 1988 -</w:t>
            </w:r>
            <w:r>
              <w:rPr>
                <w:color w:val="1A1A2E"/>
              </w:rPr>
              <w:t xml:space="preserve"> 7 calendar days)</w:t>
            </w:r>
          </w:p>
        </w:tc>
        <w:tc>
          <w:tcPr>
            <w:tcW w:w="52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7C7E0C" w:rsidRDefault="009770B7">
            <w:r>
              <w:rPr>
                <w:color w:val="1A1A2E"/>
              </w:rPr>
              <w:t>18/01/2026 – 25/01/2026</w:t>
            </w:r>
          </w:p>
        </w:tc>
      </w:tr>
      <w:tr w:rsidR="007C7E0C">
        <w:tc>
          <w:tcPr>
            <w:tcW w:w="3800"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7C7E0C" w:rsidRDefault="009770B7">
            <w:r>
              <w:rPr>
                <w:color w:val="1A1A2E"/>
              </w:rPr>
              <w:t>Consent to release confirmed</w:t>
            </w:r>
          </w:p>
        </w:tc>
        <w:tc>
          <w:tcPr>
            <w:tcW w:w="52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7C7E0C" w:rsidRDefault="006D5B16">
            <w:r>
              <w:rPr>
                <w:color w:val="1A1A2E"/>
              </w:rPr>
              <w:t>Email reply -</w:t>
            </w:r>
            <w:r w:rsidR="009770B7">
              <w:rPr>
                <w:color w:val="1A1A2E"/>
              </w:rPr>
              <w:t xml:space="preserve"> 24/01/2026</w:t>
            </w:r>
          </w:p>
        </w:tc>
      </w:tr>
      <w:tr w:rsidR="007C7E0C">
        <w:tc>
          <w:tcPr>
            <w:tcW w:w="3800"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7C7E0C" w:rsidRDefault="009770B7">
            <w:r>
              <w:rPr>
                <w:color w:val="1A1A2E"/>
              </w:rPr>
              <w:t>Final report issued to employer</w:t>
            </w:r>
          </w:p>
        </w:tc>
        <w:tc>
          <w:tcPr>
            <w:tcW w:w="5226" w:type="dxa"/>
            <w:tcBorders>
              <w:top w:val="single" w:sz="1" w:space="0" w:color="C5CEDE"/>
              <w:left w:val="single" w:sz="1" w:space="0" w:color="C5CEDE"/>
              <w:bottom w:val="single" w:sz="1" w:space="0" w:color="C5CEDE"/>
              <w:right w:val="single" w:sz="1" w:space="0" w:color="C5CEDE"/>
            </w:tcBorders>
            <w:tcMar>
              <w:top w:w="90" w:type="dxa"/>
              <w:left w:w="160" w:type="dxa"/>
              <w:bottom w:w="90" w:type="dxa"/>
              <w:right w:w="160" w:type="dxa"/>
            </w:tcMar>
          </w:tcPr>
          <w:p w:rsidR="007C7E0C" w:rsidRDefault="009770B7">
            <w:r>
              <w:rPr>
                <w:color w:val="1A1A2E"/>
              </w:rPr>
              <w:t>25/01/2026</w:t>
            </w:r>
          </w:p>
        </w:tc>
      </w:tr>
    </w:tbl>
    <w:p w:rsidR="007C7E0C" w:rsidRDefault="007C7E0C">
      <w:pPr>
        <w:spacing w:before="80"/>
      </w:pPr>
    </w:p>
    <w:p w:rsidR="007C7E0C" w:rsidRDefault="009770B7">
      <w:pPr>
        <w:spacing w:before="60" w:after="90"/>
      </w:pPr>
      <w:r>
        <w:rPr>
          <w:color w:val="1A1A2E"/>
        </w:rPr>
        <w:t xml:space="preserve">In line with the Access to Medical Reports Act 1988, Claire was given the opportunity to review this report before release and confirmed by email her consent for it to be shared with </w:t>
      </w:r>
      <w:proofErr w:type="spellStart"/>
      <w:r>
        <w:rPr>
          <w:color w:val="1A1A2E"/>
        </w:rPr>
        <w:t>Thornfield</w:t>
      </w:r>
      <w:proofErr w:type="spellEnd"/>
      <w:r>
        <w:rPr>
          <w:color w:val="1A1A2E"/>
        </w:rPr>
        <w:t xml:space="preserve"> Medical Practice in its current form. The evidentiary record of this consent is retained in the clinical case file in accordance with </w:t>
      </w:r>
      <w:proofErr w:type="spellStart"/>
      <w:r>
        <w:rPr>
          <w:color w:val="1A1A2E"/>
        </w:rPr>
        <w:t>HealthBridge's</w:t>
      </w:r>
      <w:proofErr w:type="spellEnd"/>
      <w:r>
        <w:rPr>
          <w:color w:val="1A1A2E"/>
        </w:rPr>
        <w:t xml:space="preserve"> Consent Policy.</w:t>
      </w:r>
    </w:p>
    <w:p w:rsidR="007C7E0C" w:rsidRDefault="007C7E0C">
      <w:pPr>
        <w:spacing w:before="140"/>
      </w:pPr>
    </w:p>
    <w:p w:rsidR="007C7E0C" w:rsidRDefault="009770B7">
      <w:pPr>
        <w:keepNext/>
        <w:spacing w:before="320" w:after="100"/>
      </w:pPr>
      <w:r>
        <w:rPr>
          <w:b/>
          <w:bCs/>
          <w:color w:val="1B3A6B"/>
          <w:sz w:val="24"/>
          <w:szCs w:val="24"/>
        </w:rPr>
        <w:t>Clinician Signature</w:t>
      </w:r>
    </w:p>
    <w:p w:rsidR="007C7E0C" w:rsidRDefault="006D5B16">
      <w:pPr>
        <w:keepNext/>
        <w:pBdr>
          <w:bottom w:val="single" w:sz="5" w:space="1" w:color="1B3A6B"/>
        </w:pBdr>
        <w:spacing w:before="40" w:after="140"/>
      </w:pPr>
      <w:r>
        <w:rPr>
          <w:noProof/>
        </w:rPr>
        <w:drawing>
          <wp:anchor distT="0" distB="0" distL="114300" distR="114300" simplePos="0" relativeHeight="251658240" behindDoc="1" locked="0" layoutInCell="1" allowOverlap="1">
            <wp:simplePos x="0" y="0"/>
            <wp:positionH relativeFrom="column">
              <wp:posOffset>2619375</wp:posOffset>
            </wp:positionH>
            <wp:positionV relativeFrom="paragraph">
              <wp:posOffset>220980</wp:posOffset>
            </wp:positionV>
            <wp:extent cx="2073910" cy="1314450"/>
            <wp:effectExtent l="19050" t="0" r="2540" b="0"/>
            <wp:wrapTight wrapText="bothSides">
              <wp:wrapPolygon edited="0">
                <wp:start x="-198" y="0"/>
                <wp:lineTo x="-198" y="21287"/>
                <wp:lineTo x="21626" y="21287"/>
                <wp:lineTo x="21626" y="0"/>
                <wp:lineTo x="-198"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073910" cy="1314450"/>
                    </a:xfrm>
                    <a:prstGeom prst="rect">
                      <a:avLst/>
                    </a:prstGeom>
                    <a:noFill/>
                    <a:ln w="9525">
                      <a:noFill/>
                      <a:miter lim="800000"/>
                      <a:headEnd/>
                      <a:tailEnd/>
                    </a:ln>
                  </pic:spPr>
                </pic:pic>
              </a:graphicData>
            </a:graphic>
          </wp:anchor>
        </w:drawing>
      </w:r>
    </w:p>
    <w:p w:rsidR="006D5B16" w:rsidRDefault="006D5B16">
      <w:pPr>
        <w:keepNext/>
        <w:spacing w:before="60" w:after="90"/>
        <w:rPr>
          <w:b/>
          <w:bCs/>
          <w:color w:val="1A1A2E"/>
        </w:rPr>
      </w:pPr>
    </w:p>
    <w:p w:rsidR="007C7E0C" w:rsidRDefault="009770B7">
      <w:pPr>
        <w:keepNext/>
        <w:spacing w:before="60" w:after="90"/>
      </w:pPr>
      <w:r>
        <w:rPr>
          <w:b/>
          <w:bCs/>
          <w:color w:val="1A1A2E"/>
        </w:rPr>
        <w:t>Dr James Stanley</w:t>
      </w:r>
    </w:p>
    <w:p w:rsidR="007C7E0C" w:rsidRDefault="009770B7">
      <w:pPr>
        <w:keepNext/>
        <w:spacing w:before="60" w:after="90"/>
      </w:pPr>
      <w:r>
        <w:rPr>
          <w:color w:val="1A1A2E"/>
        </w:rPr>
        <w:t>GP providing Occupational Health Services</w:t>
      </w:r>
    </w:p>
    <w:p w:rsidR="007C7E0C" w:rsidRDefault="009770B7">
      <w:pPr>
        <w:keepNext/>
        <w:spacing w:before="60" w:after="90"/>
      </w:pPr>
      <w:r>
        <w:rPr>
          <w:color w:val="1A1A2E"/>
        </w:rPr>
        <w:t>GMC Registration No: 7285162</w:t>
      </w:r>
    </w:p>
    <w:p w:rsidR="007C7E0C" w:rsidRDefault="009770B7">
      <w:pPr>
        <w:keepNext/>
        <w:spacing w:before="60" w:after="90"/>
      </w:pPr>
      <w:r>
        <w:rPr>
          <w:color w:val="1A1A2E"/>
        </w:rPr>
        <w:t>HealthBridge Occupational Health Ltd</w:t>
      </w:r>
    </w:p>
    <w:p w:rsidR="007C7E0C" w:rsidRDefault="009770B7">
      <w:pPr>
        <w:spacing w:before="60" w:after="90"/>
        <w:rPr>
          <w:color w:val="1A1A2E"/>
        </w:rPr>
      </w:pPr>
      <w:r>
        <w:rPr>
          <w:color w:val="1A1A2E"/>
        </w:rPr>
        <w:t>Date: 25/01/2026</w:t>
      </w:r>
    </w:p>
    <w:p w:rsidR="006D5B16" w:rsidRDefault="006D5B16">
      <w:pPr>
        <w:spacing w:before="60" w:after="90"/>
      </w:pPr>
    </w:p>
    <w:sectPr w:rsidR="006D5B16" w:rsidSect="007C7E0C">
      <w:headerReference w:type="default" r:id="rId8"/>
      <w:footerReference w:type="default" r:id="rId9"/>
      <w:pgSz w:w="11906" w:h="16838"/>
      <w:pgMar w:top="1080" w:right="1440" w:bottom="1080" w:left="144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0BA6" w:rsidRDefault="006D0BA6" w:rsidP="007C7E0C">
      <w:r>
        <w:separator/>
      </w:r>
    </w:p>
  </w:endnote>
  <w:endnote w:type="continuationSeparator" w:id="0">
    <w:p w:rsidR="006D0BA6" w:rsidRDefault="006D0BA6" w:rsidP="007C7E0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E0C" w:rsidRDefault="009770B7">
    <w:pPr>
      <w:pBdr>
        <w:top w:val="single" w:sz="3" w:space="2" w:color="1B3A6B"/>
      </w:pBdr>
      <w:spacing w:before="100"/>
    </w:pPr>
    <w:r>
      <w:rPr>
        <w:i/>
        <w:iCs/>
        <w:color w:val="6B7280"/>
        <w:sz w:val="13"/>
        <w:szCs w:val="13"/>
      </w:rPr>
      <w:t>This report provides the professional opinion of the assessing GP for occupational health purposes, to inform workplace decisions including fitness for work, adjustments, and (where relevant) capability or disciplinary processes. It is not a medico-legal report prepared for litigation and has not been written to the standard required for use as expert evidence in legal proceedings. Opinions are based on information available at the time of assessment.</w:t>
    </w:r>
  </w:p>
  <w:p w:rsidR="007C7E0C" w:rsidRDefault="009770B7">
    <w:pPr>
      <w:tabs>
        <w:tab w:val="right" w:pos="9026"/>
      </w:tabs>
      <w:spacing w:before="60"/>
    </w:pPr>
    <w:r>
      <w:rPr>
        <w:color w:val="6B7280"/>
        <w:sz w:val="13"/>
        <w:szCs w:val="13"/>
      </w:rPr>
      <w:t xml:space="preserve">HealthBridge Occupational Health </w:t>
    </w:r>
    <w:proofErr w:type="gramStart"/>
    <w:r>
      <w:rPr>
        <w:color w:val="6B7280"/>
        <w:sz w:val="13"/>
        <w:szCs w:val="13"/>
      </w:rPr>
      <w:t>Ltd  |</w:t>
    </w:r>
    <w:proofErr w:type="gramEnd"/>
    <w:r>
      <w:rPr>
        <w:color w:val="6B7280"/>
        <w:sz w:val="13"/>
        <w:szCs w:val="13"/>
      </w:rPr>
      <w:t xml:space="preserve">  Co. No: </w:t>
    </w:r>
    <w:proofErr w:type="gramStart"/>
    <w:r>
      <w:rPr>
        <w:color w:val="6B7280"/>
        <w:sz w:val="13"/>
        <w:szCs w:val="13"/>
      </w:rPr>
      <w:t>16615396  |</w:t>
    </w:r>
    <w:proofErr w:type="gramEnd"/>
    <w:r>
      <w:rPr>
        <w:color w:val="6B7280"/>
        <w:sz w:val="13"/>
        <w:szCs w:val="13"/>
      </w:rPr>
      <w:t xml:space="preserve">  50 </w:t>
    </w:r>
    <w:proofErr w:type="spellStart"/>
    <w:r>
      <w:rPr>
        <w:color w:val="6B7280"/>
        <w:sz w:val="13"/>
        <w:szCs w:val="13"/>
      </w:rPr>
      <w:t>Hadow</w:t>
    </w:r>
    <w:proofErr w:type="spellEnd"/>
    <w:r>
      <w:rPr>
        <w:color w:val="6B7280"/>
        <w:sz w:val="13"/>
        <w:szCs w:val="13"/>
      </w:rPr>
      <w:t xml:space="preserve"> Way, Gloucester, GL2 4YJ</w:t>
    </w:r>
    <w:r>
      <w:rPr>
        <w:color w:val="6B7280"/>
        <w:sz w:val="13"/>
        <w:szCs w:val="13"/>
      </w:rPr>
      <w:tab/>
      <w:t xml:space="preserve">Page </w:t>
    </w:r>
    <w:r w:rsidR="007629B7">
      <w:rPr>
        <w:color w:val="6B7280"/>
        <w:sz w:val="13"/>
        <w:szCs w:val="13"/>
      </w:rPr>
      <w:fldChar w:fldCharType="begin"/>
    </w:r>
    <w:r>
      <w:rPr>
        <w:color w:val="6B7280"/>
        <w:sz w:val="13"/>
        <w:szCs w:val="13"/>
      </w:rPr>
      <w:instrText>PAGE</w:instrText>
    </w:r>
    <w:r w:rsidR="007629B7">
      <w:rPr>
        <w:color w:val="6B7280"/>
        <w:sz w:val="13"/>
        <w:szCs w:val="13"/>
      </w:rPr>
      <w:fldChar w:fldCharType="separate"/>
    </w:r>
    <w:r w:rsidR="00D83990">
      <w:rPr>
        <w:noProof/>
        <w:color w:val="6B7280"/>
        <w:sz w:val="13"/>
        <w:szCs w:val="13"/>
      </w:rPr>
      <w:t>2</w:t>
    </w:r>
    <w:r w:rsidR="007629B7">
      <w:rPr>
        <w:color w:val="6B7280"/>
        <w:sz w:val="13"/>
        <w:szCs w:val="13"/>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0BA6" w:rsidRDefault="006D0BA6" w:rsidP="007C7E0C">
      <w:r>
        <w:separator/>
      </w:r>
    </w:p>
  </w:footnote>
  <w:footnote w:type="continuationSeparator" w:id="0">
    <w:p w:rsidR="006D0BA6" w:rsidRDefault="006D0BA6" w:rsidP="007C7E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7E0C" w:rsidRDefault="009770B7">
    <w:pPr>
      <w:tabs>
        <w:tab w:val="right" w:pos="9026"/>
      </w:tabs>
      <w:spacing w:after="80"/>
    </w:pPr>
    <w:r>
      <w:rPr>
        <w:color w:val="6B7280"/>
        <w:sz w:val="15"/>
        <w:szCs w:val="15"/>
      </w:rPr>
      <w:t xml:space="preserve">HealthBridge Occupational Health </w:t>
    </w:r>
    <w:proofErr w:type="gramStart"/>
    <w:r>
      <w:rPr>
        <w:color w:val="6B7280"/>
        <w:sz w:val="15"/>
        <w:szCs w:val="15"/>
      </w:rPr>
      <w:t>Ltd  |</w:t>
    </w:r>
    <w:proofErr w:type="gramEnd"/>
    <w:r>
      <w:rPr>
        <w:color w:val="6B7280"/>
        <w:sz w:val="15"/>
        <w:szCs w:val="15"/>
      </w:rPr>
      <w:t xml:space="preserve">  Dr James Stanley (GMC: 7285162)</w:t>
    </w:r>
    <w:r>
      <w:rPr>
        <w:b/>
        <w:bCs/>
        <w:color w:val="1B3A6B"/>
        <w:sz w:val="15"/>
        <w:szCs w:val="15"/>
      </w:rPr>
      <w:tab/>
      <w:t>CONFIDENTIAL</w:t>
    </w:r>
  </w:p>
  <w:p w:rsidR="007C7E0C" w:rsidRDefault="007C7E0C">
    <w:pPr>
      <w:pBdr>
        <w:bottom w:val="single" w:sz="5" w:space="1" w:color="1B3A6B"/>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5A40EE"/>
    <w:multiLevelType w:val="hybridMultilevel"/>
    <w:tmpl w:val="9258B4EA"/>
    <w:lvl w:ilvl="0" w:tplc="FE8E4B16">
      <w:start w:val="1"/>
      <w:numFmt w:val="bullet"/>
      <w:lvlText w:val="●"/>
      <w:lvlJc w:val="left"/>
      <w:pPr>
        <w:ind w:left="720" w:hanging="360"/>
      </w:pPr>
    </w:lvl>
    <w:lvl w:ilvl="1" w:tplc="DADEFDF2">
      <w:start w:val="1"/>
      <w:numFmt w:val="bullet"/>
      <w:lvlText w:val="○"/>
      <w:lvlJc w:val="left"/>
      <w:pPr>
        <w:ind w:left="1440" w:hanging="360"/>
      </w:pPr>
    </w:lvl>
    <w:lvl w:ilvl="2" w:tplc="D460F69A">
      <w:start w:val="1"/>
      <w:numFmt w:val="bullet"/>
      <w:lvlText w:val="■"/>
      <w:lvlJc w:val="left"/>
      <w:pPr>
        <w:ind w:left="2160" w:hanging="360"/>
      </w:pPr>
    </w:lvl>
    <w:lvl w:ilvl="3" w:tplc="3A2E6310">
      <w:start w:val="1"/>
      <w:numFmt w:val="bullet"/>
      <w:lvlText w:val="●"/>
      <w:lvlJc w:val="left"/>
      <w:pPr>
        <w:ind w:left="2880" w:hanging="360"/>
      </w:pPr>
    </w:lvl>
    <w:lvl w:ilvl="4" w:tplc="F4C4B40E">
      <w:start w:val="1"/>
      <w:numFmt w:val="bullet"/>
      <w:lvlText w:val="○"/>
      <w:lvlJc w:val="left"/>
      <w:pPr>
        <w:ind w:left="3600" w:hanging="360"/>
      </w:pPr>
    </w:lvl>
    <w:lvl w:ilvl="5" w:tplc="F716AFF4">
      <w:start w:val="1"/>
      <w:numFmt w:val="bullet"/>
      <w:lvlText w:val="■"/>
      <w:lvlJc w:val="left"/>
      <w:pPr>
        <w:ind w:left="4320" w:hanging="360"/>
      </w:pPr>
    </w:lvl>
    <w:lvl w:ilvl="6" w:tplc="B23E9716">
      <w:start w:val="1"/>
      <w:numFmt w:val="bullet"/>
      <w:lvlText w:val="●"/>
      <w:lvlJc w:val="left"/>
      <w:pPr>
        <w:ind w:left="5040" w:hanging="360"/>
      </w:pPr>
    </w:lvl>
    <w:lvl w:ilvl="7" w:tplc="8AF8B8E0">
      <w:start w:val="1"/>
      <w:numFmt w:val="bullet"/>
      <w:lvlText w:val="●"/>
      <w:lvlJc w:val="left"/>
      <w:pPr>
        <w:ind w:left="5760" w:hanging="360"/>
      </w:pPr>
    </w:lvl>
    <w:lvl w:ilvl="8" w:tplc="1952BBAE">
      <w:start w:val="1"/>
      <w:numFmt w:val="bullet"/>
      <w:lvlText w:val="●"/>
      <w:lvlJc w:val="left"/>
      <w:pPr>
        <w:ind w:left="6480" w:hanging="360"/>
      </w:pPr>
    </w:lvl>
  </w:abstractNum>
  <w:abstractNum w:abstractNumId="1">
    <w:nsid w:val="470375A3"/>
    <w:multiLevelType w:val="hybridMultilevel"/>
    <w:tmpl w:val="6D86218A"/>
    <w:lvl w:ilvl="0" w:tplc="32461AAA">
      <w:start w:val="1"/>
      <w:numFmt w:val="bullet"/>
      <w:lvlText w:val="•"/>
      <w:lvlJc w:val="left"/>
      <w:pPr>
        <w:ind w:left="320" w:hanging="320"/>
      </w:pPr>
    </w:lvl>
    <w:lvl w:ilvl="1" w:tplc="2A8C8672">
      <w:numFmt w:val="decimal"/>
      <w:lvlText w:val=""/>
      <w:lvlJc w:val="left"/>
    </w:lvl>
    <w:lvl w:ilvl="2" w:tplc="58D8F30E">
      <w:numFmt w:val="decimal"/>
      <w:lvlText w:val=""/>
      <w:lvlJc w:val="left"/>
    </w:lvl>
    <w:lvl w:ilvl="3" w:tplc="2326F228">
      <w:numFmt w:val="decimal"/>
      <w:lvlText w:val=""/>
      <w:lvlJc w:val="left"/>
    </w:lvl>
    <w:lvl w:ilvl="4" w:tplc="904ADE30">
      <w:numFmt w:val="decimal"/>
      <w:lvlText w:val=""/>
      <w:lvlJc w:val="left"/>
    </w:lvl>
    <w:lvl w:ilvl="5" w:tplc="599E97F8">
      <w:numFmt w:val="decimal"/>
      <w:lvlText w:val=""/>
      <w:lvlJc w:val="left"/>
    </w:lvl>
    <w:lvl w:ilvl="6" w:tplc="7C483188">
      <w:numFmt w:val="decimal"/>
      <w:lvlText w:val=""/>
      <w:lvlJc w:val="left"/>
    </w:lvl>
    <w:lvl w:ilvl="7" w:tplc="BB5EBC86">
      <w:numFmt w:val="decimal"/>
      <w:lvlText w:val=""/>
      <w:lvlJc w:val="left"/>
    </w:lvl>
    <w:lvl w:ilvl="8" w:tplc="0714E9F4">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footnotePr>
    <w:footnote w:id="-1"/>
    <w:footnote w:id="0"/>
  </w:footnotePr>
  <w:endnotePr>
    <w:endnote w:id="-1"/>
    <w:endnote w:id="0"/>
  </w:endnotePr>
  <w:compat/>
  <w:rsids>
    <w:rsidRoot w:val="007C7E0C"/>
    <w:rsid w:val="00687295"/>
    <w:rsid w:val="006D0BA6"/>
    <w:rsid w:val="006D5B16"/>
    <w:rsid w:val="007629B7"/>
    <w:rsid w:val="007C7E0C"/>
    <w:rsid w:val="009770B7"/>
    <w:rsid w:val="00C87A00"/>
    <w:rsid w:val="00D83990"/>
    <w:rsid w:val="00EE7E3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19"/>
        <w:szCs w:val="19"/>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7295"/>
  </w:style>
  <w:style w:type="paragraph" w:styleId="Heading1">
    <w:name w:val="heading 1"/>
    <w:qFormat/>
    <w:rsid w:val="007C7E0C"/>
    <w:pPr>
      <w:outlineLvl w:val="0"/>
    </w:pPr>
    <w:rPr>
      <w:color w:val="2E74B5"/>
      <w:sz w:val="32"/>
      <w:szCs w:val="32"/>
    </w:rPr>
  </w:style>
  <w:style w:type="paragraph" w:styleId="Heading2">
    <w:name w:val="heading 2"/>
    <w:qFormat/>
    <w:rsid w:val="007C7E0C"/>
    <w:pPr>
      <w:outlineLvl w:val="1"/>
    </w:pPr>
    <w:rPr>
      <w:color w:val="2E74B5"/>
      <w:sz w:val="26"/>
      <w:szCs w:val="26"/>
    </w:rPr>
  </w:style>
  <w:style w:type="paragraph" w:styleId="Heading3">
    <w:name w:val="heading 3"/>
    <w:qFormat/>
    <w:rsid w:val="007C7E0C"/>
    <w:pPr>
      <w:outlineLvl w:val="2"/>
    </w:pPr>
    <w:rPr>
      <w:color w:val="1F4D78"/>
      <w:sz w:val="24"/>
      <w:szCs w:val="24"/>
    </w:rPr>
  </w:style>
  <w:style w:type="paragraph" w:styleId="Heading4">
    <w:name w:val="heading 4"/>
    <w:qFormat/>
    <w:rsid w:val="007C7E0C"/>
    <w:pPr>
      <w:outlineLvl w:val="3"/>
    </w:pPr>
    <w:rPr>
      <w:i/>
      <w:iCs/>
      <w:color w:val="2E74B5"/>
    </w:rPr>
  </w:style>
  <w:style w:type="paragraph" w:styleId="Heading5">
    <w:name w:val="heading 5"/>
    <w:qFormat/>
    <w:rsid w:val="007C7E0C"/>
    <w:pPr>
      <w:outlineLvl w:val="4"/>
    </w:pPr>
    <w:rPr>
      <w:color w:val="2E74B5"/>
    </w:rPr>
  </w:style>
  <w:style w:type="paragraph" w:styleId="Heading6">
    <w:name w:val="heading 6"/>
    <w:qFormat/>
    <w:rsid w:val="007C7E0C"/>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sid w:val="007C7E0C"/>
    <w:rPr>
      <w:sz w:val="56"/>
      <w:szCs w:val="56"/>
    </w:rPr>
  </w:style>
  <w:style w:type="paragraph" w:customStyle="1" w:styleId="Strong1">
    <w:name w:val="Strong1"/>
    <w:qFormat/>
    <w:rsid w:val="007C7E0C"/>
    <w:rPr>
      <w:b/>
      <w:bCs/>
    </w:rPr>
  </w:style>
  <w:style w:type="paragraph" w:styleId="ListParagraph">
    <w:name w:val="List Paragraph"/>
    <w:qFormat/>
    <w:rsid w:val="007C7E0C"/>
  </w:style>
  <w:style w:type="character" w:styleId="Hyperlink">
    <w:name w:val="Hyperlink"/>
    <w:uiPriority w:val="99"/>
    <w:unhideWhenUsed/>
    <w:rsid w:val="007C7E0C"/>
    <w:rPr>
      <w:color w:val="0563C1"/>
      <w:u w:val="single"/>
    </w:rPr>
  </w:style>
  <w:style w:type="character" w:styleId="FootnoteReference">
    <w:name w:val="footnote reference"/>
    <w:uiPriority w:val="99"/>
    <w:semiHidden/>
    <w:unhideWhenUsed/>
    <w:rsid w:val="007C7E0C"/>
    <w:rPr>
      <w:vertAlign w:val="superscript"/>
    </w:rPr>
  </w:style>
  <w:style w:type="paragraph" w:styleId="FootnoteText">
    <w:name w:val="footnote text"/>
    <w:link w:val="FootnoteTextChar"/>
    <w:uiPriority w:val="99"/>
    <w:semiHidden/>
    <w:unhideWhenUsed/>
    <w:rsid w:val="007C7E0C"/>
    <w:rPr>
      <w:sz w:val="20"/>
      <w:szCs w:val="20"/>
    </w:rPr>
  </w:style>
  <w:style w:type="character" w:customStyle="1" w:styleId="FootnoteTextChar">
    <w:name w:val="Footnote Text Char"/>
    <w:link w:val="FootnoteText"/>
    <w:uiPriority w:val="99"/>
    <w:semiHidden/>
    <w:unhideWhenUsed/>
    <w:rsid w:val="007C7E0C"/>
    <w:rPr>
      <w:sz w:val="20"/>
      <w:szCs w:val="20"/>
    </w:rPr>
  </w:style>
  <w:style w:type="character" w:styleId="EndnoteReference">
    <w:name w:val="endnote reference"/>
    <w:uiPriority w:val="99"/>
    <w:semiHidden/>
    <w:unhideWhenUsed/>
    <w:rsid w:val="007C7E0C"/>
    <w:rPr>
      <w:vertAlign w:val="superscript"/>
    </w:rPr>
  </w:style>
  <w:style w:type="paragraph" w:styleId="EndnoteText">
    <w:name w:val="endnote text"/>
    <w:link w:val="EndnoteTextChar"/>
    <w:uiPriority w:val="99"/>
    <w:semiHidden/>
    <w:unhideWhenUsed/>
    <w:rsid w:val="007C7E0C"/>
    <w:rPr>
      <w:sz w:val="20"/>
      <w:szCs w:val="20"/>
    </w:rPr>
  </w:style>
  <w:style w:type="character" w:customStyle="1" w:styleId="EndnoteTextChar">
    <w:name w:val="Endnote Text Char"/>
    <w:link w:val="EndnoteText"/>
    <w:uiPriority w:val="99"/>
    <w:semiHidden/>
    <w:unhideWhenUsed/>
    <w:rsid w:val="007C7E0C"/>
    <w:rPr>
      <w:sz w:val="20"/>
      <w:szCs w:val="20"/>
    </w:rPr>
  </w:style>
  <w:style w:type="paragraph" w:styleId="BalloonText">
    <w:name w:val="Balloon Text"/>
    <w:basedOn w:val="Normal"/>
    <w:link w:val="BalloonTextChar"/>
    <w:uiPriority w:val="99"/>
    <w:semiHidden/>
    <w:unhideWhenUsed/>
    <w:rsid w:val="006D5B16"/>
    <w:rPr>
      <w:rFonts w:ascii="Tahoma" w:hAnsi="Tahoma" w:cs="Tahoma"/>
      <w:sz w:val="16"/>
      <w:szCs w:val="16"/>
    </w:rPr>
  </w:style>
  <w:style w:type="character" w:customStyle="1" w:styleId="BalloonTextChar">
    <w:name w:val="Balloon Text Char"/>
    <w:basedOn w:val="DefaultParagraphFont"/>
    <w:link w:val="BalloonText"/>
    <w:uiPriority w:val="99"/>
    <w:semiHidden/>
    <w:rsid w:val="006D5B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1845</Words>
  <Characters>10518</Characters>
  <Application>Microsoft Office Word</Application>
  <DocSecurity>0</DocSecurity>
  <Lines>87</Lines>
  <Paragraphs>24</Paragraphs>
  <ScaleCrop>false</ScaleCrop>
  <Company>Grizli777</Company>
  <LinksUpToDate>false</LinksUpToDate>
  <CharactersWithSpaces>12339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Stanley</cp:lastModifiedBy>
  <cp:revision>3</cp:revision>
  <dcterms:created xsi:type="dcterms:W3CDTF">2026-06-22T07:39:00Z</dcterms:created>
  <dcterms:modified xsi:type="dcterms:W3CDTF">2026-06-22T07:39:00Z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