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C02" w:rsidRDefault="00D50213">
      <w:pPr>
        <w:spacing w:before="200" w:after="60"/>
      </w:pPr>
      <w:r>
        <w:rPr>
          <w:b/>
          <w:bCs/>
          <w:color w:val="1B3A6B"/>
          <w:sz w:val="40"/>
          <w:szCs w:val="40"/>
        </w:rPr>
        <w:t>HEALTHBRIDGE OCCUPATIONAL HEALTH LTD</w:t>
      </w:r>
    </w:p>
    <w:p w:rsidR="002F6C02" w:rsidRDefault="00D50213">
      <w:pPr>
        <w:spacing w:after="80"/>
      </w:pPr>
      <w:r>
        <w:rPr>
          <w:b/>
          <w:bCs/>
          <w:color w:val="1B3A6B"/>
          <w:sz w:val="28"/>
          <w:szCs w:val="28"/>
        </w:rPr>
        <w:t>Sustainability Policy</w:t>
      </w:r>
    </w:p>
    <w:p w:rsidR="002F6C02" w:rsidRDefault="00D50213">
      <w:pPr>
        <w:pBdr>
          <w:bottom w:val="thick" w:sz="12" w:space="3" w:color="1B3A6B"/>
        </w:pBdr>
        <w:spacing w:after="240"/>
      </w:pPr>
      <w:r>
        <w:rPr>
          <w:i/>
          <w:iCs/>
          <w:color w:val="6B7280"/>
          <w:sz w:val="19"/>
          <w:szCs w:val="19"/>
        </w:rPr>
        <w:t>GP-Led Occupational Health Services   |   Version 2.0   |   Effective 13 June 2026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1.  Our Approach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>HealthBridge Occupational Health Ltd is a small, fully remote business. We do not operate a physical office, do not employ staff, and conduct virtually all of our work digitally. Our environmental impact is, by the nature of the business, already low — and</w:t>
      </w:r>
      <w:r>
        <w:rPr>
          <w:color w:val="1A1A2E"/>
        </w:rPr>
        <w:t xml:space="preserve"> this policy sets out how we maintain that and continue to make sensible, proportionate choices as the business grows.</w:t>
      </w:r>
    </w:p>
    <w:p w:rsidR="002F6C02" w:rsidRDefault="002F6C02">
      <w:pPr>
        <w:spacing w:before="60"/>
      </w:pPr>
    </w:p>
    <w:tbl>
      <w:tblPr>
        <w:tblW w:w="9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9026"/>
      </w:tblGrid>
      <w:tr w:rsidR="002F6C02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1B3A6B"/>
              <w:left w:val="single" w:sz="18" w:space="0" w:color="1B3A6B"/>
              <w:bottom w:val="single" w:sz="4" w:space="0" w:color="1B3A6B"/>
              <w:right w:val="single" w:sz="4" w:space="0" w:color="1B3A6B"/>
            </w:tcBorders>
            <w:shd w:val="clear" w:color="auto" w:fill="E8EEF5"/>
            <w:tcMar>
              <w:top w:w="180" w:type="dxa"/>
              <w:left w:w="260" w:type="dxa"/>
              <w:bottom w:w="180" w:type="dxa"/>
              <w:right w:w="260" w:type="dxa"/>
            </w:tcMar>
          </w:tcPr>
          <w:p w:rsidR="002F6C02" w:rsidRDefault="00D50213">
            <w:r>
              <w:rPr>
                <w:i/>
                <w:iCs/>
                <w:color w:val="1B3A6B"/>
                <w:sz w:val="19"/>
                <w:szCs w:val="19"/>
              </w:rPr>
              <w:t>This policy reflects the genuine scale and structure of HealthBridge: a sole-practitioner, remote-first business. We have deliberately a</w:t>
            </w:r>
            <w:r>
              <w:rPr>
                <w:i/>
                <w:iCs/>
                <w:color w:val="1B3A6B"/>
                <w:sz w:val="19"/>
                <w:szCs w:val="19"/>
              </w:rPr>
              <w:t>voided adopting language or targets associated with large organisations (formal carbon offset programmes, supplier sustainability audits, staff engagement schemes) where they would not be honest or meaningful for a business of this size. As HealthBridge gr</w:t>
            </w:r>
            <w:r>
              <w:rPr>
                <w:i/>
                <w:iCs/>
                <w:color w:val="1B3A6B"/>
                <w:sz w:val="19"/>
                <w:szCs w:val="19"/>
              </w:rPr>
              <w:t>ows, this policy will be revisited and expanded where genuinely appropriate.</w:t>
            </w:r>
          </w:p>
        </w:tc>
      </w:tr>
    </w:tbl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2.  Digital-First by Design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>HealthBridge's operating model is paperless by default, not as a target to be measured but as how the business is actually run: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All referrals, consent documentation, OH reports, and correspondence are created, stored, and transmitted digitally.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Paper is used only in the rare instance where an employee specifically requests or requires a paper consent form (for example, due to a per</w:t>
      </w:r>
      <w:r>
        <w:t>sonal accessibility preference). Any paper record created is scanned and retained digitally alongside the original, in line with the Medical Records Retention Policy.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 xml:space="preserve">There is no printed marketing material, paper invoicing, or physical post correspondence </w:t>
      </w:r>
      <w:r>
        <w:t>as standard practice — invoicing is handled through Zoho Books and correspondence by encrypted email.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3.  Remote Service Delivery and Travel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 xml:space="preserve">Every HealthBridge assessment is conducted remotely by video or telephone. This is the core of the service model </w:t>
      </w:r>
      <w:r>
        <w:rPr>
          <w:color w:val="1A1A2E"/>
        </w:rPr>
        <w:t>and naturally avoids the travel associated with traditional in-person occupational health appointments — for the assessing clinician, the employee, and the employer.</w:t>
      </w:r>
    </w:p>
    <w:p w:rsidR="002F6C02" w:rsidRDefault="002F6C02">
      <w:pPr>
        <w:spacing w:before="60"/>
      </w:pPr>
    </w:p>
    <w:p w:rsidR="002F6C02" w:rsidRDefault="00D50213">
      <w:pPr>
        <w:spacing w:before="60" w:after="100"/>
      </w:pPr>
      <w:r>
        <w:rPr>
          <w:color w:val="1A1A2E"/>
        </w:rPr>
        <w:t>We have not attempted to produce a precise carbon-saving figure for this. Travel patterns</w:t>
      </w:r>
      <w:r>
        <w:rPr>
          <w:color w:val="1A1A2E"/>
        </w:rPr>
        <w:t xml:space="preserve"> vary enormously between individuals and locations, and a generic per-person estimate would not be a meaningful or honest representation of HealthBridge's specific impact. What can be said with </w:t>
      </w:r>
      <w:r>
        <w:rPr>
          <w:color w:val="1A1A2E"/>
        </w:rPr>
        <w:lastRenderedPageBreak/>
        <w:t>confidence is that remote delivery removes a category of trave</w:t>
      </w:r>
      <w:r>
        <w:rPr>
          <w:color w:val="1A1A2E"/>
        </w:rPr>
        <w:t>l emissions that a traditional in-person OH service would generate, for every assessment conducted.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4.  Technology and Energy Use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>HealthBridge's operations run on a small number of cloud-based platforms (video consultation, secure email, cloud document s</w:t>
      </w:r>
      <w:r>
        <w:rPr>
          <w:color w:val="1A1A2E"/>
        </w:rPr>
        <w:t>torage, Zoho Books for invoicing) and standard personal computing equipment. We make the following sensible choices: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 xml:space="preserve">We use major, established cloud and software providers (e.g., Microsoft) who publish their own sustainability commitments and operate at a </w:t>
      </w:r>
      <w:r>
        <w:t>scale where energy efficiency is independently incentivised. We do not make specific quantified comparative claims about one platform's efficiency versus another, as these are not something HealthBridge is in a position to independently verify.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Devices are</w:t>
      </w:r>
      <w:r>
        <w:t xml:space="preserve"> used for their full practical working life rather than replaced on a fixed cycle, and are kept well maintained to extend their lifespan.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Where devices reach end of life, they are disposed of through a responsible e-waste recycling route, or donated/resold</w:t>
      </w:r>
      <w:r>
        <w:t xml:space="preserve"> if still functional, rather than placed in general waste.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As a home-based, single-practitioner business, energy use is modest and is managed as part of normal household energy choices rather than a separate commercial energy programme.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5.  Procurement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>HealthBridge's procurement needs are minimal — there is no office to supply, no fleet of equipment, and no significant ongoing purchasing. Where purchases are made (for example, a replacement laptop or basic office equipment for home working), the followin</w:t>
      </w:r>
      <w:r>
        <w:rPr>
          <w:color w:val="1A1A2E"/>
        </w:rPr>
        <w:t>g principles are applied: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Preference for durable, well-supported equipment likely to have a long useful life over the cheapest available option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Preference for refurbished or certified pre-owned equipment where it meets the security and performance standard</w:t>
      </w:r>
      <w:r>
        <w:t>s required for clinical work (see the Confidentiality Policy)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Avoidance of unnecessary single-use items in day-to-day operations</w:t>
      </w:r>
    </w:p>
    <w:p w:rsidR="002F6C02" w:rsidRDefault="002F6C02">
      <w:pPr>
        <w:spacing w:before="60"/>
      </w:pPr>
    </w:p>
    <w:p w:rsidR="002F6C02" w:rsidRDefault="00D50213">
      <w:pPr>
        <w:spacing w:before="60" w:after="100"/>
      </w:pPr>
      <w:r>
        <w:rPr>
          <w:color w:val="1A1A2E"/>
        </w:rPr>
        <w:t>We have not set formal supplier certification requirements (such as requiring ISO 14001 certification from IT suppliers) as th</w:t>
      </w:r>
      <w:r>
        <w:rPr>
          <w:color w:val="1A1A2E"/>
        </w:rPr>
        <w:t>is would not be proportionate or meaningfully enforceable for a business of this scale purchasing standard consumer and small-business equipment.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6.  Waste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General waste generated by the business is minimal, consistent with a home-based, paperless operation.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Any paper records due for disposal are handled per the secure destruction process in the Medical Records Retention Policy (cross-cut shredding), with pap</w:t>
      </w:r>
      <w:r>
        <w:t>er waste recycled where confidentiality requirements allow.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Electronic waste (old devices, storage media) is disposed of through a certified e-waste recycling service or secure data destruction provider, never placed in general waste.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lastRenderedPageBreak/>
        <w:t>7.  What We Have Not</w:t>
      </w:r>
      <w:r>
        <w:rPr>
          <w:b/>
          <w:bCs/>
          <w:color w:val="1B3A6B"/>
          <w:sz w:val="28"/>
          <w:szCs w:val="28"/>
        </w:rPr>
        <w:t xml:space="preserve"> Committed To, and Why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>In the interest of honesty, this policy deliberately does not include certain commitments that would not be genuine or proportionate for a business of this size: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Formal carbon offsetting partnerships — we have not entered into a car</w:t>
      </w:r>
      <w:r>
        <w:t>bon offset scheme. If this changes in the future, this policy will be updated to reflect a real, named arrangement.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Supplier sustainability audits or certification requirements — not proportionate for the scale and nature of HealthBridge's purchasing.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Staf</w:t>
      </w:r>
      <w:r>
        <w:t>f sustainability engagement programmes or sustainability-linked appraisals — HealthBridge has no employees.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Quantified comparative environmental claims about third-party technology providers — we are not in a position to independently verify such claims an</w:t>
      </w:r>
      <w:r>
        <w:t>d will not make unsubstantiated comparisons in this policy.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8.  As the Business Grows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spacing w:before="60" w:after="100"/>
      </w:pPr>
      <w:r>
        <w:rPr>
          <w:color w:val="1A1A2E"/>
        </w:rPr>
        <w:t>Should HealthBridge expand to include associate practitioners, additional administrative support, or physical premises, this policy will be revisited and expanded to re</w:t>
      </w:r>
      <w:r>
        <w:rPr>
          <w:color w:val="1A1A2E"/>
        </w:rPr>
        <w:t>flect what is genuinely appropriate at that stage — which may include more formal environmental targets, supplier expectations, or staff-facing commitments. Until then, this policy reflects what HealthBridge actually does, rather than aspirational claims d</w:t>
      </w:r>
      <w:r>
        <w:rPr>
          <w:color w:val="1A1A2E"/>
        </w:rPr>
        <w:t>isconnected from its current size and structure.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9.  Policy Review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Formal annual review — next scheduled: 13 June 2027.</w:t>
      </w:r>
    </w:p>
    <w:p w:rsidR="002F6C02" w:rsidRDefault="00D50213">
      <w:pPr>
        <w:pStyle w:val="ListParagraph"/>
        <w:numPr>
          <w:ilvl w:val="0"/>
          <w:numId w:val="2"/>
        </w:numPr>
        <w:spacing w:before="40" w:after="40"/>
      </w:pPr>
      <w:r>
        <w:t>Ad-hoc review if the structure or scale of the business changes materially (e.g., new premises, associate practitioners, or staff).</w:t>
      </w:r>
    </w:p>
    <w:p w:rsidR="002F6C02" w:rsidRDefault="002F6C02">
      <w:pPr>
        <w:spacing w:before="80"/>
      </w:pPr>
    </w:p>
    <w:p w:rsidR="002F6C02" w:rsidRDefault="00D50213">
      <w:pPr>
        <w:spacing w:before="400" w:after="120"/>
      </w:pPr>
      <w:r>
        <w:rPr>
          <w:b/>
          <w:bCs/>
          <w:color w:val="1B3A6B"/>
          <w:sz w:val="28"/>
          <w:szCs w:val="28"/>
        </w:rPr>
        <w:t>10.  Version Control</w:t>
      </w:r>
    </w:p>
    <w:p w:rsidR="002F6C02" w:rsidRDefault="002F6C02">
      <w:pPr>
        <w:pBdr>
          <w:bottom w:val="single" w:sz="6" w:space="1" w:color="1B3A6B"/>
        </w:pBdr>
        <w:spacing w:before="60" w:after="200"/>
      </w:pPr>
    </w:p>
    <w:p w:rsidR="002F6C02" w:rsidRDefault="002F6C02">
      <w:pPr>
        <w:spacing w:before="60"/>
      </w:pPr>
    </w:p>
    <w:tbl>
      <w:tblPr>
        <w:tblW w:w="902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500"/>
        <w:gridCol w:w="2000"/>
        <w:gridCol w:w="3526"/>
        <w:gridCol w:w="2000"/>
      </w:tblGrid>
      <w:tr w:rsidR="002F6C02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F6C02" w:rsidRDefault="00D50213">
            <w:r>
              <w:rPr>
                <w:b/>
                <w:bCs/>
                <w:color w:val="FFFFFF"/>
                <w:sz w:val="19"/>
                <w:szCs w:val="19"/>
              </w:rPr>
              <w:t>Version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F6C02" w:rsidRDefault="00D50213">
            <w:r>
              <w:rPr>
                <w:b/>
                <w:bCs/>
                <w:color w:val="FFFFFF"/>
                <w:sz w:val="19"/>
                <w:szCs w:val="19"/>
              </w:rPr>
              <w:t>Date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F6C02" w:rsidRDefault="00D50213">
            <w:r>
              <w:rPr>
                <w:b/>
                <w:bCs/>
                <w:color w:val="FFFFFF"/>
                <w:sz w:val="19"/>
                <w:szCs w:val="19"/>
              </w:rPr>
              <w:t>Changes Made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F6C02" w:rsidRDefault="00D50213">
            <w:r>
              <w:rPr>
                <w:b/>
                <w:bCs/>
                <w:color w:val="FFFFFF"/>
                <w:sz w:val="19"/>
                <w:szCs w:val="19"/>
              </w:rPr>
              <w:t>Approved By</w:t>
            </w:r>
          </w:p>
        </w:tc>
      </w:tr>
      <w:tr w:rsidR="002F6C02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1.0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30/07/2025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Initial policy draft.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Dr. James Stanley</w:t>
            </w:r>
          </w:p>
        </w:tc>
      </w:tr>
      <w:tr w:rsidR="002F6C02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2.0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13/06/2026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Comprehensive rewrite to reflect the genuine scale and structure of HealthBridge as a sole-practitioner, remote-first business. Removed: references to a physical office; staff compliance reporting, appraisals, and engagement forums (no employees); fabricat</w:t>
            </w:r>
            <w:r>
              <w:rPr>
                <w:sz w:val="19"/>
                <w:szCs w:val="19"/>
              </w:rPr>
              <w:t xml:space="preserve">ed/unverifiable comparative statistic on Microsoft Teams vs Zoom energy efficiency; unverified per-employee carbon-saving figure based on assumed commute patterns; </w:t>
            </w:r>
            <w:r>
              <w:rPr>
                <w:sz w:val="19"/>
                <w:szCs w:val="19"/>
              </w:rPr>
              <w:lastRenderedPageBreak/>
              <w:t>named Ecologi carbon offset partnership (not an active arrangement); formal IT hardware refu</w:t>
            </w:r>
            <w:r>
              <w:rPr>
                <w:sz w:val="19"/>
                <w:szCs w:val="19"/>
              </w:rPr>
              <w:t>rbishment targets, FSC-certified office supplies requirements, and ISO 14001 supplier certification requirements (disproportionate for current purchasing scale). Replaced with an honest, proportionate description of HealthBridge's actual paperless, remote-</w:t>
            </w:r>
            <w:r>
              <w:rPr>
                <w:sz w:val="19"/>
                <w:szCs w:val="19"/>
              </w:rPr>
              <w:t>first operating model and a transparent statement of what has deliberately not been committed to and why.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lastRenderedPageBreak/>
              <w:t>Dr. James Stanley</w:t>
            </w:r>
          </w:p>
        </w:tc>
      </w:tr>
      <w:tr w:rsidR="002F6C02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lastRenderedPageBreak/>
              <w:t>2.1</w:t>
            </w:r>
          </w:p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D50213">
            <w:r>
              <w:rPr>
                <w:sz w:val="19"/>
                <w:szCs w:val="19"/>
              </w:rPr>
              <w:t>[DD/MM/YYYY]</w:t>
            </w:r>
          </w:p>
        </w:tc>
        <w:tc>
          <w:tcPr>
            <w:tcW w:w="3526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2F6C02"/>
        </w:tc>
        <w:tc>
          <w:tcPr>
            <w:tcW w:w="2000" w:type="dxa"/>
            <w:tcBorders>
              <w:top w:val="single" w:sz="1" w:space="0" w:color="C5CEDE"/>
              <w:left w:val="single" w:sz="1" w:space="0" w:color="C5CEDE"/>
              <w:bottom w:val="single" w:sz="1" w:space="0" w:color="C5CEDE"/>
              <w:right w:val="single" w:sz="1" w:space="0" w:color="C5CED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F6C02" w:rsidRDefault="002F6C02"/>
        </w:tc>
      </w:tr>
    </w:tbl>
    <w:p w:rsidR="002F6C02" w:rsidRDefault="002F6C02">
      <w:pPr>
        <w:spacing w:before="160"/>
      </w:pPr>
    </w:p>
    <w:p w:rsidR="002F6C02" w:rsidRDefault="00D50213">
      <w:pPr>
        <w:spacing w:before="60" w:after="100"/>
      </w:pPr>
      <w:r>
        <w:rPr>
          <w:b/>
          <w:bCs/>
          <w:color w:val="1A1A2E"/>
        </w:rPr>
        <w:t>Approved by: Dr. James Stanley</w:t>
      </w:r>
    </w:p>
    <w:p w:rsidR="002F6C02" w:rsidRDefault="00D50213">
      <w:pPr>
        <w:spacing w:before="60" w:after="100"/>
      </w:pPr>
      <w:r>
        <w:rPr>
          <w:color w:val="1A1A2E"/>
        </w:rPr>
        <w:t>Contact: contact@healthbridge.org.uk</w:t>
      </w:r>
    </w:p>
    <w:p w:rsidR="002F6C02" w:rsidRDefault="002F6C02">
      <w:pPr>
        <w:spacing w:before="60"/>
      </w:pPr>
    </w:p>
    <w:p w:rsidR="002F6C02" w:rsidRDefault="00D50213">
      <w:pPr>
        <w:spacing w:before="60" w:after="100"/>
      </w:pPr>
      <w:r>
        <w:rPr>
          <w:i/>
          <w:iCs/>
          <w:color w:val="6B7280"/>
        </w:rPr>
        <w:t>HealthBridge Occupational Health Ltd  |  Company No: 16615396</w:t>
      </w:r>
    </w:p>
    <w:p w:rsidR="002F6C02" w:rsidRDefault="00D50213">
      <w:pPr>
        <w:spacing w:before="60" w:after="100"/>
      </w:pPr>
      <w:r>
        <w:rPr>
          <w:i/>
          <w:iCs/>
          <w:color w:val="6B7280"/>
        </w:rPr>
        <w:t>Registered Address: 50 Hadow Way, Gloucester, GL2 4YJ</w:t>
      </w:r>
    </w:p>
    <w:p w:rsidR="002F6C02" w:rsidRDefault="00D50213">
      <w:pPr>
        <w:spacing w:before="60" w:after="100"/>
      </w:pPr>
      <w:r>
        <w:rPr>
          <w:i/>
          <w:iCs/>
          <w:color w:val="6B7280"/>
        </w:rPr>
        <w:t>© HealthBridge Occupational Health Ltd. Unauthorised distribution prohibited.</w:t>
      </w:r>
    </w:p>
    <w:sectPr w:rsidR="002F6C02" w:rsidSect="002F6C02">
      <w:headerReference w:type="default" r:id="rId7"/>
      <w:footerReference w:type="default" r:id="rId8"/>
      <w:pgSz w:w="11906" w:h="16838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C02" w:rsidRDefault="002F6C02" w:rsidP="002F6C02">
      <w:r>
        <w:separator/>
      </w:r>
    </w:p>
  </w:endnote>
  <w:endnote w:type="continuationSeparator" w:id="0">
    <w:p w:rsidR="002F6C02" w:rsidRDefault="002F6C02" w:rsidP="002F6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C02" w:rsidRDefault="00D50213">
    <w:pPr>
      <w:pBdr>
        <w:top w:val="single" w:sz="4" w:space="2" w:color="1B3A6B"/>
      </w:pBdr>
      <w:tabs>
        <w:tab w:val="right" w:pos="9026"/>
      </w:tabs>
      <w:spacing w:before="120"/>
    </w:pPr>
    <w:r>
      <w:rPr>
        <w:color w:val="6B7280"/>
        <w:sz w:val="16"/>
        <w:szCs w:val="16"/>
      </w:rPr>
      <w:t>HealthBridge Occupational Health Ltd  |  Co. No: 16615396  |  50 Hadow Way, Gloucester, GL2 4YJ</w:t>
    </w:r>
    <w:r>
      <w:rPr>
        <w:color w:val="6B7280"/>
        <w:sz w:val="16"/>
        <w:szCs w:val="16"/>
      </w:rPr>
      <w:tab/>
      <w:t xml:space="preserve">Page </w:t>
    </w:r>
    <w:r w:rsidR="002F6C02"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 w:rsidR="007F4411">
      <w:rPr>
        <w:color w:val="6B7280"/>
        <w:sz w:val="16"/>
        <w:szCs w:val="16"/>
      </w:rPr>
      <w:fldChar w:fldCharType="separate"/>
    </w:r>
    <w:r w:rsidR="007F4411">
      <w:rPr>
        <w:noProof/>
        <w:color w:val="6B7280"/>
        <w:sz w:val="16"/>
        <w:szCs w:val="16"/>
      </w:rPr>
      <w:t>2</w:t>
    </w:r>
    <w:r w:rsidR="002F6C02">
      <w:rPr>
        <w:color w:val="6B728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C02" w:rsidRDefault="002F6C02" w:rsidP="002F6C02">
      <w:r>
        <w:separator/>
      </w:r>
    </w:p>
  </w:footnote>
  <w:footnote w:type="continuationSeparator" w:id="0">
    <w:p w:rsidR="002F6C02" w:rsidRDefault="002F6C02" w:rsidP="002F6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C02" w:rsidRDefault="00D50213">
    <w:pPr>
      <w:tabs>
        <w:tab w:val="right" w:pos="9026"/>
      </w:tabs>
      <w:spacing w:after="100"/>
    </w:pPr>
    <w:r>
      <w:rPr>
        <w:color w:val="6B7280"/>
        <w:sz w:val="16"/>
        <w:szCs w:val="16"/>
      </w:rPr>
      <w:t>Version 2.0  |  Effective: 13/06/2026  |  Owner: Dr. James Stanley</w:t>
    </w:r>
    <w:r>
      <w:rPr>
        <w:color w:val="6B7280"/>
        <w:sz w:val="16"/>
        <w:szCs w:val="16"/>
      </w:rPr>
      <w:tab/>
      <w:t>Next Review: 13/06/2027</w:t>
    </w:r>
  </w:p>
  <w:p w:rsidR="002F6C02" w:rsidRDefault="002F6C02">
    <w:pPr>
      <w:pBdr>
        <w:bottom w:val="single" w:sz="6" w:space="1" w:color="1B3A6B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00487"/>
    <w:multiLevelType w:val="hybridMultilevel"/>
    <w:tmpl w:val="A4C254C4"/>
    <w:lvl w:ilvl="0" w:tplc="753621D4">
      <w:start w:val="1"/>
      <w:numFmt w:val="bullet"/>
      <w:lvlText w:val="•"/>
      <w:lvlJc w:val="left"/>
      <w:pPr>
        <w:ind w:left="540" w:hanging="360"/>
      </w:pPr>
    </w:lvl>
    <w:lvl w:ilvl="1" w:tplc="458C7A2E">
      <w:numFmt w:val="decimal"/>
      <w:lvlText w:val=""/>
      <w:lvlJc w:val="left"/>
    </w:lvl>
    <w:lvl w:ilvl="2" w:tplc="9D6A6EE0">
      <w:numFmt w:val="decimal"/>
      <w:lvlText w:val=""/>
      <w:lvlJc w:val="left"/>
    </w:lvl>
    <w:lvl w:ilvl="3" w:tplc="FD5C61E4">
      <w:numFmt w:val="decimal"/>
      <w:lvlText w:val=""/>
      <w:lvlJc w:val="left"/>
    </w:lvl>
    <w:lvl w:ilvl="4" w:tplc="C7A6DB2C">
      <w:numFmt w:val="decimal"/>
      <w:lvlText w:val=""/>
      <w:lvlJc w:val="left"/>
    </w:lvl>
    <w:lvl w:ilvl="5" w:tplc="E7D4597A">
      <w:numFmt w:val="decimal"/>
      <w:lvlText w:val=""/>
      <w:lvlJc w:val="left"/>
    </w:lvl>
    <w:lvl w:ilvl="6" w:tplc="FEEEA058">
      <w:numFmt w:val="decimal"/>
      <w:lvlText w:val=""/>
      <w:lvlJc w:val="left"/>
    </w:lvl>
    <w:lvl w:ilvl="7" w:tplc="EA34832C">
      <w:numFmt w:val="decimal"/>
      <w:lvlText w:val=""/>
      <w:lvlJc w:val="left"/>
    </w:lvl>
    <w:lvl w:ilvl="8" w:tplc="96C0B0C8">
      <w:numFmt w:val="decimal"/>
      <w:lvlText w:val=""/>
      <w:lvlJc w:val="left"/>
    </w:lvl>
  </w:abstractNum>
  <w:abstractNum w:abstractNumId="1">
    <w:nsid w:val="7C53515B"/>
    <w:multiLevelType w:val="hybridMultilevel"/>
    <w:tmpl w:val="9886F856"/>
    <w:lvl w:ilvl="0" w:tplc="A4E8CE90">
      <w:start w:val="1"/>
      <w:numFmt w:val="bullet"/>
      <w:lvlText w:val="●"/>
      <w:lvlJc w:val="left"/>
      <w:pPr>
        <w:ind w:left="720" w:hanging="360"/>
      </w:pPr>
    </w:lvl>
    <w:lvl w:ilvl="1" w:tplc="000C4844">
      <w:start w:val="1"/>
      <w:numFmt w:val="bullet"/>
      <w:lvlText w:val="○"/>
      <w:lvlJc w:val="left"/>
      <w:pPr>
        <w:ind w:left="1440" w:hanging="360"/>
      </w:pPr>
    </w:lvl>
    <w:lvl w:ilvl="2" w:tplc="EF5EB2BA">
      <w:start w:val="1"/>
      <w:numFmt w:val="bullet"/>
      <w:lvlText w:val="■"/>
      <w:lvlJc w:val="left"/>
      <w:pPr>
        <w:ind w:left="2160" w:hanging="360"/>
      </w:pPr>
    </w:lvl>
    <w:lvl w:ilvl="3" w:tplc="065C601C">
      <w:start w:val="1"/>
      <w:numFmt w:val="bullet"/>
      <w:lvlText w:val="●"/>
      <w:lvlJc w:val="left"/>
      <w:pPr>
        <w:ind w:left="2880" w:hanging="360"/>
      </w:pPr>
    </w:lvl>
    <w:lvl w:ilvl="4" w:tplc="6870E8E4">
      <w:start w:val="1"/>
      <w:numFmt w:val="bullet"/>
      <w:lvlText w:val="○"/>
      <w:lvlJc w:val="left"/>
      <w:pPr>
        <w:ind w:left="3600" w:hanging="360"/>
      </w:pPr>
    </w:lvl>
    <w:lvl w:ilvl="5" w:tplc="1CFC61AE">
      <w:start w:val="1"/>
      <w:numFmt w:val="bullet"/>
      <w:lvlText w:val="■"/>
      <w:lvlJc w:val="left"/>
      <w:pPr>
        <w:ind w:left="4320" w:hanging="360"/>
      </w:pPr>
    </w:lvl>
    <w:lvl w:ilvl="6" w:tplc="D1424A80">
      <w:start w:val="1"/>
      <w:numFmt w:val="bullet"/>
      <w:lvlText w:val="●"/>
      <w:lvlJc w:val="left"/>
      <w:pPr>
        <w:ind w:left="5040" w:hanging="360"/>
      </w:pPr>
    </w:lvl>
    <w:lvl w:ilvl="7" w:tplc="7FFC7B30">
      <w:start w:val="1"/>
      <w:numFmt w:val="bullet"/>
      <w:lvlText w:val="●"/>
      <w:lvlJc w:val="left"/>
      <w:pPr>
        <w:ind w:left="5760" w:hanging="360"/>
      </w:pPr>
    </w:lvl>
    <w:lvl w:ilvl="8" w:tplc="5D8AE67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C02"/>
    <w:rsid w:val="002F6C02"/>
    <w:rsid w:val="007F4411"/>
    <w:rsid w:val="00D5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2F6C02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2F6C02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2F6C02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2F6C02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2F6C02"/>
    <w:pPr>
      <w:outlineLvl w:val="4"/>
    </w:pPr>
    <w:rPr>
      <w:color w:val="2E74B5"/>
    </w:rPr>
  </w:style>
  <w:style w:type="paragraph" w:styleId="Heading6">
    <w:name w:val="heading 6"/>
    <w:qFormat/>
    <w:rsid w:val="002F6C02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2F6C02"/>
    <w:rPr>
      <w:sz w:val="56"/>
      <w:szCs w:val="56"/>
    </w:rPr>
  </w:style>
  <w:style w:type="paragraph" w:customStyle="1" w:styleId="Strong1">
    <w:name w:val="Strong1"/>
    <w:qFormat/>
    <w:rsid w:val="002F6C02"/>
    <w:rPr>
      <w:b/>
      <w:bCs/>
    </w:rPr>
  </w:style>
  <w:style w:type="paragraph" w:styleId="ListParagraph">
    <w:name w:val="List Paragraph"/>
    <w:qFormat/>
    <w:rsid w:val="002F6C02"/>
  </w:style>
  <w:style w:type="character" w:styleId="Hyperlink">
    <w:name w:val="Hyperlink"/>
    <w:uiPriority w:val="99"/>
    <w:unhideWhenUsed/>
    <w:rsid w:val="002F6C02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2F6C02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2F6C02"/>
  </w:style>
  <w:style w:type="character" w:customStyle="1" w:styleId="FootnoteTextChar">
    <w:name w:val="Footnote Text Char"/>
    <w:link w:val="FootnoteText"/>
    <w:uiPriority w:val="99"/>
    <w:semiHidden/>
    <w:unhideWhenUsed/>
    <w:rsid w:val="002F6C02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2F6C02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2F6C02"/>
  </w:style>
  <w:style w:type="character" w:customStyle="1" w:styleId="EndnoteTextChar">
    <w:name w:val="Endnote Text Char"/>
    <w:link w:val="EndnoteText"/>
    <w:uiPriority w:val="99"/>
    <w:semiHidden/>
    <w:unhideWhenUsed/>
    <w:rsid w:val="002F6C0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6812</Characters>
  <Application>Microsoft Office Word</Application>
  <DocSecurity>0</DocSecurity>
  <Lines>56</Lines>
  <Paragraphs>15</Paragraphs>
  <ScaleCrop>false</ScaleCrop>
  <Company>Grizli777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James Stanley</cp:lastModifiedBy>
  <cp:revision>3</cp:revision>
  <dcterms:created xsi:type="dcterms:W3CDTF">2026-06-17T11:30:00Z</dcterms:created>
  <dcterms:modified xsi:type="dcterms:W3CDTF">2026-06-17T11:30:00Z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