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328" w:rsidRDefault="00CB7C15">
      <w:pPr>
        <w:spacing w:before="200" w:after="60"/>
      </w:pPr>
      <w:r>
        <w:rPr>
          <w:b/>
          <w:bCs/>
          <w:color w:val="1B3A6B"/>
          <w:sz w:val="40"/>
          <w:szCs w:val="40"/>
        </w:rPr>
        <w:t>HEALTHBRIDGE OCCUPATIONAL HEALTH LTD</w:t>
      </w:r>
    </w:p>
    <w:p w:rsidR="00491328" w:rsidRDefault="00CB7C15">
      <w:pPr>
        <w:spacing w:after="80"/>
      </w:pPr>
      <w:r>
        <w:rPr>
          <w:b/>
          <w:bCs/>
          <w:color w:val="1B3A6B"/>
          <w:sz w:val="28"/>
          <w:szCs w:val="28"/>
        </w:rPr>
        <w:t>Subject Access Request Policy</w:t>
      </w:r>
    </w:p>
    <w:p w:rsidR="00491328" w:rsidRDefault="00CB7C15">
      <w:pPr>
        <w:pBdr>
          <w:bottom w:val="thick" w:sz="12" w:space="3" w:color="1B3A6B"/>
        </w:pBdr>
        <w:spacing w:after="240"/>
      </w:pPr>
      <w:r>
        <w:rPr>
          <w:i/>
          <w:iCs/>
          <w:color w:val="6B7280"/>
          <w:sz w:val="19"/>
          <w:szCs w:val="19"/>
        </w:rPr>
        <w:t>GP-Led Occupational Health Services   |   Version 2.0   |   Effective 13 June 2026</w:t>
      </w:r>
    </w:p>
    <w:p w:rsidR="00491328" w:rsidRDefault="00491328">
      <w:pPr>
        <w:spacing w:before="80"/>
      </w:pPr>
    </w:p>
    <w:p w:rsidR="00491328" w:rsidRDefault="00CB7C15">
      <w:pPr>
        <w:spacing w:before="400" w:after="120"/>
      </w:pPr>
      <w:r>
        <w:rPr>
          <w:b/>
          <w:bCs/>
          <w:color w:val="1B3A6B"/>
          <w:sz w:val="28"/>
          <w:szCs w:val="28"/>
        </w:rPr>
        <w:t>1.  Purpose and Legal Basis</w:t>
      </w:r>
    </w:p>
    <w:p w:rsidR="00491328" w:rsidRDefault="00491328">
      <w:pPr>
        <w:pBdr>
          <w:bottom w:val="single" w:sz="6" w:space="1" w:color="1B3A6B"/>
        </w:pBdr>
        <w:spacing w:before="60" w:after="200"/>
      </w:pPr>
    </w:p>
    <w:p w:rsidR="00491328" w:rsidRDefault="00CB7C15">
      <w:pPr>
        <w:spacing w:before="60" w:after="100"/>
      </w:pPr>
      <w:r>
        <w:rPr>
          <w:color w:val="1A1A2E"/>
        </w:rPr>
        <w:t xml:space="preserve">This policy sets out how HealthBridge Occupational Health Ltd handles Subject Access Requests (SARs) — requests made by individuals to access the personal data held about them. It ensures that SARs are handled fairly, promptly, and in full compliance with </w:t>
      </w:r>
      <w:r>
        <w:rPr>
          <w:color w:val="1A1A2E"/>
        </w:rPr>
        <w:t>data protection law.</w:t>
      </w:r>
    </w:p>
    <w:p w:rsidR="00491328" w:rsidRDefault="00491328">
      <w:pPr>
        <w:spacing w:before="60"/>
      </w:pPr>
    </w:p>
    <w:p w:rsidR="00491328" w:rsidRDefault="00CB7C15">
      <w:pPr>
        <w:spacing w:before="60" w:after="100"/>
      </w:pPr>
      <w:r>
        <w:rPr>
          <w:color w:val="1A1A2E"/>
        </w:rPr>
        <w:t>HealthBridge complies with:</w:t>
      </w:r>
    </w:p>
    <w:p w:rsidR="00491328" w:rsidRDefault="00CB7C15">
      <w:pPr>
        <w:pStyle w:val="ListParagraph"/>
        <w:numPr>
          <w:ilvl w:val="0"/>
          <w:numId w:val="2"/>
        </w:numPr>
        <w:spacing w:before="40" w:after="40"/>
      </w:pPr>
      <w:r>
        <w:t>UK GDPR Article 15 — the primary right of access, which entitles individuals to obtain a copy of their personal data and supplementary information about how it is processed</w:t>
      </w:r>
    </w:p>
    <w:p w:rsidR="00491328" w:rsidRDefault="00CB7C15">
      <w:pPr>
        <w:pStyle w:val="ListParagraph"/>
        <w:numPr>
          <w:ilvl w:val="0"/>
          <w:numId w:val="2"/>
        </w:numPr>
        <w:spacing w:before="40" w:after="40"/>
      </w:pPr>
      <w:r>
        <w:t>Data Protection Act 2018 — includ</w:t>
      </w:r>
      <w:r>
        <w:t>ing Schedule 2 exemptions applicable to health data and other categories</w:t>
      </w:r>
    </w:p>
    <w:p w:rsidR="00491328" w:rsidRDefault="00CB7C15">
      <w:pPr>
        <w:pStyle w:val="ListParagraph"/>
        <w:numPr>
          <w:ilvl w:val="0"/>
          <w:numId w:val="2"/>
        </w:numPr>
        <w:spacing w:before="40" w:after="40"/>
      </w:pPr>
      <w:r>
        <w:t>ICO Subject Access Request Guidance</w:t>
      </w:r>
    </w:p>
    <w:p w:rsidR="00491328" w:rsidRDefault="00CB7C15">
      <w:pPr>
        <w:pStyle w:val="ListParagraph"/>
        <w:numPr>
          <w:ilvl w:val="0"/>
          <w:numId w:val="2"/>
        </w:numPr>
        <w:spacing w:before="40" w:after="40"/>
      </w:pPr>
      <w:r>
        <w:t>GMC Confidentiality: Good Practice in Handling Patient Information (2017) — guidance on withholding data where disclosure would cause serious harm</w:t>
      </w:r>
    </w:p>
    <w:p w:rsidR="00491328" w:rsidRDefault="00491328">
      <w:pPr>
        <w:spacing w:before="80"/>
      </w:pPr>
    </w:p>
    <w:p w:rsidR="00491328" w:rsidRDefault="00CB7C15">
      <w:pPr>
        <w:spacing w:before="400" w:after="120"/>
      </w:pPr>
      <w:r>
        <w:rPr>
          <w:b/>
          <w:bCs/>
          <w:color w:val="1B3A6B"/>
          <w:sz w:val="28"/>
          <w:szCs w:val="28"/>
        </w:rPr>
        <w:t>2.  Scope</w:t>
      </w:r>
    </w:p>
    <w:p w:rsidR="00491328" w:rsidRDefault="00491328">
      <w:pPr>
        <w:pBdr>
          <w:bottom w:val="single" w:sz="6" w:space="1" w:color="1B3A6B"/>
        </w:pBdr>
        <w:spacing w:before="60" w:after="200"/>
      </w:pPr>
    </w:p>
    <w:p w:rsidR="00491328" w:rsidRDefault="00CB7C15">
      <w:pPr>
        <w:spacing w:before="280" w:after="100"/>
      </w:pPr>
      <w:proofErr w:type="gramStart"/>
      <w:r>
        <w:rPr>
          <w:b/>
          <w:bCs/>
          <w:color w:val="1B3A6B"/>
          <w:sz w:val="22"/>
          <w:szCs w:val="22"/>
        </w:rPr>
        <w:t>2.1  What</w:t>
      </w:r>
      <w:proofErr w:type="gramEnd"/>
      <w:r>
        <w:rPr>
          <w:b/>
          <w:bCs/>
          <w:color w:val="1B3A6B"/>
          <w:sz w:val="22"/>
          <w:szCs w:val="22"/>
        </w:rPr>
        <w:t xml:space="preserve"> Can Be Requested</w:t>
      </w:r>
    </w:p>
    <w:p w:rsidR="00491328" w:rsidRDefault="00CB7C15">
      <w:pPr>
        <w:spacing w:before="60" w:after="100"/>
      </w:pPr>
      <w:r>
        <w:rPr>
          <w:color w:val="1A1A2E"/>
        </w:rPr>
        <w:t>A SAR entitles an individual to access all personal data held about them by HealthBridge, including:</w:t>
      </w:r>
    </w:p>
    <w:p w:rsidR="00491328" w:rsidRDefault="00CB7C15">
      <w:pPr>
        <w:pStyle w:val="ListParagraph"/>
        <w:numPr>
          <w:ilvl w:val="0"/>
          <w:numId w:val="2"/>
        </w:numPr>
        <w:spacing w:before="40" w:after="40"/>
      </w:pPr>
      <w:r>
        <w:t>OH assessment records, clinical notes, and reports</w:t>
      </w:r>
    </w:p>
    <w:p w:rsidR="00491328" w:rsidRDefault="00CB7C15">
      <w:pPr>
        <w:pStyle w:val="ListParagraph"/>
        <w:numPr>
          <w:ilvl w:val="0"/>
          <w:numId w:val="2"/>
        </w:numPr>
        <w:spacing w:before="40" w:after="40"/>
      </w:pPr>
      <w:r>
        <w:t>Referral documentation</w:t>
      </w:r>
    </w:p>
    <w:p w:rsidR="00491328" w:rsidRDefault="00CB7C15">
      <w:pPr>
        <w:pStyle w:val="ListParagraph"/>
        <w:numPr>
          <w:ilvl w:val="0"/>
          <w:numId w:val="2"/>
        </w:numPr>
        <w:spacing w:before="40" w:after="40"/>
      </w:pPr>
      <w:r>
        <w:t>Correspondence relating to the individual</w:t>
      </w:r>
    </w:p>
    <w:p w:rsidR="00491328" w:rsidRDefault="00CB7C15">
      <w:pPr>
        <w:pStyle w:val="ListParagraph"/>
        <w:numPr>
          <w:ilvl w:val="0"/>
          <w:numId w:val="2"/>
        </w:numPr>
        <w:spacing w:before="40" w:after="40"/>
      </w:pPr>
      <w:r>
        <w:t>Consent records</w:t>
      </w:r>
    </w:p>
    <w:p w:rsidR="00491328" w:rsidRDefault="00CB7C15">
      <w:pPr>
        <w:pStyle w:val="ListParagraph"/>
        <w:numPr>
          <w:ilvl w:val="0"/>
          <w:numId w:val="2"/>
        </w:numPr>
        <w:spacing w:before="40" w:after="40"/>
      </w:pPr>
      <w:r>
        <w:t>Any other records containing the individual's personal data</w:t>
      </w:r>
    </w:p>
    <w:p w:rsidR="00491328" w:rsidRDefault="00491328">
      <w:pPr>
        <w:spacing w:before="80"/>
      </w:pPr>
    </w:p>
    <w:p w:rsidR="00491328" w:rsidRDefault="00CB7C15">
      <w:pPr>
        <w:spacing w:before="280" w:after="100"/>
      </w:pPr>
      <w:proofErr w:type="gramStart"/>
      <w:r>
        <w:rPr>
          <w:b/>
          <w:bCs/>
          <w:color w:val="1B3A6B"/>
          <w:sz w:val="22"/>
          <w:szCs w:val="22"/>
        </w:rPr>
        <w:t>2.2  Exemptions</w:t>
      </w:r>
      <w:proofErr w:type="gramEnd"/>
      <w:r>
        <w:rPr>
          <w:b/>
          <w:bCs/>
          <w:color w:val="1B3A6B"/>
          <w:sz w:val="22"/>
          <w:szCs w:val="22"/>
        </w:rPr>
        <w:t xml:space="preserve"> — What May Be Withheld</w:t>
      </w:r>
    </w:p>
    <w:p w:rsidR="00491328" w:rsidRDefault="00CB7C15">
      <w:pPr>
        <w:spacing w:before="60" w:after="100"/>
      </w:pPr>
      <w:r>
        <w:rPr>
          <w:color w:val="1A1A2E"/>
        </w:rPr>
        <w:t>Not all personal data must be disclosed in response to a SAR. The following exemptions may apply and will be assessed on a case-by-case basi</w:t>
      </w:r>
      <w:r>
        <w:rPr>
          <w:color w:val="1A1A2E"/>
        </w:rPr>
        <w:t>s, with reasons documented:</w:t>
      </w:r>
    </w:p>
    <w:p w:rsidR="00491328" w:rsidRDefault="0049132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6026"/>
      </w:tblGrid>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Exemption</w:t>
            </w:r>
          </w:p>
        </w:tc>
        <w:tc>
          <w:tcPr>
            <w:tcW w:w="60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Basis and Application</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Third-party data</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Information relating to an identifiable third party (e.g., a named colleague or employer contact) is redacted unless the third party has consented to disclosure or it is reasonable to disclose without consent. (UK GDPR Article 15(4); DPA 2018 Schedule 2, P</w:t>
            </w:r>
            <w:r>
              <w:rPr>
                <w:sz w:val="19"/>
                <w:szCs w:val="19"/>
              </w:rPr>
              <w:t>ara 16.)</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Serious harm exemption</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 xml:space="preserve">Data that, if disclosed to the data subject, would be likely to cause serious physical or mental harm to them or to another person may </w:t>
            </w:r>
            <w:r>
              <w:rPr>
                <w:sz w:val="19"/>
                <w:szCs w:val="19"/>
              </w:rPr>
              <w:lastRenderedPageBreak/>
              <w:t>be withheld. (DPA 2018 Schedule 3, Para 2.) This applies rarely and requires documented clinical judgment. MPS is consult</w:t>
            </w:r>
            <w:r>
              <w:rPr>
                <w:sz w:val="19"/>
                <w:szCs w:val="19"/>
              </w:rPr>
              <w:t>ed before withholding on this basis.</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lastRenderedPageBreak/>
              <w:t>Legal professional privilege</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Information prepared in connection with actual or anticipated legal proceedings, or for the purpose of giving legal advice, may be exempt. (DPA 2018 Schedule 2, Para 19.) Legal advice is so</w:t>
            </w:r>
            <w:r>
              <w:rPr>
                <w:sz w:val="19"/>
                <w:szCs w:val="19"/>
              </w:rPr>
              <w:t>ught before invoking this exemption.</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Manifestly unfounded or excessive requests</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Where a request is clearly vexatious or unreasonably repetitive, a reasonable fee may be charged or the request may be refused. This exemption is applied narrowly and with doc</w:t>
            </w:r>
            <w:r>
              <w:rPr>
                <w:sz w:val="19"/>
                <w:szCs w:val="19"/>
              </w:rPr>
              <w:t>umented justification. (UK GDPR Article 12(5).)</w:t>
            </w:r>
          </w:p>
        </w:tc>
      </w:tr>
    </w:tbl>
    <w:p w:rsidR="00491328" w:rsidRDefault="00491328">
      <w:pPr>
        <w:spacing w:before="80"/>
      </w:pPr>
    </w:p>
    <w:p w:rsidR="00491328" w:rsidRDefault="00CB7C15">
      <w:pPr>
        <w:spacing w:before="400" w:after="120"/>
      </w:pPr>
      <w:r>
        <w:rPr>
          <w:b/>
          <w:bCs/>
          <w:color w:val="1B3A6B"/>
          <w:sz w:val="28"/>
          <w:szCs w:val="28"/>
        </w:rPr>
        <w:t xml:space="preserve">3.  Who Can Make a Subject Access </w:t>
      </w:r>
      <w:proofErr w:type="gramStart"/>
      <w:r>
        <w:rPr>
          <w:b/>
          <w:bCs/>
          <w:color w:val="1B3A6B"/>
          <w:sz w:val="28"/>
          <w:szCs w:val="28"/>
        </w:rPr>
        <w:t>Request</w:t>
      </w:r>
      <w:proofErr w:type="gramEnd"/>
    </w:p>
    <w:p w:rsidR="00491328" w:rsidRDefault="00491328">
      <w:pPr>
        <w:pBdr>
          <w:bottom w:val="single" w:sz="6" w:space="1" w:color="1B3A6B"/>
        </w:pBdr>
        <w:spacing w:before="60" w:after="200"/>
      </w:pPr>
    </w:p>
    <w:p w:rsidR="00491328" w:rsidRDefault="0049132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800"/>
        <w:gridCol w:w="6226"/>
      </w:tblGrid>
      <w:tr w:rsidR="00491328">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Requester</w:t>
            </w:r>
          </w:p>
        </w:tc>
        <w:tc>
          <w:tcPr>
            <w:tcW w:w="62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Requirements</w:t>
            </w:r>
          </w:p>
        </w:tc>
      </w:tr>
      <w:tr w:rsidR="00491328">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The data subject (employee / former employee)</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Any current or former employee whose data is held by HealthBridge. No reason needs to be given. Identity is verified as described in Section 4.</w:t>
            </w:r>
          </w:p>
        </w:tc>
      </w:tr>
      <w:tr w:rsidR="00491328">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Legal representative</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A solicitor or other legal representative may request on behalf of the data subject with a signed written authority from the data subject, specifically authorising access to HealthBridge records. A general authority letter is not sufficient — it must speci</w:t>
            </w:r>
            <w:r>
              <w:rPr>
                <w:sz w:val="19"/>
                <w:szCs w:val="19"/>
              </w:rPr>
              <w:t>fically name HealthBridge or occupational health records.</w:t>
            </w:r>
          </w:p>
        </w:tc>
      </w:tr>
      <w:tr w:rsidR="00491328">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Employer</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An employer has no right of access to an employee's personal health data by way of a SAR. Employer access to OH report content is governed by the consent process and the Referral and Repor</w:t>
            </w:r>
            <w:r>
              <w:rPr>
                <w:sz w:val="19"/>
                <w:szCs w:val="19"/>
              </w:rPr>
              <w:t>ting Policy. An employer SAR is declined and the employer referred to the appropriate process.</w:t>
            </w:r>
          </w:p>
        </w:tc>
      </w:tr>
      <w:tr w:rsidR="00491328">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Deceased individual — executor or administrator</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Access to records of a deceased person via a SAR is not possible under UK GDPR (which applies to living individu</w:t>
            </w:r>
            <w:r>
              <w:rPr>
                <w:sz w:val="19"/>
                <w:szCs w:val="19"/>
              </w:rPr>
              <w:t>als). Access to deceased records may be available under the Access to Health Records Act 1990 where the requester has a legitimate claim. Proof of executor/administrator status (grant of probate or letters of administration) and a death certificate are req</w:t>
            </w:r>
            <w:r>
              <w:rPr>
                <w:sz w:val="19"/>
                <w:szCs w:val="19"/>
              </w:rPr>
              <w:t>uired.</w:t>
            </w:r>
          </w:p>
        </w:tc>
      </w:tr>
      <w:tr w:rsidR="00491328">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Child or young person (under 18)</w:t>
            </w:r>
          </w:p>
        </w:tc>
        <w:tc>
          <w:tcPr>
            <w:tcW w:w="6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A child or young person with sufficient understanding (</w:t>
            </w:r>
            <w:proofErr w:type="spellStart"/>
            <w:r>
              <w:rPr>
                <w:sz w:val="19"/>
                <w:szCs w:val="19"/>
              </w:rPr>
              <w:t>Gillick</w:t>
            </w:r>
            <w:proofErr w:type="spellEnd"/>
            <w:r>
              <w:rPr>
                <w:sz w:val="19"/>
                <w:szCs w:val="19"/>
              </w:rPr>
              <w:t xml:space="preserve"> competence) can make a SAR in their own right. A parent or guardian may request on behalf of a child who lacks capacity to do so independently. Where a </w:t>
            </w:r>
            <w:r>
              <w:rPr>
                <w:sz w:val="19"/>
                <w:szCs w:val="19"/>
              </w:rPr>
              <w:t xml:space="preserve">parent requests access to records of a </w:t>
            </w:r>
            <w:proofErr w:type="spellStart"/>
            <w:r>
              <w:rPr>
                <w:sz w:val="19"/>
                <w:szCs w:val="19"/>
              </w:rPr>
              <w:t>Gillick</w:t>
            </w:r>
            <w:proofErr w:type="spellEnd"/>
            <w:r>
              <w:rPr>
                <w:sz w:val="19"/>
                <w:szCs w:val="19"/>
              </w:rPr>
              <w:t>-competent young person, the young person's consent is generally required. Each case is assessed individually.</w:t>
            </w:r>
          </w:p>
        </w:tc>
      </w:tr>
    </w:tbl>
    <w:p w:rsidR="00491328" w:rsidRDefault="00491328">
      <w:pPr>
        <w:spacing w:before="80"/>
      </w:pPr>
    </w:p>
    <w:p w:rsidR="00491328" w:rsidRDefault="00CB7C15">
      <w:pPr>
        <w:spacing w:before="400" w:after="120"/>
      </w:pPr>
      <w:r>
        <w:rPr>
          <w:b/>
          <w:bCs/>
          <w:color w:val="1B3A6B"/>
          <w:sz w:val="28"/>
          <w:szCs w:val="28"/>
        </w:rPr>
        <w:t>4.  How to Make a Subject Access Request</w:t>
      </w:r>
    </w:p>
    <w:p w:rsidR="00491328" w:rsidRDefault="00491328">
      <w:pPr>
        <w:pBdr>
          <w:bottom w:val="single" w:sz="6" w:space="1" w:color="1B3A6B"/>
        </w:pBdr>
        <w:spacing w:before="60" w:after="200"/>
      </w:pPr>
    </w:p>
    <w:p w:rsidR="00491328" w:rsidRDefault="00CB7C15">
      <w:pPr>
        <w:spacing w:before="280" w:after="100"/>
      </w:pPr>
      <w:proofErr w:type="gramStart"/>
      <w:r>
        <w:rPr>
          <w:b/>
          <w:bCs/>
          <w:color w:val="1B3A6B"/>
          <w:sz w:val="22"/>
          <w:szCs w:val="22"/>
        </w:rPr>
        <w:t>4.1  Submission</w:t>
      </w:r>
      <w:proofErr w:type="gramEnd"/>
    </w:p>
    <w:p w:rsidR="00491328" w:rsidRDefault="00CB7C15">
      <w:pPr>
        <w:spacing w:before="60" w:after="100"/>
      </w:pPr>
      <w:r>
        <w:rPr>
          <w:color w:val="1A1A2E"/>
        </w:rPr>
        <w:t>SARs can be submitted in any of the following ways:</w:t>
      </w:r>
    </w:p>
    <w:p w:rsidR="00491328" w:rsidRDefault="00CB7C15">
      <w:pPr>
        <w:pStyle w:val="ListParagraph"/>
        <w:numPr>
          <w:ilvl w:val="0"/>
          <w:numId w:val="2"/>
        </w:numPr>
        <w:spacing w:before="40" w:after="40"/>
      </w:pPr>
      <w:r>
        <w:lastRenderedPageBreak/>
        <w:t>By email: contact@healthbridge.org.uk — preferred, as it creates a clear audit trail and allows faster processing</w:t>
      </w:r>
    </w:p>
    <w:p w:rsidR="00491328" w:rsidRDefault="00CB7C15">
      <w:pPr>
        <w:pStyle w:val="ListParagraph"/>
        <w:numPr>
          <w:ilvl w:val="0"/>
          <w:numId w:val="2"/>
        </w:numPr>
        <w:spacing w:before="40" w:after="40"/>
      </w:pPr>
      <w:r>
        <w:t xml:space="preserve">By post: Dr. James Stanley, HealthBridge Occupational Health Ltd, 50 </w:t>
      </w:r>
      <w:proofErr w:type="spellStart"/>
      <w:r>
        <w:t>Hadow</w:t>
      </w:r>
      <w:proofErr w:type="spellEnd"/>
      <w:r>
        <w:t xml:space="preserve"> Way, Gloucester, GL2 4YJ</w:t>
      </w:r>
    </w:p>
    <w:p w:rsidR="00491328" w:rsidRDefault="00491328">
      <w:pPr>
        <w:spacing w:before="60"/>
      </w:pPr>
    </w:p>
    <w:p w:rsidR="00491328" w:rsidRDefault="00CB7C15">
      <w:pPr>
        <w:spacing w:before="60" w:after="100"/>
      </w:pPr>
      <w:r>
        <w:rPr>
          <w:color w:val="1A1A2E"/>
        </w:rPr>
        <w:t>There is no prescribed form. A SAR is valid if it is clear that the individual is requesting access to their personal data. Providing as much detail as pos</w:t>
      </w:r>
      <w:r>
        <w:rPr>
          <w:color w:val="1A1A2E"/>
        </w:rPr>
        <w:t>sible (e.g., dates of assessment, name of referring employer) helps ensure a prompt and complete response.</w:t>
      </w:r>
    </w:p>
    <w:p w:rsidR="00491328" w:rsidRDefault="00491328">
      <w:pPr>
        <w:spacing w:before="80"/>
      </w:pPr>
    </w:p>
    <w:p w:rsidR="00491328" w:rsidRDefault="00CB7C15">
      <w:pPr>
        <w:spacing w:before="280" w:after="100"/>
      </w:pPr>
      <w:proofErr w:type="gramStart"/>
      <w:r>
        <w:rPr>
          <w:b/>
          <w:bCs/>
          <w:color w:val="1B3A6B"/>
          <w:sz w:val="22"/>
          <w:szCs w:val="22"/>
        </w:rPr>
        <w:t>4.2  Identity</w:t>
      </w:r>
      <w:proofErr w:type="gramEnd"/>
      <w:r>
        <w:rPr>
          <w:b/>
          <w:bCs/>
          <w:color w:val="1B3A6B"/>
          <w:sz w:val="22"/>
          <w:szCs w:val="22"/>
        </w:rPr>
        <w:t xml:space="preserve"> Verification</w:t>
      </w:r>
    </w:p>
    <w:p w:rsidR="00491328" w:rsidRDefault="00CB7C15">
      <w:pPr>
        <w:spacing w:before="60" w:after="100"/>
      </w:pPr>
      <w:r>
        <w:rPr>
          <w:color w:val="1A1A2E"/>
        </w:rPr>
        <w:t xml:space="preserve">HealthBridge must be reasonably satisfied of the identity of the requester before disclosing personal data. The level of </w:t>
      </w:r>
      <w:r>
        <w:rPr>
          <w:color w:val="1A1A2E"/>
        </w:rPr>
        <w:t>verification required is proportionate to the circumstances:</w:t>
      </w:r>
    </w:p>
    <w:p w:rsidR="00491328" w:rsidRDefault="0049132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6026"/>
      </w:tblGrid>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Requester Type</w:t>
            </w:r>
          </w:p>
        </w:tc>
        <w:tc>
          <w:tcPr>
            <w:tcW w:w="60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Verification Required</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Known data subject (existing patient)</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Email confirmation from the registered email address, plus confirmation of full name and date of birth. Demanding formal photo ID for every known patient is disproportionate and would not comply with ICO guidance on proportionality.</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Unfamiliar requester (e.g., former patient not previously in contact by email)</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One form of ID appropriate to the circumstances — e.g., confirmation of the email address used at assessment, and/or a scan of a photo ID document. A utility bill is not routine</w:t>
            </w:r>
            <w:r>
              <w:rPr>
                <w:sz w:val="19"/>
                <w:szCs w:val="19"/>
              </w:rPr>
              <w:t>ly required and will not be requested unless there is genuine doubt about identity.</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Legal representative</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Signed written authority from the data subject specifically naming HealthBridge. If there is doubt about the authority's authenticity, the Clinical Le</w:t>
            </w:r>
            <w:r>
              <w:rPr>
                <w:sz w:val="19"/>
                <w:szCs w:val="19"/>
              </w:rPr>
              <w:t>ad contacts the data subject directly to confirm.</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Executor / administrator (deceased individual)</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Death certificate and grant of probate or letters of administration. These are scanned and retained with the SAR record.</w:t>
            </w:r>
          </w:p>
        </w:tc>
      </w:tr>
    </w:tbl>
    <w:p w:rsidR="00491328" w:rsidRDefault="00491328">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491328">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491328" w:rsidRDefault="00CB7C15">
            <w:r>
              <w:rPr>
                <w:i/>
                <w:iCs/>
                <w:color w:val="1B3A6B"/>
                <w:sz w:val="19"/>
                <w:szCs w:val="19"/>
              </w:rPr>
              <w:t>HealthBridge will never ask for mor</w:t>
            </w:r>
            <w:r>
              <w:rPr>
                <w:i/>
                <w:iCs/>
                <w:color w:val="1B3A6B"/>
                <w:sz w:val="19"/>
                <w:szCs w:val="19"/>
              </w:rPr>
              <w:t>e information than is necessary to verify identity. Excessive ID requirements can constitute a barrier to a legal right. Where identity is genuinely uncertain, the Clinical Lead contacts the individual directly to resolve the uncertainty rather than imposi</w:t>
            </w:r>
            <w:r>
              <w:rPr>
                <w:i/>
                <w:iCs/>
                <w:color w:val="1B3A6B"/>
                <w:sz w:val="19"/>
                <w:szCs w:val="19"/>
              </w:rPr>
              <w:t>ng blanket document requirements.</w:t>
            </w:r>
          </w:p>
        </w:tc>
      </w:tr>
    </w:tbl>
    <w:p w:rsidR="00491328" w:rsidRDefault="00491328">
      <w:pPr>
        <w:spacing w:before="80"/>
      </w:pPr>
    </w:p>
    <w:p w:rsidR="00491328" w:rsidRDefault="00CB7C15">
      <w:pPr>
        <w:spacing w:before="400" w:after="120"/>
      </w:pPr>
      <w:r>
        <w:rPr>
          <w:b/>
          <w:bCs/>
          <w:color w:val="1B3A6B"/>
          <w:sz w:val="28"/>
          <w:szCs w:val="28"/>
        </w:rPr>
        <w:t>5.  SAR Workflow</w:t>
      </w:r>
    </w:p>
    <w:p w:rsidR="00491328" w:rsidRDefault="00491328">
      <w:pPr>
        <w:pBdr>
          <w:bottom w:val="single" w:sz="6" w:space="1" w:color="1B3A6B"/>
        </w:pBdr>
        <w:spacing w:before="60" w:after="200"/>
      </w:pPr>
    </w:p>
    <w:p w:rsidR="00491328" w:rsidRDefault="00CB7C15">
      <w:pPr>
        <w:spacing w:before="60" w:after="100"/>
      </w:pPr>
      <w:r>
        <w:rPr>
          <w:color w:val="1A1A2E"/>
        </w:rPr>
        <w:t>As a sole-practitioner service, all SAR handling is carried out by the Clinical Lead. The 30-calendar-day response clock starts on the day the request is received (Day 1), regardless of when identity verification is completed.</w:t>
      </w:r>
    </w:p>
    <w:p w:rsidR="00491328" w:rsidRDefault="0049132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800"/>
        <w:gridCol w:w="5426"/>
        <w:gridCol w:w="1800"/>
      </w:tblGrid>
      <w:tr w:rsidR="00491328">
        <w:tblPrEx>
          <w:tblCellMar>
            <w:top w:w="0" w:type="dxa"/>
            <w:bottom w:w="0" w:type="dxa"/>
          </w:tblCellMar>
        </w:tblPrEx>
        <w:tc>
          <w:tcPr>
            <w:tcW w:w="1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Step</w:t>
            </w:r>
          </w:p>
        </w:tc>
        <w:tc>
          <w:tcPr>
            <w:tcW w:w="54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Action</w:t>
            </w:r>
          </w:p>
        </w:tc>
        <w:tc>
          <w:tcPr>
            <w:tcW w:w="1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Target</w:t>
            </w:r>
          </w:p>
        </w:tc>
      </w:tr>
      <w:tr w:rsidR="00491328">
        <w:tblPrEx>
          <w:tblCellMar>
            <w:top w:w="0" w:type="dxa"/>
            <w:bottom w:w="0" w:type="dxa"/>
          </w:tblCellMar>
        </w:tblPrEx>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1. Receipt</w:t>
            </w:r>
          </w:p>
        </w:tc>
        <w:tc>
          <w:tcPr>
            <w:tcW w:w="5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SAR logged in the SAR Register with: date received, requester name, method of submission, and scope of request. Acknowledgement email sent to the requester confirming receipt and the expected response date.</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Day 1</w:t>
            </w:r>
          </w:p>
        </w:tc>
      </w:tr>
      <w:tr w:rsidR="00491328">
        <w:tblPrEx>
          <w:tblCellMar>
            <w:top w:w="0" w:type="dxa"/>
            <w:bottom w:w="0" w:type="dxa"/>
          </w:tblCellMar>
        </w:tblPrEx>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2. Identity Verification</w:t>
            </w:r>
          </w:p>
        </w:tc>
        <w:tc>
          <w:tcPr>
            <w:tcW w:w="5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 xml:space="preserve">Identity verified per Section 4. Where verification is needed, the requester is contacted promptly. The 30-day clock does </w:t>
            </w:r>
            <w:r>
              <w:rPr>
                <w:sz w:val="19"/>
                <w:szCs w:val="19"/>
              </w:rPr>
              <w:lastRenderedPageBreak/>
              <w:t>not pause during verification but the request should not be fulfilled before identity is confirmed.</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lastRenderedPageBreak/>
              <w:t>By Day 5</w:t>
            </w:r>
          </w:p>
        </w:tc>
      </w:tr>
      <w:tr w:rsidR="00491328">
        <w:tblPrEx>
          <w:tblCellMar>
            <w:top w:w="0" w:type="dxa"/>
            <w:bottom w:w="0" w:type="dxa"/>
          </w:tblCellMar>
        </w:tblPrEx>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lastRenderedPageBreak/>
              <w:t>3. Record Retrieval</w:t>
            </w:r>
          </w:p>
        </w:tc>
        <w:tc>
          <w:tcPr>
            <w:tcW w:w="5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 xml:space="preserve">All </w:t>
            </w:r>
            <w:r>
              <w:rPr>
                <w:sz w:val="19"/>
                <w:szCs w:val="19"/>
              </w:rPr>
              <w:t>personal data held about the requester is identified and compiled. This includes OH records, correspondence, consent documentation, and any other data in scope.</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By Day 15</w:t>
            </w:r>
          </w:p>
        </w:tc>
      </w:tr>
      <w:tr w:rsidR="00491328">
        <w:tblPrEx>
          <w:tblCellMar>
            <w:top w:w="0" w:type="dxa"/>
            <w:bottom w:w="0" w:type="dxa"/>
          </w:tblCellMar>
        </w:tblPrEx>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4. Exemption Review and Redaction</w:t>
            </w:r>
          </w:p>
        </w:tc>
        <w:tc>
          <w:tcPr>
            <w:tcW w:w="5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Records reviewed for applicable exemptions (see Se</w:t>
            </w:r>
            <w:r>
              <w:rPr>
                <w:sz w:val="19"/>
                <w:szCs w:val="19"/>
              </w:rPr>
              <w:t>ction 2.2). Third-party data redacted. Where serious harm exemption is considered, MPS is consulted. Redactions documented with reason for each.</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By Day 20</w:t>
            </w:r>
          </w:p>
        </w:tc>
      </w:tr>
      <w:tr w:rsidR="00491328">
        <w:tblPrEx>
          <w:tblCellMar>
            <w:top w:w="0" w:type="dxa"/>
            <w:bottom w:w="0" w:type="dxa"/>
          </w:tblCellMar>
        </w:tblPrEx>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5. Delivery</w:t>
            </w:r>
          </w:p>
        </w:tc>
        <w:tc>
          <w:tcPr>
            <w:tcW w:w="5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Records provided by encrypted email. Documents are provided in a readable format (PDF). No secure portal is used — delivery is by encrypted email only. SAR Register updated with date of response and method of delivery.</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By Day 30</w:t>
            </w:r>
          </w:p>
        </w:tc>
      </w:tr>
    </w:tbl>
    <w:p w:rsidR="00491328" w:rsidRDefault="00491328">
      <w:pPr>
        <w:spacing w:before="80"/>
      </w:pPr>
    </w:p>
    <w:p w:rsidR="00491328" w:rsidRDefault="00CB7C15">
      <w:pPr>
        <w:spacing w:before="280" w:after="100"/>
      </w:pPr>
      <w:proofErr w:type="gramStart"/>
      <w:r>
        <w:rPr>
          <w:b/>
          <w:bCs/>
          <w:color w:val="1B3A6B"/>
          <w:sz w:val="22"/>
          <w:szCs w:val="22"/>
        </w:rPr>
        <w:t>5.1  Extension</w:t>
      </w:r>
      <w:proofErr w:type="gramEnd"/>
      <w:r>
        <w:rPr>
          <w:b/>
          <w:bCs/>
          <w:color w:val="1B3A6B"/>
          <w:sz w:val="22"/>
          <w:szCs w:val="22"/>
        </w:rPr>
        <w:t xml:space="preserve"> for Comple</w:t>
      </w:r>
      <w:r>
        <w:rPr>
          <w:b/>
          <w:bCs/>
          <w:color w:val="1B3A6B"/>
          <w:sz w:val="22"/>
          <w:szCs w:val="22"/>
        </w:rPr>
        <w:t>x Requests</w:t>
      </w:r>
    </w:p>
    <w:p w:rsidR="00491328" w:rsidRDefault="00CB7C15">
      <w:pPr>
        <w:spacing w:before="60" w:after="100"/>
      </w:pPr>
      <w:r>
        <w:rPr>
          <w:color w:val="1A1A2E"/>
        </w:rPr>
        <w:t xml:space="preserve">Where a SAR is complex or involves a large volume of records, the response deadline may be extended by a further 2 months (total response time: 3 months). The requester must be informed of the extension within the original 30-day deadline, with </w:t>
      </w:r>
      <w:r>
        <w:rPr>
          <w:color w:val="1A1A2E"/>
        </w:rPr>
        <w:t>an explanation of the reason. The extension is applied narrowly and only where genuinely necessary.</w:t>
      </w:r>
    </w:p>
    <w:p w:rsidR="00491328" w:rsidRDefault="00491328">
      <w:pPr>
        <w:spacing w:before="80"/>
      </w:pPr>
    </w:p>
    <w:p w:rsidR="00491328" w:rsidRDefault="00CB7C15">
      <w:pPr>
        <w:spacing w:before="280" w:after="100"/>
      </w:pPr>
      <w:proofErr w:type="gramStart"/>
      <w:r>
        <w:rPr>
          <w:b/>
          <w:bCs/>
          <w:color w:val="1B3A6B"/>
          <w:sz w:val="22"/>
          <w:szCs w:val="22"/>
        </w:rPr>
        <w:t>5.2  Manifestly</w:t>
      </w:r>
      <w:proofErr w:type="gramEnd"/>
      <w:r>
        <w:rPr>
          <w:b/>
          <w:bCs/>
          <w:color w:val="1B3A6B"/>
          <w:sz w:val="22"/>
          <w:szCs w:val="22"/>
        </w:rPr>
        <w:t xml:space="preserve"> Unfounded or Excessive Requests</w:t>
      </w:r>
    </w:p>
    <w:p w:rsidR="00491328" w:rsidRDefault="00CB7C15">
      <w:pPr>
        <w:spacing w:before="60" w:after="100"/>
      </w:pPr>
      <w:r>
        <w:rPr>
          <w:color w:val="1A1A2E"/>
        </w:rPr>
        <w:t>Where a request is determined to be manifestly unfounded or excessive (for example, a repetitive request fo</w:t>
      </w:r>
      <w:r>
        <w:rPr>
          <w:color w:val="1A1A2E"/>
        </w:rPr>
        <w:t>r the same data without any new purpose, or a clearly vexatious request), HealthBridge may:</w:t>
      </w:r>
    </w:p>
    <w:p w:rsidR="00491328" w:rsidRDefault="00CB7C15">
      <w:pPr>
        <w:pStyle w:val="ListParagraph"/>
        <w:numPr>
          <w:ilvl w:val="0"/>
          <w:numId w:val="2"/>
        </w:numPr>
        <w:spacing w:before="40" w:after="40"/>
      </w:pPr>
      <w:r>
        <w:t>Charge a reasonable fee reflecting the administrative cost of complying, communicated to the requester before processing begins; or</w:t>
      </w:r>
    </w:p>
    <w:p w:rsidR="00491328" w:rsidRDefault="00CB7C15">
      <w:pPr>
        <w:pStyle w:val="ListParagraph"/>
        <w:numPr>
          <w:ilvl w:val="0"/>
          <w:numId w:val="2"/>
        </w:numPr>
        <w:spacing w:before="40" w:after="40"/>
      </w:pPr>
      <w:r>
        <w:t>Refuse to respond to the request, with written reasons provided</w:t>
      </w:r>
    </w:p>
    <w:p w:rsidR="00491328" w:rsidRDefault="00491328">
      <w:pPr>
        <w:spacing w:before="60"/>
      </w:pPr>
    </w:p>
    <w:p w:rsidR="00491328" w:rsidRDefault="00CB7C15">
      <w:pPr>
        <w:spacing w:before="60" w:after="100"/>
      </w:pPr>
      <w:r>
        <w:rPr>
          <w:color w:val="1A1A2E"/>
        </w:rPr>
        <w:t xml:space="preserve">A request will not be treated as excessive or unfounded solely because it is broad, inconvenient, or because the data subject is in dispute with HealthBridge. Any decision to charge a fee or </w:t>
      </w:r>
      <w:r>
        <w:rPr>
          <w:color w:val="1A1A2E"/>
        </w:rPr>
        <w:t>refuse must be documented with clear reasoning. Refusals can be challenged with the ICO.</w:t>
      </w:r>
    </w:p>
    <w:p w:rsidR="00491328" w:rsidRDefault="00491328">
      <w:pPr>
        <w:spacing w:before="80"/>
      </w:pPr>
    </w:p>
    <w:p w:rsidR="00491328" w:rsidRDefault="00CB7C15">
      <w:pPr>
        <w:spacing w:before="400" w:after="120"/>
      </w:pPr>
      <w:r>
        <w:rPr>
          <w:b/>
          <w:bCs/>
          <w:color w:val="1B3A6B"/>
          <w:sz w:val="28"/>
          <w:szCs w:val="28"/>
        </w:rPr>
        <w:t>6.  Redaction Principles</w:t>
      </w:r>
    </w:p>
    <w:p w:rsidR="00491328" w:rsidRDefault="00491328">
      <w:pPr>
        <w:pBdr>
          <w:bottom w:val="single" w:sz="6" w:space="1" w:color="1B3A6B"/>
        </w:pBdr>
        <w:spacing w:before="60" w:after="200"/>
      </w:pPr>
    </w:p>
    <w:p w:rsidR="00491328" w:rsidRDefault="00CB7C15">
      <w:pPr>
        <w:spacing w:before="60" w:after="100"/>
      </w:pPr>
      <w:r>
        <w:rPr>
          <w:color w:val="1A1A2E"/>
        </w:rPr>
        <w:t>Before a SAR response is sent, all records are reviewed for content that should be redacted. Redaction is applied to:</w:t>
      </w:r>
    </w:p>
    <w:p w:rsidR="00491328" w:rsidRDefault="00CB7C15">
      <w:pPr>
        <w:pStyle w:val="ListParagraph"/>
        <w:numPr>
          <w:ilvl w:val="0"/>
          <w:numId w:val="2"/>
        </w:numPr>
        <w:spacing w:before="40" w:after="40"/>
      </w:pPr>
      <w:r>
        <w:t>Information relating to identifiable third parties (e.g., named colleagues, employer contacts) where they have not consented to disclosure and it is not reasonable to disclose without consent</w:t>
      </w:r>
    </w:p>
    <w:p w:rsidR="00491328" w:rsidRDefault="00CB7C15">
      <w:pPr>
        <w:pStyle w:val="ListParagraph"/>
        <w:numPr>
          <w:ilvl w:val="0"/>
          <w:numId w:val="2"/>
        </w:numPr>
        <w:spacing w:before="40" w:after="40"/>
      </w:pPr>
      <w:r>
        <w:t>Information that, if disclosed, would be likely to cause serious</w:t>
      </w:r>
      <w:r>
        <w:t xml:space="preserve"> physical or mental harm to the data subject or a third party (DPA 2018 Schedule 3, Para 2) — this is a high threshold and is applied rarely</w:t>
      </w:r>
    </w:p>
    <w:p w:rsidR="00491328" w:rsidRDefault="00CB7C15">
      <w:pPr>
        <w:pStyle w:val="ListParagraph"/>
        <w:numPr>
          <w:ilvl w:val="0"/>
          <w:numId w:val="2"/>
        </w:numPr>
        <w:spacing w:before="40" w:after="40"/>
      </w:pPr>
      <w:r>
        <w:t>Information subject to legal professional privilege</w:t>
      </w:r>
    </w:p>
    <w:p w:rsidR="00491328" w:rsidRDefault="00491328">
      <w:pPr>
        <w:spacing w:before="60"/>
      </w:pPr>
    </w:p>
    <w:p w:rsidR="00491328" w:rsidRDefault="00CB7C15">
      <w:pPr>
        <w:spacing w:before="60" w:after="100"/>
      </w:pPr>
      <w:r>
        <w:rPr>
          <w:color w:val="1A1A2E"/>
        </w:rPr>
        <w:t>Every redaction is documented in the SAR log with a brief expl</w:t>
      </w:r>
      <w:r>
        <w:rPr>
          <w:color w:val="1A1A2E"/>
        </w:rPr>
        <w:t>anation:</w:t>
      </w:r>
    </w:p>
    <w:p w:rsidR="00491328" w:rsidRDefault="00491328">
      <w:pPr>
        <w:spacing w:before="4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491328">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491328" w:rsidRDefault="00CB7C15">
            <w:r>
              <w:rPr>
                <w:i/>
                <w:iCs/>
                <w:color w:val="1B3A6B"/>
                <w:sz w:val="19"/>
                <w:szCs w:val="19"/>
              </w:rPr>
              <w:t xml:space="preserve">Example redaction note: 'Page 3, paragraph 2: Redacted — contains the name and contact details of </w:t>
            </w:r>
            <w:r>
              <w:rPr>
                <w:i/>
                <w:iCs/>
                <w:color w:val="1B3A6B"/>
                <w:sz w:val="19"/>
                <w:szCs w:val="19"/>
              </w:rPr>
              <w:lastRenderedPageBreak/>
              <w:t>a third party (employer HR contact) who has not consented to disclosure under UK GDPR Article 15(4).'</w:t>
            </w:r>
          </w:p>
        </w:tc>
      </w:tr>
    </w:tbl>
    <w:p w:rsidR="00491328" w:rsidRDefault="00491328">
      <w:pPr>
        <w:spacing w:before="80"/>
      </w:pPr>
    </w:p>
    <w:p w:rsidR="00491328" w:rsidRDefault="00CB7C15">
      <w:pPr>
        <w:spacing w:before="60" w:after="100"/>
      </w:pPr>
      <w:r>
        <w:rPr>
          <w:color w:val="1A1A2E"/>
        </w:rPr>
        <w:t>Redaction is never applied as a general convenience measure. Where there is doubt about whether a specific piece of information should be redacted, MPS is consulted before the response is sent.</w:t>
      </w:r>
    </w:p>
    <w:p w:rsidR="00491328" w:rsidRDefault="00491328">
      <w:pPr>
        <w:spacing w:before="80"/>
      </w:pPr>
    </w:p>
    <w:p w:rsidR="00491328" w:rsidRDefault="00CB7C15">
      <w:pPr>
        <w:spacing w:before="400" w:after="120"/>
      </w:pPr>
      <w:r>
        <w:rPr>
          <w:b/>
          <w:bCs/>
          <w:color w:val="1B3A6B"/>
          <w:sz w:val="28"/>
          <w:szCs w:val="28"/>
        </w:rPr>
        <w:t>7.  Fees</w:t>
      </w:r>
    </w:p>
    <w:p w:rsidR="00491328" w:rsidRDefault="00491328">
      <w:pPr>
        <w:pBdr>
          <w:bottom w:val="single" w:sz="6" w:space="1" w:color="1B3A6B"/>
        </w:pBdr>
        <w:spacing w:before="60" w:after="200"/>
      </w:pPr>
    </w:p>
    <w:p w:rsidR="00491328" w:rsidRDefault="00CB7C15">
      <w:pPr>
        <w:spacing w:before="60" w:after="100"/>
      </w:pPr>
      <w:r>
        <w:rPr>
          <w:color w:val="1A1A2E"/>
        </w:rPr>
        <w:t>SARs are processed without charge in all standard c</w:t>
      </w:r>
      <w:r>
        <w:rPr>
          <w:color w:val="1A1A2E"/>
        </w:rPr>
        <w:t>ases. A fee may only be charged where a request is manifestly unfounded or excessive (see Section 5.2). Any fee charged will be:</w:t>
      </w:r>
    </w:p>
    <w:p w:rsidR="00491328" w:rsidRDefault="00CB7C15">
      <w:pPr>
        <w:pStyle w:val="ListParagraph"/>
        <w:numPr>
          <w:ilvl w:val="0"/>
          <w:numId w:val="2"/>
        </w:numPr>
        <w:spacing w:before="40" w:after="40"/>
      </w:pPr>
      <w:r>
        <w:t>Reasonable and based on the actual administrative cost of complying</w:t>
      </w:r>
    </w:p>
    <w:p w:rsidR="00491328" w:rsidRDefault="00CB7C15">
      <w:pPr>
        <w:pStyle w:val="ListParagraph"/>
        <w:numPr>
          <w:ilvl w:val="0"/>
          <w:numId w:val="2"/>
        </w:numPr>
        <w:spacing w:before="40" w:after="40"/>
      </w:pPr>
      <w:r>
        <w:t xml:space="preserve">Communicated to the requester in writing before processing </w:t>
      </w:r>
      <w:r>
        <w:t>begins — the requester may then choose to narrow or withdraw the request</w:t>
      </w:r>
    </w:p>
    <w:p w:rsidR="00491328" w:rsidRDefault="00CB7C15">
      <w:pPr>
        <w:pStyle w:val="ListParagraph"/>
        <w:numPr>
          <w:ilvl w:val="0"/>
          <w:numId w:val="2"/>
        </w:numPr>
        <w:spacing w:before="40" w:after="40"/>
      </w:pPr>
      <w:r>
        <w:t>Refunded in full if the request is subsequently found not to be excessive or unfounded</w:t>
      </w:r>
    </w:p>
    <w:p w:rsidR="00491328" w:rsidRDefault="00491328">
      <w:pPr>
        <w:spacing w:before="80"/>
      </w:pPr>
    </w:p>
    <w:p w:rsidR="00491328" w:rsidRDefault="00CB7C15">
      <w:pPr>
        <w:spacing w:before="400" w:after="120"/>
      </w:pPr>
      <w:r>
        <w:rPr>
          <w:b/>
          <w:bCs/>
          <w:color w:val="1B3A6B"/>
          <w:sz w:val="28"/>
          <w:szCs w:val="28"/>
        </w:rPr>
        <w:t>8.  Special Scenarios</w:t>
      </w:r>
    </w:p>
    <w:p w:rsidR="00491328" w:rsidRDefault="00491328">
      <w:pPr>
        <w:pBdr>
          <w:bottom w:val="single" w:sz="6" w:space="1" w:color="1B3A6B"/>
        </w:pBdr>
        <w:spacing w:before="60" w:after="200"/>
      </w:pPr>
    </w:p>
    <w:p w:rsidR="00491328" w:rsidRDefault="0049132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6026"/>
      </w:tblGrid>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Scenario</w:t>
            </w:r>
          </w:p>
        </w:tc>
        <w:tc>
          <w:tcPr>
            <w:tcW w:w="60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How It Is Handled</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Employer requests access to employee OH data</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 xml:space="preserve">Declined as a SAR — employers are not data subjects in relation to an employee's health records. The employer is directed to the Referral and Reporting Policy for information about report access via the consent </w:t>
            </w:r>
            <w:r>
              <w:rPr>
                <w:sz w:val="19"/>
                <w:szCs w:val="19"/>
              </w:rPr>
              <w:t>process.</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Request received in connection with active litigation</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MPS is notified immediately. The SAR is processed normally unless legal professional privilege applies (in which case legal advice is obtained). Active litigation does not automatically exempt data from SAR disclosure.</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Deceased individual</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UK GDPR does not</w:t>
            </w:r>
            <w:r>
              <w:rPr>
                <w:sz w:val="19"/>
                <w:szCs w:val="19"/>
              </w:rPr>
              <w:t xml:space="preserve"> apply to deceased individuals. Access may be considered under the Access to Health Records Act 1990 where the requester has a valid claim (e.g., where the information is relevant to a claim arising from the person's death). Proof of executor or administra</w:t>
            </w:r>
            <w:r>
              <w:rPr>
                <w:sz w:val="19"/>
                <w:szCs w:val="19"/>
              </w:rPr>
              <w:t>tor status and a death certificate are required. MPS is consulted.</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Child or young person under 18</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 xml:space="preserve">A </w:t>
            </w:r>
            <w:proofErr w:type="spellStart"/>
            <w:r>
              <w:rPr>
                <w:sz w:val="19"/>
                <w:szCs w:val="19"/>
              </w:rPr>
              <w:t>Gillick</w:t>
            </w:r>
            <w:proofErr w:type="spellEnd"/>
            <w:r>
              <w:rPr>
                <w:sz w:val="19"/>
                <w:szCs w:val="19"/>
              </w:rPr>
              <w:t>-competent young person can make a SAR independently. A parent or guardian may request on behalf of a child who lacks sufficient understanding. Wher</w:t>
            </w:r>
            <w:r>
              <w:rPr>
                <w:sz w:val="19"/>
                <w:szCs w:val="19"/>
              </w:rPr>
              <w:t xml:space="preserve">e a parent requests access and the young person </w:t>
            </w:r>
            <w:proofErr w:type="gramStart"/>
            <w:r>
              <w:rPr>
                <w:sz w:val="19"/>
                <w:szCs w:val="19"/>
              </w:rPr>
              <w:t>has</w:t>
            </w:r>
            <w:proofErr w:type="gramEnd"/>
            <w:r>
              <w:rPr>
                <w:sz w:val="19"/>
                <w:szCs w:val="19"/>
              </w:rPr>
              <w:t xml:space="preserve"> </w:t>
            </w:r>
            <w:proofErr w:type="spellStart"/>
            <w:r>
              <w:rPr>
                <w:sz w:val="19"/>
                <w:szCs w:val="19"/>
              </w:rPr>
              <w:t>Gillick</w:t>
            </w:r>
            <w:proofErr w:type="spellEnd"/>
            <w:r>
              <w:rPr>
                <w:sz w:val="19"/>
                <w:szCs w:val="19"/>
              </w:rPr>
              <w:t xml:space="preserve"> competence, their consent is normally required. Each request is assessed individually in consultation with MPS where needed.</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Request under time pressure (e.g., court deadline)</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The Clinical Lead prioritises the request within the available capacity. The statutory 30-day deadline remains the legal standard — there is no separate expedited legal right. However, every effort is made to respond promptly where a legitimate urgent need</w:t>
            </w:r>
            <w:r>
              <w:rPr>
                <w:sz w:val="19"/>
                <w:szCs w:val="19"/>
              </w:rPr>
              <w:t xml:space="preserve"> is communicated.</w:t>
            </w:r>
          </w:p>
        </w:tc>
      </w:tr>
      <w:tr w:rsidR="0049132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b/>
                <w:bCs/>
                <w:sz w:val="19"/>
                <w:szCs w:val="19"/>
              </w:rPr>
              <w:t>Data subject requests data to be corrected (Rectification)</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 xml:space="preserve">Handled under UK GDPR Article 16 (Right to Rectification) — see the Privacy Policy and Confidentiality Policy. Where the dispute is about clinical content, the Complaints Policy </w:t>
            </w:r>
            <w:r>
              <w:rPr>
                <w:sz w:val="19"/>
                <w:szCs w:val="19"/>
              </w:rPr>
              <w:t>(Section 5.3) applies.</w:t>
            </w:r>
          </w:p>
        </w:tc>
      </w:tr>
    </w:tbl>
    <w:p w:rsidR="00491328" w:rsidRDefault="00491328">
      <w:pPr>
        <w:spacing w:before="80"/>
      </w:pPr>
    </w:p>
    <w:p w:rsidR="00491328" w:rsidRDefault="00CB7C15">
      <w:pPr>
        <w:spacing w:before="400" w:after="120"/>
      </w:pPr>
      <w:r>
        <w:rPr>
          <w:b/>
          <w:bCs/>
          <w:color w:val="1B3A6B"/>
          <w:sz w:val="28"/>
          <w:szCs w:val="28"/>
        </w:rPr>
        <w:t>9.  Complaints and Escalation</w:t>
      </w:r>
    </w:p>
    <w:p w:rsidR="00491328" w:rsidRDefault="00491328">
      <w:pPr>
        <w:pBdr>
          <w:bottom w:val="single" w:sz="6" w:space="1" w:color="1B3A6B"/>
        </w:pBdr>
        <w:spacing w:before="60" w:after="200"/>
      </w:pPr>
    </w:p>
    <w:p w:rsidR="00491328" w:rsidRDefault="00CB7C15">
      <w:pPr>
        <w:spacing w:before="60" w:after="100"/>
      </w:pPr>
      <w:r>
        <w:rPr>
          <w:color w:val="1A1A2E"/>
        </w:rPr>
        <w:t xml:space="preserve">Where a data subject is dissatisfied with </w:t>
      </w:r>
      <w:proofErr w:type="spellStart"/>
      <w:r>
        <w:rPr>
          <w:color w:val="1A1A2E"/>
        </w:rPr>
        <w:t>HealthBridge's</w:t>
      </w:r>
      <w:proofErr w:type="spellEnd"/>
      <w:r>
        <w:rPr>
          <w:color w:val="1A1A2E"/>
        </w:rPr>
        <w:t xml:space="preserve"> handling of their SAR — including a refusal to provide data, a fee decision, or a delayed response — the following escalation pathway applies:</w:t>
      </w:r>
    </w:p>
    <w:p w:rsidR="00491328" w:rsidRDefault="00491328">
      <w:pPr>
        <w:spacing w:before="60"/>
      </w:pPr>
    </w:p>
    <w:p w:rsidR="00491328" w:rsidRDefault="00CB7C15">
      <w:pPr>
        <w:pStyle w:val="ListParagraph"/>
        <w:numPr>
          <w:ilvl w:val="0"/>
          <w:numId w:val="2"/>
        </w:numPr>
        <w:spacing w:before="40" w:after="40"/>
      </w:pPr>
      <w:r>
        <w:t>Internal complaint: Contact the Clinical Lead at contact@healthbridge.org.uk. A response will be provided within 14 calendar days.</w:t>
      </w:r>
    </w:p>
    <w:p w:rsidR="00491328" w:rsidRDefault="00CB7C15">
      <w:pPr>
        <w:pStyle w:val="ListParagraph"/>
        <w:numPr>
          <w:ilvl w:val="0"/>
          <w:numId w:val="2"/>
        </w:numPr>
        <w:spacing w:before="40" w:after="40"/>
      </w:pPr>
      <w:r>
        <w:t>ICO complaint: Where the internal complaint is not resolved to the data subject's satisfaction, they have the right to compl</w:t>
      </w:r>
      <w:r>
        <w:t>ain to the Information Commissioner's Office. The ICO recommends lodging a complaint within 3 months of the last meaningful response from HealthBridge. ICO contact: www.ico.org.uk / 0303 123 1113.</w:t>
      </w:r>
    </w:p>
    <w:p w:rsidR="00491328" w:rsidRDefault="00CB7C15">
      <w:pPr>
        <w:pStyle w:val="ListParagraph"/>
        <w:numPr>
          <w:ilvl w:val="0"/>
          <w:numId w:val="2"/>
        </w:numPr>
        <w:spacing w:before="40" w:after="40"/>
      </w:pPr>
      <w:r>
        <w:t>Court proceedings: Data subjects also have the right to see</w:t>
      </w:r>
      <w:r>
        <w:t>k a court order under UK GDPR Article 82 for the provision of their data.</w:t>
      </w:r>
    </w:p>
    <w:p w:rsidR="00491328" w:rsidRDefault="00491328">
      <w:pPr>
        <w:spacing w:before="80"/>
      </w:pPr>
    </w:p>
    <w:p w:rsidR="00491328" w:rsidRDefault="00CB7C15">
      <w:pPr>
        <w:spacing w:before="400" w:after="120"/>
      </w:pPr>
      <w:r>
        <w:rPr>
          <w:b/>
          <w:bCs/>
          <w:color w:val="1B3A6B"/>
          <w:sz w:val="28"/>
          <w:szCs w:val="28"/>
        </w:rPr>
        <w:t>10.  SAR Register and Governance</w:t>
      </w:r>
    </w:p>
    <w:p w:rsidR="00491328" w:rsidRDefault="00491328">
      <w:pPr>
        <w:pBdr>
          <w:bottom w:val="single" w:sz="6" w:space="1" w:color="1B3A6B"/>
        </w:pBdr>
        <w:spacing w:before="60" w:after="200"/>
      </w:pPr>
    </w:p>
    <w:p w:rsidR="00491328" w:rsidRDefault="00CB7C15">
      <w:pPr>
        <w:spacing w:before="60" w:after="100"/>
      </w:pPr>
      <w:r>
        <w:rPr>
          <w:color w:val="1A1A2E"/>
        </w:rPr>
        <w:t>All SARs are logged in a SAR Register maintained by the Clinical Lead, recording:</w:t>
      </w:r>
    </w:p>
    <w:p w:rsidR="00491328" w:rsidRDefault="00CB7C15">
      <w:pPr>
        <w:pStyle w:val="ListParagraph"/>
        <w:numPr>
          <w:ilvl w:val="0"/>
          <w:numId w:val="2"/>
        </w:numPr>
        <w:spacing w:before="40" w:after="40"/>
      </w:pPr>
      <w:r>
        <w:t>Date received and date of response</w:t>
      </w:r>
    </w:p>
    <w:p w:rsidR="00491328" w:rsidRDefault="00CB7C15">
      <w:pPr>
        <w:pStyle w:val="ListParagraph"/>
        <w:numPr>
          <w:ilvl w:val="0"/>
          <w:numId w:val="2"/>
        </w:numPr>
        <w:spacing w:before="40" w:after="40"/>
      </w:pPr>
      <w:r>
        <w:t>Requester identity and verification method</w:t>
      </w:r>
    </w:p>
    <w:p w:rsidR="00491328" w:rsidRDefault="00CB7C15">
      <w:pPr>
        <w:pStyle w:val="ListParagraph"/>
        <w:numPr>
          <w:ilvl w:val="0"/>
          <w:numId w:val="2"/>
        </w:numPr>
        <w:spacing w:before="40" w:after="40"/>
      </w:pPr>
      <w:r>
        <w:t>Scope of data disclosed and any exemptions applied</w:t>
      </w:r>
    </w:p>
    <w:p w:rsidR="00491328" w:rsidRDefault="00CB7C15">
      <w:pPr>
        <w:pStyle w:val="ListParagraph"/>
        <w:numPr>
          <w:ilvl w:val="0"/>
          <w:numId w:val="2"/>
        </w:numPr>
        <w:spacing w:before="40" w:after="40"/>
      </w:pPr>
      <w:r>
        <w:t>Any extensions applied and the reason</w:t>
      </w:r>
    </w:p>
    <w:p w:rsidR="00491328" w:rsidRDefault="00CB7C15">
      <w:pPr>
        <w:pStyle w:val="ListParagraph"/>
        <w:numPr>
          <w:ilvl w:val="0"/>
          <w:numId w:val="2"/>
        </w:numPr>
        <w:spacing w:before="40" w:after="40"/>
      </w:pPr>
      <w:r>
        <w:t>Any fee charged and the basis for it</w:t>
      </w:r>
    </w:p>
    <w:p w:rsidR="00491328" w:rsidRDefault="00CB7C15">
      <w:pPr>
        <w:pStyle w:val="ListParagraph"/>
        <w:numPr>
          <w:ilvl w:val="0"/>
          <w:numId w:val="2"/>
        </w:numPr>
        <w:spacing w:before="40" w:after="40"/>
      </w:pPr>
      <w:r>
        <w:t>Outcome and any complaint received</w:t>
      </w:r>
    </w:p>
    <w:p w:rsidR="00491328" w:rsidRDefault="00491328">
      <w:pPr>
        <w:spacing w:before="60"/>
      </w:pPr>
    </w:p>
    <w:p w:rsidR="00491328" w:rsidRDefault="00CB7C15">
      <w:pPr>
        <w:spacing w:before="60" w:after="100"/>
      </w:pPr>
      <w:r>
        <w:rPr>
          <w:color w:val="1A1A2E"/>
        </w:rPr>
        <w:t xml:space="preserve">The SAR Register is reviewed as part of the annual </w:t>
      </w:r>
      <w:r>
        <w:rPr>
          <w:color w:val="1A1A2E"/>
        </w:rPr>
        <w:t>governance audit. SAR records are retained for 3 years from the date of response, per ICO guidance on demonstrating accountability.</w:t>
      </w:r>
    </w:p>
    <w:p w:rsidR="00491328" w:rsidRDefault="00491328">
      <w:pPr>
        <w:spacing w:before="60"/>
      </w:pPr>
    </w:p>
    <w:p w:rsidR="00491328" w:rsidRDefault="00CB7C15">
      <w:pPr>
        <w:pStyle w:val="ListParagraph"/>
        <w:numPr>
          <w:ilvl w:val="0"/>
          <w:numId w:val="2"/>
        </w:numPr>
        <w:spacing w:before="40" w:after="40"/>
      </w:pPr>
      <w:r>
        <w:t>Annual self-audit: SAR compliance reviewed — timeliness (target: 100% within 30 days or extended deadline), exemptions appl</w:t>
      </w:r>
      <w:r>
        <w:t>ied appropriately, redactions documented.</w:t>
      </w:r>
    </w:p>
    <w:p w:rsidR="00491328" w:rsidRDefault="00CB7C15">
      <w:pPr>
        <w:pStyle w:val="ListParagraph"/>
        <w:numPr>
          <w:ilvl w:val="0"/>
          <w:numId w:val="2"/>
        </w:numPr>
        <w:spacing w:before="40" w:after="40"/>
      </w:pPr>
      <w:r>
        <w:t>Annual UK GDPR training including SAR obligations — evidenced in the Clinical Lead's CPD record.</w:t>
      </w:r>
    </w:p>
    <w:p w:rsidR="00491328" w:rsidRDefault="00491328">
      <w:pPr>
        <w:spacing w:before="80"/>
      </w:pPr>
    </w:p>
    <w:p w:rsidR="00491328" w:rsidRDefault="00CB7C15">
      <w:pPr>
        <w:spacing w:before="400" w:after="120"/>
      </w:pPr>
      <w:r>
        <w:rPr>
          <w:b/>
          <w:bCs/>
          <w:color w:val="1B3A6B"/>
          <w:sz w:val="28"/>
          <w:szCs w:val="28"/>
        </w:rPr>
        <w:t>11.  Policy Review</w:t>
      </w:r>
    </w:p>
    <w:p w:rsidR="00491328" w:rsidRDefault="00491328">
      <w:pPr>
        <w:pBdr>
          <w:bottom w:val="single" w:sz="6" w:space="1" w:color="1B3A6B"/>
        </w:pBdr>
        <w:spacing w:before="60" w:after="200"/>
      </w:pPr>
    </w:p>
    <w:p w:rsidR="00491328" w:rsidRDefault="00CB7C15">
      <w:pPr>
        <w:pStyle w:val="ListParagraph"/>
        <w:numPr>
          <w:ilvl w:val="0"/>
          <w:numId w:val="2"/>
        </w:numPr>
        <w:spacing w:before="40" w:after="40"/>
      </w:pPr>
      <w:r>
        <w:t>Formal annual review — next scheduled: 13 June 2027.</w:t>
      </w:r>
    </w:p>
    <w:p w:rsidR="00491328" w:rsidRDefault="00CB7C15">
      <w:pPr>
        <w:pStyle w:val="ListParagraph"/>
        <w:numPr>
          <w:ilvl w:val="0"/>
          <w:numId w:val="2"/>
        </w:numPr>
        <w:spacing w:before="40" w:after="40"/>
      </w:pPr>
      <w:r>
        <w:t>Ad-hoc review following: ICO enforcement de</w:t>
      </w:r>
      <w:r>
        <w:t>cisions or updated SAR guidance; material changes to UK GDPR or DPA 2018; any SAR complaint or failure identified through audit.</w:t>
      </w:r>
    </w:p>
    <w:p w:rsidR="00491328" w:rsidRDefault="00491328">
      <w:pPr>
        <w:spacing w:before="80"/>
      </w:pPr>
    </w:p>
    <w:p w:rsidR="00491328" w:rsidRDefault="00CB7C15">
      <w:pPr>
        <w:spacing w:before="400" w:after="120"/>
      </w:pPr>
      <w:r>
        <w:rPr>
          <w:b/>
          <w:bCs/>
          <w:color w:val="1B3A6B"/>
          <w:sz w:val="28"/>
          <w:szCs w:val="28"/>
        </w:rPr>
        <w:t>12.  Version Control</w:t>
      </w:r>
    </w:p>
    <w:p w:rsidR="00491328" w:rsidRDefault="00491328">
      <w:pPr>
        <w:pBdr>
          <w:bottom w:val="single" w:sz="6" w:space="1" w:color="1B3A6B"/>
        </w:pBdr>
        <w:spacing w:before="60" w:after="200"/>
      </w:pPr>
    </w:p>
    <w:p w:rsidR="00491328" w:rsidRDefault="0049132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49132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lastRenderedPageBreak/>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91328" w:rsidRDefault="00CB7C15">
            <w:r>
              <w:rPr>
                <w:b/>
                <w:bCs/>
                <w:color w:val="FFFFFF"/>
                <w:sz w:val="19"/>
                <w:szCs w:val="19"/>
              </w:rPr>
              <w:t>Approved By</w:t>
            </w:r>
          </w:p>
        </w:tc>
      </w:tr>
      <w:tr w:rsidR="0049132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Dr. James Stanley</w:t>
            </w:r>
          </w:p>
        </w:tc>
      </w:tr>
      <w:tr w:rsidR="0049132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Comprehensive review: corrected DPA 2018 reference (Section 45 replaced with Schedule 2 exemptions — Section 45 applies to law enforcement, not general SARs); corrected GMC reference (2017 Confidentiality guidance, not 2024); removed phantom DPO</w:t>
            </w:r>
            <w:r>
              <w:rPr>
                <w:sz w:val="19"/>
                <w:szCs w:val="19"/>
              </w:rPr>
              <w:t>, Admin, and OH Lead roles; secure portal removed (delivery by encrypted email only); blanket passport + utility bill ID requirement replaced with proportionate verification per ICO guidance; arbitrary fee amounts (£10/£50) replaced with 'reasonable fee re</w:t>
            </w:r>
            <w:r>
              <w:rPr>
                <w:sz w:val="19"/>
                <w:szCs w:val="19"/>
              </w:rPr>
              <w:t xml:space="preserve">flecting administrative cost'; quarterly redaction drills removed (no staff); children's section updated to acknowledge </w:t>
            </w:r>
            <w:proofErr w:type="spellStart"/>
            <w:r>
              <w:rPr>
                <w:sz w:val="19"/>
                <w:szCs w:val="19"/>
              </w:rPr>
              <w:t>Gillick</w:t>
            </w:r>
            <w:proofErr w:type="spellEnd"/>
            <w:r>
              <w:rPr>
                <w:sz w:val="19"/>
                <w:szCs w:val="19"/>
              </w:rPr>
              <w:t xml:space="preserve"> competence for under-18s; deceased patient access corrected to Access to Health Records Act 1990 framework (not UK GDPR SAR); em</w:t>
            </w:r>
            <w:r>
              <w:rPr>
                <w:sz w:val="19"/>
                <w:szCs w:val="19"/>
              </w:rPr>
              <w:t>ployer SAR section added and correctly declined; litigation section corrected (litigation does not automatically exempt data); correct email address (healthbridge.org.uk, not .co.uk); SAR Register governance section added.</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Dr. James Stanley</w:t>
            </w:r>
          </w:p>
        </w:tc>
      </w:tr>
      <w:tr w:rsidR="0049132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CB7C15">
            <w:r>
              <w:rPr>
                <w:sz w:val="19"/>
                <w:szCs w:val="19"/>
              </w:rPr>
              <w:t>[DD/MM/YYY</w:t>
            </w:r>
            <w:r>
              <w:rPr>
                <w:sz w:val="19"/>
                <w:szCs w:val="19"/>
              </w:rPr>
              <w:t>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491328"/>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91328" w:rsidRDefault="00491328"/>
        </w:tc>
      </w:tr>
    </w:tbl>
    <w:p w:rsidR="00491328" w:rsidRDefault="00491328">
      <w:pPr>
        <w:spacing w:before="160"/>
      </w:pPr>
    </w:p>
    <w:p w:rsidR="00491328" w:rsidRDefault="00CB7C15">
      <w:pPr>
        <w:spacing w:before="60" w:after="100"/>
      </w:pPr>
      <w:r>
        <w:rPr>
          <w:b/>
          <w:bCs/>
          <w:color w:val="1A1A2E"/>
        </w:rPr>
        <w:t>Approved by: Dr. James Stanley, Clinical Lead</w:t>
      </w:r>
    </w:p>
    <w:p w:rsidR="00491328" w:rsidRDefault="00CB7C15">
      <w:pPr>
        <w:spacing w:before="60" w:after="100"/>
      </w:pPr>
      <w:r>
        <w:rPr>
          <w:color w:val="1A1A2E"/>
        </w:rPr>
        <w:t>GMC Registration No: 7285162</w:t>
      </w:r>
    </w:p>
    <w:p w:rsidR="00491328" w:rsidRDefault="00CB7C15">
      <w:pPr>
        <w:spacing w:before="60" w:after="100"/>
      </w:pPr>
      <w:r>
        <w:rPr>
          <w:color w:val="1A1A2E"/>
        </w:rPr>
        <w:t>Contact: contact@healthbridge.org.uk</w:t>
      </w:r>
    </w:p>
    <w:p w:rsidR="00491328" w:rsidRDefault="00491328">
      <w:pPr>
        <w:spacing w:before="60"/>
      </w:pPr>
    </w:p>
    <w:p w:rsidR="00491328" w:rsidRDefault="00CB7C15">
      <w:pPr>
        <w:spacing w:before="60" w:after="100"/>
      </w:pPr>
      <w:r>
        <w:rPr>
          <w:i/>
          <w:iCs/>
          <w:color w:val="6B7280"/>
        </w:rPr>
        <w:t xml:space="preserve">HealthBridge Occupational Health </w:t>
      </w:r>
      <w:proofErr w:type="gramStart"/>
      <w:r>
        <w:rPr>
          <w:i/>
          <w:iCs/>
          <w:color w:val="6B7280"/>
        </w:rPr>
        <w:t>Ltd  |</w:t>
      </w:r>
      <w:proofErr w:type="gramEnd"/>
      <w:r>
        <w:rPr>
          <w:i/>
          <w:iCs/>
          <w:color w:val="6B7280"/>
        </w:rPr>
        <w:t xml:space="preserve">  Company No: 16615396</w:t>
      </w:r>
    </w:p>
    <w:p w:rsidR="00491328" w:rsidRDefault="00CB7C15">
      <w:pPr>
        <w:spacing w:before="60" w:after="100"/>
      </w:pPr>
      <w:r>
        <w:rPr>
          <w:i/>
          <w:iCs/>
          <w:color w:val="6B7280"/>
        </w:rPr>
        <w:t xml:space="preserve">Registered Address: 50 </w:t>
      </w:r>
      <w:proofErr w:type="spellStart"/>
      <w:r>
        <w:rPr>
          <w:i/>
          <w:iCs/>
          <w:color w:val="6B7280"/>
        </w:rPr>
        <w:t>Hadow</w:t>
      </w:r>
      <w:proofErr w:type="spellEnd"/>
      <w:r>
        <w:rPr>
          <w:i/>
          <w:iCs/>
          <w:color w:val="6B7280"/>
        </w:rPr>
        <w:t xml:space="preserve"> Way, Gloucester, GL2 4YJ</w:t>
      </w:r>
    </w:p>
    <w:p w:rsidR="00491328" w:rsidRDefault="00CB7C15">
      <w:pPr>
        <w:spacing w:before="60" w:after="100"/>
      </w:pPr>
      <w:proofErr w:type="gramStart"/>
      <w:r>
        <w:rPr>
          <w:i/>
          <w:iCs/>
          <w:color w:val="6B7280"/>
        </w:rPr>
        <w:t>© HealthBridge Occupational Health Ltd. Unauthorised distribution prohibited.</w:t>
      </w:r>
      <w:proofErr w:type="gramEnd"/>
    </w:p>
    <w:sectPr w:rsidR="00491328" w:rsidSect="00491328">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328" w:rsidRDefault="00491328" w:rsidP="00491328">
      <w:r>
        <w:separator/>
      </w:r>
    </w:p>
  </w:endnote>
  <w:endnote w:type="continuationSeparator" w:id="0">
    <w:p w:rsidR="00491328" w:rsidRDefault="00491328" w:rsidP="0049132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328" w:rsidRDefault="00CB7C15">
    <w:pPr>
      <w:pBdr>
        <w:top w:val="single" w:sz="4" w:space="2" w:color="1B3A6B"/>
      </w:pBdr>
      <w:tabs>
        <w:tab w:val="right" w:pos="9026"/>
      </w:tabs>
      <w:spacing w:before="120"/>
    </w:pPr>
    <w:r>
      <w:rPr>
        <w:color w:val="6B7280"/>
        <w:sz w:val="16"/>
        <w:szCs w:val="16"/>
      </w:rPr>
      <w:t>Hea</w:t>
    </w:r>
    <w:r>
      <w:rPr>
        <w:color w:val="6B7280"/>
        <w:sz w:val="16"/>
        <w:szCs w:val="16"/>
      </w:rPr>
      <w:t xml:space="preserve">lthBridge Occupational Health </w:t>
    </w:r>
    <w:proofErr w:type="gramStart"/>
    <w:r>
      <w:rPr>
        <w:color w:val="6B7280"/>
        <w:sz w:val="16"/>
        <w:szCs w:val="16"/>
      </w:rPr>
      <w:t>Ltd  |</w:t>
    </w:r>
    <w:proofErr w:type="gramEnd"/>
    <w:r>
      <w:rPr>
        <w:color w:val="6B7280"/>
        <w:sz w:val="16"/>
        <w:szCs w:val="16"/>
      </w:rPr>
      <w:t xml:space="preserve">  Co. No: </w:t>
    </w:r>
    <w:proofErr w:type="gramStart"/>
    <w:r>
      <w:rPr>
        <w:color w:val="6B7280"/>
        <w:sz w:val="16"/>
        <w:szCs w:val="16"/>
      </w:rPr>
      <w:t>16615396  |</w:t>
    </w:r>
    <w:proofErr w:type="gramEnd"/>
    <w:r>
      <w:rPr>
        <w:color w:val="6B7280"/>
        <w:sz w:val="16"/>
        <w:szCs w:val="16"/>
      </w:rPr>
      <w:t xml:space="preserve">  50 </w:t>
    </w:r>
    <w:proofErr w:type="spellStart"/>
    <w:r>
      <w:rPr>
        <w:color w:val="6B7280"/>
        <w:sz w:val="16"/>
        <w:szCs w:val="16"/>
      </w:rPr>
      <w:t>Hadow</w:t>
    </w:r>
    <w:proofErr w:type="spellEnd"/>
    <w:r>
      <w:rPr>
        <w:color w:val="6B7280"/>
        <w:sz w:val="16"/>
        <w:szCs w:val="16"/>
      </w:rPr>
      <w:t xml:space="preserve"> Way, Gloucester, GL2 4YJ</w:t>
    </w:r>
    <w:r>
      <w:rPr>
        <w:color w:val="6B7280"/>
        <w:sz w:val="16"/>
        <w:szCs w:val="16"/>
      </w:rPr>
      <w:tab/>
      <w:t xml:space="preserve">Page </w:t>
    </w:r>
    <w:r w:rsidR="00491328">
      <w:rPr>
        <w:color w:val="6B7280"/>
        <w:sz w:val="16"/>
        <w:szCs w:val="16"/>
      </w:rPr>
      <w:fldChar w:fldCharType="begin"/>
    </w:r>
    <w:r>
      <w:rPr>
        <w:color w:val="6B7280"/>
        <w:sz w:val="16"/>
        <w:szCs w:val="16"/>
      </w:rPr>
      <w:instrText>PAGE</w:instrText>
    </w:r>
    <w:r w:rsidR="00092B92">
      <w:rPr>
        <w:color w:val="6B7280"/>
        <w:sz w:val="16"/>
        <w:szCs w:val="16"/>
      </w:rPr>
      <w:fldChar w:fldCharType="separate"/>
    </w:r>
    <w:r w:rsidR="00092B92">
      <w:rPr>
        <w:noProof/>
        <w:color w:val="6B7280"/>
        <w:sz w:val="16"/>
        <w:szCs w:val="16"/>
      </w:rPr>
      <w:t>2</w:t>
    </w:r>
    <w:r w:rsidR="00491328">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328" w:rsidRDefault="00491328" w:rsidP="00491328">
      <w:r>
        <w:separator/>
      </w:r>
    </w:p>
  </w:footnote>
  <w:footnote w:type="continuationSeparator" w:id="0">
    <w:p w:rsidR="00491328" w:rsidRDefault="00491328" w:rsidP="004913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328" w:rsidRDefault="00CB7C15">
    <w:pPr>
      <w:tabs>
        <w:tab w:val="right" w:pos="9026"/>
      </w:tabs>
      <w:spacing w:after="100"/>
    </w:pPr>
    <w:r>
      <w:rPr>
        <w:color w:val="6B7280"/>
        <w:sz w:val="16"/>
        <w:szCs w:val="16"/>
      </w:rPr>
      <w:t xml:space="preserve">Version </w:t>
    </w:r>
    <w:proofErr w:type="gramStart"/>
    <w:r>
      <w:rPr>
        <w:color w:val="6B7280"/>
        <w:sz w:val="16"/>
        <w:szCs w:val="16"/>
      </w:rPr>
      <w:t>2.0  |</w:t>
    </w:r>
    <w:proofErr w:type="gramEnd"/>
    <w:r>
      <w:rPr>
        <w:color w:val="6B7280"/>
        <w:sz w:val="16"/>
        <w:szCs w:val="16"/>
      </w:rPr>
      <w:t xml:space="preserve">  Effective: 13/06/2026  |  Owner: Dr. James Stanley  |  GMC: 7285162</w:t>
    </w:r>
    <w:r>
      <w:rPr>
        <w:color w:val="6B7280"/>
        <w:sz w:val="16"/>
        <w:szCs w:val="16"/>
      </w:rPr>
      <w:tab/>
      <w:t>Next Review: 13/06/2027</w:t>
    </w:r>
  </w:p>
  <w:p w:rsidR="00491328" w:rsidRDefault="00491328">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C688A"/>
    <w:multiLevelType w:val="hybridMultilevel"/>
    <w:tmpl w:val="69FC529A"/>
    <w:lvl w:ilvl="0" w:tplc="5B9286CC">
      <w:start w:val="1"/>
      <w:numFmt w:val="bullet"/>
      <w:lvlText w:val="•"/>
      <w:lvlJc w:val="left"/>
      <w:pPr>
        <w:ind w:left="540" w:hanging="360"/>
      </w:pPr>
    </w:lvl>
    <w:lvl w:ilvl="1" w:tplc="D25E01B4">
      <w:numFmt w:val="decimal"/>
      <w:lvlText w:val=""/>
      <w:lvlJc w:val="left"/>
    </w:lvl>
    <w:lvl w:ilvl="2" w:tplc="A7B689DE">
      <w:numFmt w:val="decimal"/>
      <w:lvlText w:val=""/>
      <w:lvlJc w:val="left"/>
    </w:lvl>
    <w:lvl w:ilvl="3" w:tplc="7B48D97E">
      <w:numFmt w:val="decimal"/>
      <w:lvlText w:val=""/>
      <w:lvlJc w:val="left"/>
    </w:lvl>
    <w:lvl w:ilvl="4" w:tplc="3604A614">
      <w:numFmt w:val="decimal"/>
      <w:lvlText w:val=""/>
      <w:lvlJc w:val="left"/>
    </w:lvl>
    <w:lvl w:ilvl="5" w:tplc="B8F877F0">
      <w:numFmt w:val="decimal"/>
      <w:lvlText w:val=""/>
      <w:lvlJc w:val="left"/>
    </w:lvl>
    <w:lvl w:ilvl="6" w:tplc="A1D4ABB8">
      <w:numFmt w:val="decimal"/>
      <w:lvlText w:val=""/>
      <w:lvlJc w:val="left"/>
    </w:lvl>
    <w:lvl w:ilvl="7" w:tplc="2ACE765E">
      <w:numFmt w:val="decimal"/>
      <w:lvlText w:val=""/>
      <w:lvlJc w:val="left"/>
    </w:lvl>
    <w:lvl w:ilvl="8" w:tplc="741E010C">
      <w:numFmt w:val="decimal"/>
      <w:lvlText w:val=""/>
      <w:lvlJc w:val="left"/>
    </w:lvl>
  </w:abstractNum>
  <w:abstractNum w:abstractNumId="1">
    <w:nsid w:val="219A4753"/>
    <w:multiLevelType w:val="hybridMultilevel"/>
    <w:tmpl w:val="BEE4BEA0"/>
    <w:lvl w:ilvl="0" w:tplc="7A489806">
      <w:start w:val="1"/>
      <w:numFmt w:val="bullet"/>
      <w:lvlText w:val="●"/>
      <w:lvlJc w:val="left"/>
      <w:pPr>
        <w:ind w:left="720" w:hanging="360"/>
      </w:pPr>
    </w:lvl>
    <w:lvl w:ilvl="1" w:tplc="AC5CE47C">
      <w:start w:val="1"/>
      <w:numFmt w:val="bullet"/>
      <w:lvlText w:val="○"/>
      <w:lvlJc w:val="left"/>
      <w:pPr>
        <w:ind w:left="1440" w:hanging="360"/>
      </w:pPr>
    </w:lvl>
    <w:lvl w:ilvl="2" w:tplc="090E9C7E">
      <w:start w:val="1"/>
      <w:numFmt w:val="bullet"/>
      <w:lvlText w:val="■"/>
      <w:lvlJc w:val="left"/>
      <w:pPr>
        <w:ind w:left="2160" w:hanging="360"/>
      </w:pPr>
    </w:lvl>
    <w:lvl w:ilvl="3" w:tplc="3D60E066">
      <w:start w:val="1"/>
      <w:numFmt w:val="bullet"/>
      <w:lvlText w:val="●"/>
      <w:lvlJc w:val="left"/>
      <w:pPr>
        <w:ind w:left="2880" w:hanging="360"/>
      </w:pPr>
    </w:lvl>
    <w:lvl w:ilvl="4" w:tplc="35683E80">
      <w:start w:val="1"/>
      <w:numFmt w:val="bullet"/>
      <w:lvlText w:val="○"/>
      <w:lvlJc w:val="left"/>
      <w:pPr>
        <w:ind w:left="3600" w:hanging="360"/>
      </w:pPr>
    </w:lvl>
    <w:lvl w:ilvl="5" w:tplc="4198B5E8">
      <w:start w:val="1"/>
      <w:numFmt w:val="bullet"/>
      <w:lvlText w:val="■"/>
      <w:lvlJc w:val="left"/>
      <w:pPr>
        <w:ind w:left="4320" w:hanging="360"/>
      </w:pPr>
    </w:lvl>
    <w:lvl w:ilvl="6" w:tplc="14542D32">
      <w:start w:val="1"/>
      <w:numFmt w:val="bullet"/>
      <w:lvlText w:val="●"/>
      <w:lvlJc w:val="left"/>
      <w:pPr>
        <w:ind w:left="5040" w:hanging="360"/>
      </w:pPr>
    </w:lvl>
    <w:lvl w:ilvl="7" w:tplc="2B0E0182">
      <w:start w:val="1"/>
      <w:numFmt w:val="bullet"/>
      <w:lvlText w:val="●"/>
      <w:lvlJc w:val="left"/>
      <w:pPr>
        <w:ind w:left="5760" w:hanging="360"/>
      </w:pPr>
    </w:lvl>
    <w:lvl w:ilvl="8" w:tplc="3B0E089E">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491328"/>
    <w:rsid w:val="00092B92"/>
    <w:rsid w:val="00491328"/>
    <w:rsid w:val="00CB7C1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491328"/>
    <w:pPr>
      <w:outlineLvl w:val="0"/>
    </w:pPr>
    <w:rPr>
      <w:color w:val="2E74B5"/>
      <w:sz w:val="32"/>
      <w:szCs w:val="32"/>
    </w:rPr>
  </w:style>
  <w:style w:type="paragraph" w:styleId="Heading2">
    <w:name w:val="heading 2"/>
    <w:qFormat/>
    <w:rsid w:val="00491328"/>
    <w:pPr>
      <w:outlineLvl w:val="1"/>
    </w:pPr>
    <w:rPr>
      <w:color w:val="2E74B5"/>
      <w:sz w:val="26"/>
      <w:szCs w:val="26"/>
    </w:rPr>
  </w:style>
  <w:style w:type="paragraph" w:styleId="Heading3">
    <w:name w:val="heading 3"/>
    <w:qFormat/>
    <w:rsid w:val="00491328"/>
    <w:pPr>
      <w:outlineLvl w:val="2"/>
    </w:pPr>
    <w:rPr>
      <w:color w:val="1F4D78"/>
      <w:sz w:val="24"/>
      <w:szCs w:val="24"/>
    </w:rPr>
  </w:style>
  <w:style w:type="paragraph" w:styleId="Heading4">
    <w:name w:val="heading 4"/>
    <w:qFormat/>
    <w:rsid w:val="00491328"/>
    <w:pPr>
      <w:outlineLvl w:val="3"/>
    </w:pPr>
    <w:rPr>
      <w:i/>
      <w:iCs/>
      <w:color w:val="2E74B5"/>
    </w:rPr>
  </w:style>
  <w:style w:type="paragraph" w:styleId="Heading5">
    <w:name w:val="heading 5"/>
    <w:qFormat/>
    <w:rsid w:val="00491328"/>
    <w:pPr>
      <w:outlineLvl w:val="4"/>
    </w:pPr>
    <w:rPr>
      <w:color w:val="2E74B5"/>
    </w:rPr>
  </w:style>
  <w:style w:type="paragraph" w:styleId="Heading6">
    <w:name w:val="heading 6"/>
    <w:qFormat/>
    <w:rsid w:val="00491328"/>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491328"/>
    <w:rPr>
      <w:sz w:val="56"/>
      <w:szCs w:val="56"/>
    </w:rPr>
  </w:style>
  <w:style w:type="paragraph" w:customStyle="1" w:styleId="Strong1">
    <w:name w:val="Strong1"/>
    <w:qFormat/>
    <w:rsid w:val="00491328"/>
    <w:rPr>
      <w:b/>
      <w:bCs/>
    </w:rPr>
  </w:style>
  <w:style w:type="paragraph" w:styleId="ListParagraph">
    <w:name w:val="List Paragraph"/>
    <w:qFormat/>
    <w:rsid w:val="00491328"/>
  </w:style>
  <w:style w:type="character" w:styleId="Hyperlink">
    <w:name w:val="Hyperlink"/>
    <w:uiPriority w:val="99"/>
    <w:unhideWhenUsed/>
    <w:rsid w:val="00491328"/>
    <w:rPr>
      <w:color w:val="0563C1"/>
      <w:u w:val="single"/>
    </w:rPr>
  </w:style>
  <w:style w:type="character" w:styleId="FootnoteReference">
    <w:name w:val="footnote reference"/>
    <w:uiPriority w:val="99"/>
    <w:semiHidden/>
    <w:unhideWhenUsed/>
    <w:rsid w:val="00491328"/>
    <w:rPr>
      <w:vertAlign w:val="superscript"/>
    </w:rPr>
  </w:style>
  <w:style w:type="paragraph" w:styleId="FootnoteText">
    <w:name w:val="footnote text"/>
    <w:link w:val="FootnoteTextChar"/>
    <w:uiPriority w:val="99"/>
    <w:semiHidden/>
    <w:unhideWhenUsed/>
    <w:rsid w:val="00491328"/>
  </w:style>
  <w:style w:type="character" w:customStyle="1" w:styleId="FootnoteTextChar">
    <w:name w:val="Footnote Text Char"/>
    <w:link w:val="FootnoteText"/>
    <w:uiPriority w:val="99"/>
    <w:semiHidden/>
    <w:unhideWhenUsed/>
    <w:rsid w:val="00491328"/>
    <w:rPr>
      <w:sz w:val="20"/>
      <w:szCs w:val="20"/>
    </w:rPr>
  </w:style>
  <w:style w:type="character" w:styleId="EndnoteReference">
    <w:name w:val="endnote reference"/>
    <w:uiPriority w:val="99"/>
    <w:semiHidden/>
    <w:unhideWhenUsed/>
    <w:rsid w:val="00491328"/>
    <w:rPr>
      <w:vertAlign w:val="superscript"/>
    </w:rPr>
  </w:style>
  <w:style w:type="paragraph" w:styleId="EndnoteText">
    <w:name w:val="endnote text"/>
    <w:link w:val="EndnoteTextChar"/>
    <w:uiPriority w:val="99"/>
    <w:semiHidden/>
    <w:unhideWhenUsed/>
    <w:rsid w:val="00491328"/>
  </w:style>
  <w:style w:type="character" w:customStyle="1" w:styleId="EndnoteTextChar">
    <w:name w:val="Endnote Text Char"/>
    <w:link w:val="EndnoteText"/>
    <w:uiPriority w:val="99"/>
    <w:semiHidden/>
    <w:unhideWhenUsed/>
    <w:rsid w:val="00491328"/>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2365</Words>
  <Characters>13484</Characters>
  <Application>Microsoft Office Word</Application>
  <DocSecurity>0</DocSecurity>
  <Lines>112</Lines>
  <Paragraphs>31</Paragraphs>
  <ScaleCrop>false</ScaleCrop>
  <Company>Grizli777</Company>
  <LinksUpToDate>false</LinksUpToDate>
  <CharactersWithSpaces>15818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2026-06-17T11:29:00Z</dcterms:created>
  <dcterms:modified xsi:type="dcterms:W3CDTF">2026-06-17T11:29:00Z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