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880" w:rsidRDefault="00166DC3">
      <w:pPr>
        <w:spacing w:before="200" w:after="60"/>
      </w:pPr>
      <w:r>
        <w:rPr>
          <w:b/>
          <w:bCs/>
          <w:color w:val="1B3A6B"/>
          <w:sz w:val="40"/>
          <w:szCs w:val="40"/>
        </w:rPr>
        <w:t>HEALTHBRIDGE OCCUPATIONAL HEALTH LTD</w:t>
      </w:r>
    </w:p>
    <w:p w:rsidR="009C7880" w:rsidRDefault="00166DC3">
      <w:pPr>
        <w:spacing w:after="80"/>
      </w:pPr>
      <w:r>
        <w:rPr>
          <w:b/>
          <w:bCs/>
          <w:color w:val="1B3A6B"/>
          <w:sz w:val="28"/>
          <w:szCs w:val="28"/>
        </w:rPr>
        <w:t>Privacy Policy</w:t>
      </w:r>
    </w:p>
    <w:p w:rsidR="009C7880" w:rsidRDefault="00166DC3">
      <w:pPr>
        <w:pBdr>
          <w:bottom w:val="thick" w:sz="12" w:space="3" w:color="1B3A6B"/>
        </w:pBdr>
        <w:spacing w:after="240"/>
      </w:pPr>
      <w:r>
        <w:rPr>
          <w:i/>
          <w:iCs/>
          <w:color w:val="6B7280"/>
          <w:sz w:val="19"/>
          <w:szCs w:val="19"/>
        </w:rPr>
        <w:t>GP-Led Occupational Health Services   |   Version 2.0   |   Effective 13 June 2026</w:t>
      </w:r>
    </w:p>
    <w:p w:rsidR="009C7880" w:rsidRDefault="009C7880">
      <w:pPr>
        <w:spacing w:before="80"/>
      </w:pPr>
    </w:p>
    <w:p w:rsidR="009C7880" w:rsidRDefault="00166DC3">
      <w:pPr>
        <w:spacing w:before="60" w:after="100"/>
      </w:pPr>
      <w:r>
        <w:rPr>
          <w:color w:val="1A1A2E"/>
        </w:rPr>
        <w:t>This Privacy Policy explains who we are, what personal information we collect about you, why we collect it, and what your rights are. It applies to all individuals whose data is processed in connection with HealthBridge Occupational Health services, includ</w:t>
      </w:r>
      <w:r>
        <w:rPr>
          <w:color w:val="1A1A2E"/>
        </w:rPr>
        <w:t>ing employees referred for assessment, referring employers, and visitors to our website.</w:t>
      </w:r>
    </w:p>
    <w:p w:rsidR="009C7880" w:rsidRDefault="009C7880">
      <w:pPr>
        <w:spacing w:before="80"/>
      </w:pPr>
    </w:p>
    <w:p w:rsidR="009C7880" w:rsidRDefault="00166DC3">
      <w:pPr>
        <w:spacing w:before="400" w:after="120"/>
      </w:pPr>
      <w:r>
        <w:rPr>
          <w:b/>
          <w:bCs/>
          <w:color w:val="1B3A6B"/>
          <w:sz w:val="28"/>
          <w:szCs w:val="28"/>
        </w:rPr>
        <w:t>1.  Who We Are</w:t>
      </w:r>
    </w:p>
    <w:p w:rsidR="009C7880" w:rsidRDefault="009C7880">
      <w:pPr>
        <w:pBdr>
          <w:bottom w:val="single" w:sz="6" w:space="1" w:color="1B3A6B"/>
        </w:pBdr>
        <w:spacing w:before="60" w:after="200"/>
      </w:pPr>
    </w:p>
    <w:p w:rsidR="009C7880" w:rsidRDefault="00166DC3">
      <w:pPr>
        <w:spacing w:before="60" w:after="100"/>
      </w:pPr>
      <w:r>
        <w:rPr>
          <w:color w:val="1A1A2E"/>
        </w:rPr>
        <w:t>HealthBridge Occupational Health Ltd is the Data Controller for personal data processed in connection with our occupational health services.</w:t>
      </w:r>
    </w:p>
    <w:p w:rsidR="009C7880" w:rsidRDefault="009C7880">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6026"/>
      </w:tblGrid>
      <w:tr w:rsidR="009C788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Detail</w:t>
            </w:r>
          </w:p>
        </w:tc>
        <w:tc>
          <w:tcPr>
            <w:tcW w:w="60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I</w:t>
            </w:r>
            <w:r>
              <w:rPr>
                <w:b/>
                <w:bCs/>
                <w:color w:val="FFFFFF"/>
                <w:sz w:val="19"/>
                <w:szCs w:val="19"/>
              </w:rPr>
              <w:t>nformation</w:t>
            </w:r>
          </w:p>
        </w:tc>
      </w:tr>
      <w:tr w:rsidR="009C788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Data Controller</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HealthBridge Occupational Health Ltd</w:t>
            </w:r>
          </w:p>
        </w:tc>
      </w:tr>
      <w:tr w:rsidR="009C788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Company Number</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16615396</w:t>
            </w:r>
          </w:p>
        </w:tc>
      </w:tr>
      <w:tr w:rsidR="009C788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Registered Address</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50 Hadow Way, Gloucester, GL2 4YJ</w:t>
            </w:r>
          </w:p>
        </w:tc>
      </w:tr>
      <w:tr w:rsidR="009C788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ICO Registration Number</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ZB952216</w:t>
            </w:r>
          </w:p>
        </w:tc>
      </w:tr>
      <w:tr w:rsidR="009C788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Data Protection Contact</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Dr. James Stanley — contact@healthbridge.org.uk</w:t>
            </w:r>
          </w:p>
        </w:tc>
      </w:tr>
      <w:tr w:rsidR="009C788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Clinical Lead / GMC Registration</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Dr. James Stanley — GMC No. 7285162</w:t>
            </w:r>
          </w:p>
        </w:tc>
      </w:tr>
    </w:tbl>
    <w:p w:rsidR="009C7880" w:rsidRDefault="009C7880">
      <w:pPr>
        <w:spacing w:before="80"/>
      </w:pPr>
    </w:p>
    <w:p w:rsidR="009C7880" w:rsidRDefault="00166DC3">
      <w:pPr>
        <w:spacing w:before="400" w:after="120"/>
      </w:pPr>
      <w:r>
        <w:rPr>
          <w:b/>
          <w:bCs/>
          <w:color w:val="1B3A6B"/>
          <w:sz w:val="28"/>
          <w:szCs w:val="28"/>
        </w:rPr>
        <w:t>2.  The Personal Data We Collect</w:t>
      </w:r>
    </w:p>
    <w:p w:rsidR="009C7880" w:rsidRDefault="009C7880">
      <w:pPr>
        <w:pBdr>
          <w:bottom w:val="single" w:sz="6" w:space="1" w:color="1B3A6B"/>
        </w:pBdr>
        <w:spacing w:before="60" w:after="200"/>
      </w:pPr>
    </w:p>
    <w:p w:rsidR="009C7880" w:rsidRDefault="00166DC3">
      <w:pPr>
        <w:spacing w:before="60" w:after="100"/>
      </w:pPr>
      <w:r>
        <w:rPr>
          <w:color w:val="1A1A2E"/>
        </w:rPr>
        <w:t>We collect different types of personal data depending on your relationship with HealthBridge:</w:t>
      </w:r>
    </w:p>
    <w:p w:rsidR="009C7880" w:rsidRDefault="009C7880">
      <w:pPr>
        <w:spacing w:before="60"/>
      </w:pPr>
    </w:p>
    <w:p w:rsidR="009C7880" w:rsidRDefault="00166DC3">
      <w:pPr>
        <w:spacing w:before="280" w:after="100"/>
      </w:pPr>
      <w:r>
        <w:rPr>
          <w:b/>
          <w:bCs/>
          <w:color w:val="1B3A6B"/>
          <w:sz w:val="22"/>
          <w:szCs w:val="22"/>
        </w:rPr>
        <w:t>2.1  Employees Referred for OH Assessment</w:t>
      </w:r>
    </w:p>
    <w:p w:rsidR="009C7880" w:rsidRDefault="00166DC3">
      <w:pPr>
        <w:pStyle w:val="ListParagraph"/>
        <w:numPr>
          <w:ilvl w:val="0"/>
          <w:numId w:val="2"/>
        </w:numPr>
        <w:spacing w:before="40" w:after="40"/>
      </w:pPr>
      <w:r>
        <w:t>Identity and contact information: name, date of birth, address, telephone, email</w:t>
      </w:r>
    </w:p>
    <w:p w:rsidR="009C7880" w:rsidRDefault="00166DC3">
      <w:pPr>
        <w:pStyle w:val="ListParagraph"/>
        <w:numPr>
          <w:ilvl w:val="0"/>
          <w:numId w:val="2"/>
        </w:numPr>
        <w:spacing w:before="40" w:after="40"/>
      </w:pPr>
      <w:r>
        <w:t>Employment information: job title, employer name, nature of role, reason for referral</w:t>
      </w:r>
    </w:p>
    <w:p w:rsidR="009C7880" w:rsidRDefault="00166DC3">
      <w:pPr>
        <w:pStyle w:val="ListParagraph"/>
        <w:numPr>
          <w:ilvl w:val="0"/>
          <w:numId w:val="2"/>
        </w:numPr>
        <w:spacing w:before="40" w:after="40"/>
      </w:pPr>
      <w:r>
        <w:t>Health information (special category data): medical history relevant to the referral, cur</w:t>
      </w:r>
      <w:r>
        <w:t>rent symptoms, medication, and any information you share during the assessment</w:t>
      </w:r>
    </w:p>
    <w:p w:rsidR="009C7880" w:rsidRDefault="00166DC3">
      <w:pPr>
        <w:pStyle w:val="ListParagraph"/>
        <w:numPr>
          <w:ilvl w:val="0"/>
          <w:numId w:val="2"/>
        </w:numPr>
        <w:spacing w:before="40" w:after="40"/>
      </w:pPr>
      <w:r>
        <w:t>Third-party medical information: where you have given explicit consent, we may request correspondence from your GP or treating specialist to inform the assessment</w:t>
      </w:r>
    </w:p>
    <w:p w:rsidR="009C7880" w:rsidRDefault="00166DC3">
      <w:pPr>
        <w:pStyle w:val="ListParagraph"/>
        <w:numPr>
          <w:ilvl w:val="0"/>
          <w:numId w:val="2"/>
        </w:numPr>
        <w:spacing w:before="40" w:after="40"/>
      </w:pPr>
      <w:r>
        <w:t>Consent records: documentation of the consents you have given at each stage</w:t>
      </w:r>
    </w:p>
    <w:p w:rsidR="009C7880" w:rsidRDefault="009C7880">
      <w:pPr>
        <w:spacing w:before="80"/>
      </w:pPr>
    </w:p>
    <w:p w:rsidR="009C7880" w:rsidRDefault="00166DC3">
      <w:pPr>
        <w:spacing w:before="280" w:after="100"/>
      </w:pPr>
      <w:r>
        <w:rPr>
          <w:b/>
          <w:bCs/>
          <w:color w:val="1B3A6B"/>
          <w:sz w:val="22"/>
          <w:szCs w:val="22"/>
        </w:rPr>
        <w:t>2.2  Referring Employers</w:t>
      </w:r>
    </w:p>
    <w:p w:rsidR="009C7880" w:rsidRDefault="00166DC3">
      <w:pPr>
        <w:pStyle w:val="ListParagraph"/>
        <w:numPr>
          <w:ilvl w:val="0"/>
          <w:numId w:val="2"/>
        </w:numPr>
        <w:spacing w:before="40" w:after="40"/>
      </w:pPr>
      <w:r>
        <w:lastRenderedPageBreak/>
        <w:t>Organisation name and contact details</w:t>
      </w:r>
    </w:p>
    <w:p w:rsidR="009C7880" w:rsidRDefault="00166DC3">
      <w:pPr>
        <w:pStyle w:val="ListParagraph"/>
        <w:numPr>
          <w:ilvl w:val="0"/>
          <w:numId w:val="2"/>
        </w:numPr>
        <w:spacing w:before="40" w:after="40"/>
      </w:pPr>
      <w:r>
        <w:t>Name and contact details of the HR manager or referral lead</w:t>
      </w:r>
    </w:p>
    <w:p w:rsidR="009C7880" w:rsidRDefault="00166DC3">
      <w:pPr>
        <w:pStyle w:val="ListParagraph"/>
        <w:numPr>
          <w:ilvl w:val="0"/>
          <w:numId w:val="2"/>
        </w:numPr>
        <w:spacing w:before="40" w:after="40"/>
      </w:pPr>
      <w:r>
        <w:t>Details of the referral: the occupational health questio</w:t>
      </w:r>
      <w:r>
        <w:t>n being asked and any relevant employment context provided</w:t>
      </w:r>
    </w:p>
    <w:p w:rsidR="009C7880" w:rsidRDefault="00166DC3">
      <w:pPr>
        <w:pStyle w:val="ListParagraph"/>
        <w:numPr>
          <w:ilvl w:val="0"/>
          <w:numId w:val="2"/>
        </w:numPr>
        <w:spacing w:before="40" w:after="40"/>
      </w:pPr>
      <w:r>
        <w:t>Invoicing and payment information</w:t>
      </w:r>
    </w:p>
    <w:p w:rsidR="009C7880" w:rsidRDefault="009C7880">
      <w:pPr>
        <w:spacing w:before="80"/>
      </w:pPr>
    </w:p>
    <w:p w:rsidR="009C7880" w:rsidRDefault="00166DC3">
      <w:pPr>
        <w:spacing w:before="280" w:after="100"/>
      </w:pPr>
      <w:r>
        <w:rPr>
          <w:b/>
          <w:bCs/>
          <w:color w:val="1B3A6B"/>
          <w:sz w:val="22"/>
          <w:szCs w:val="22"/>
        </w:rPr>
        <w:t>2.3  Website Visitors</w:t>
      </w:r>
    </w:p>
    <w:p w:rsidR="009C7880" w:rsidRDefault="00166DC3">
      <w:pPr>
        <w:pStyle w:val="ListParagraph"/>
        <w:numPr>
          <w:ilvl w:val="0"/>
          <w:numId w:val="2"/>
        </w:numPr>
        <w:spacing w:before="40" w:after="40"/>
      </w:pPr>
      <w:r>
        <w:t>Technical data: IP address, browser type, pages visited, and time spent on the site</w:t>
      </w:r>
    </w:p>
    <w:p w:rsidR="009C7880" w:rsidRDefault="00166DC3">
      <w:pPr>
        <w:pStyle w:val="ListParagraph"/>
        <w:numPr>
          <w:ilvl w:val="0"/>
          <w:numId w:val="2"/>
        </w:numPr>
        <w:spacing w:before="40" w:after="40"/>
      </w:pPr>
      <w:r>
        <w:t>Cookie data: as set out in our Cookie Policy (www.health</w:t>
      </w:r>
      <w:r>
        <w:t>bridge.org.uk)</w:t>
      </w:r>
    </w:p>
    <w:p w:rsidR="009C7880" w:rsidRDefault="00166DC3">
      <w:pPr>
        <w:pStyle w:val="ListParagraph"/>
        <w:numPr>
          <w:ilvl w:val="0"/>
          <w:numId w:val="2"/>
        </w:numPr>
        <w:spacing w:before="40" w:after="40"/>
      </w:pPr>
      <w:r>
        <w:t>Enquiry data: if you contact us via the website contact form, the information you provide in that message</w:t>
      </w:r>
    </w:p>
    <w:p w:rsidR="009C7880" w:rsidRDefault="009C7880">
      <w:pPr>
        <w:spacing w:before="80"/>
      </w:pPr>
    </w:p>
    <w:p w:rsidR="009C7880" w:rsidRDefault="00166DC3">
      <w:pPr>
        <w:spacing w:before="400" w:after="120"/>
      </w:pPr>
      <w:r>
        <w:rPr>
          <w:b/>
          <w:bCs/>
          <w:color w:val="1B3A6B"/>
          <w:sz w:val="28"/>
          <w:szCs w:val="28"/>
        </w:rPr>
        <w:t>3.  Why We Process Your Data and Our Lawful Basis</w:t>
      </w:r>
    </w:p>
    <w:p w:rsidR="009C7880" w:rsidRDefault="009C7880">
      <w:pPr>
        <w:pBdr>
          <w:bottom w:val="single" w:sz="6" w:space="1" w:color="1B3A6B"/>
        </w:pBdr>
        <w:spacing w:before="60" w:after="200"/>
      </w:pPr>
    </w:p>
    <w:p w:rsidR="009C7880" w:rsidRDefault="00166DC3">
      <w:pPr>
        <w:spacing w:before="60" w:after="100"/>
      </w:pPr>
      <w:r>
        <w:rPr>
          <w:color w:val="1A1A2E"/>
        </w:rPr>
        <w:t>We are required by UK GDPR to have a lawful basis for every type of personal data p</w:t>
      </w:r>
      <w:r>
        <w:rPr>
          <w:color w:val="1A1A2E"/>
        </w:rPr>
        <w:t>rocessing we carry out. The table below sets out the main purposes and the basis we rely on for each.</w:t>
      </w:r>
    </w:p>
    <w:p w:rsidR="009C7880" w:rsidRDefault="009C7880">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600"/>
        <w:gridCol w:w="3226"/>
        <w:gridCol w:w="3200"/>
      </w:tblGrid>
      <w:tr w:rsidR="009C7880">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Purpose</w:t>
            </w:r>
          </w:p>
        </w:tc>
        <w:tc>
          <w:tcPr>
            <w:tcW w:w="32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Data Involved</w:t>
            </w:r>
          </w:p>
        </w:tc>
        <w:tc>
          <w:tcPr>
            <w:tcW w:w="32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Lawful Basis</w:t>
            </w:r>
          </w:p>
        </w:tc>
      </w:tr>
      <w:tr w:rsidR="009C7880">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Conducting OH assessments and preparing reports</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Identity, employment, and health data</w:t>
            </w:r>
          </w:p>
        </w:tc>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UK GDPR Article 9(2)(h) — medical purposes by a health professional bound by professional secrecy obligations; supported by DPA 2018 Schedule 1, Part 1, Para 2(2)(b) — occupational medicine purposes.</w:t>
            </w:r>
          </w:p>
        </w:tc>
      </w:tr>
      <w:tr w:rsidR="009C7880">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Providing employer advisory opinions and recommendations</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Employment and health data (functional information only, within consent)</w:t>
            </w:r>
          </w:p>
        </w:tc>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 xml:space="preserve">UK GDPR Article 9(2)(h); Article 6(1)(f) — legitimate interests of the employer in understanding their employee's fitness for </w:t>
            </w:r>
            <w:r>
              <w:rPr>
                <w:sz w:val="19"/>
                <w:szCs w:val="19"/>
              </w:rPr>
              <w:t>work.</w:t>
            </w:r>
          </w:p>
        </w:tc>
      </w:tr>
      <w:tr w:rsidR="009C7880">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Scheduling and managing appointments</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Identity and contact data</w:t>
            </w:r>
          </w:p>
        </w:tc>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UK GDPR Article 6(1)(b) — necessary for the performance of a contract for services.</w:t>
            </w:r>
          </w:p>
        </w:tc>
      </w:tr>
      <w:tr w:rsidR="009C7880">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Invoicing and payment processing</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Contact and financial data (employer or self-funded employee)</w:t>
            </w:r>
          </w:p>
        </w:tc>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UK GDPR Article 6(1)(b) — contract; Article 6(1)(c) — legal obligation (HMRC requirements).</w:t>
            </w:r>
          </w:p>
        </w:tc>
      </w:tr>
      <w:tr w:rsidR="009C7880">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Responding to enquiries and complaints</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Identity, contact, and case data</w:t>
            </w:r>
          </w:p>
        </w:tc>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UK GDPR Article 6(1)(f) — legitimate interests; Article 9(2)(h) where health data is involved.</w:t>
            </w:r>
          </w:p>
        </w:tc>
      </w:tr>
      <w:tr w:rsidR="009C7880">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Complying with legal and professional obligations (e.g., GMC duties, ICO requirements)</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Relevant clinical and governance records</w:t>
            </w:r>
          </w:p>
        </w:tc>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 xml:space="preserve">UK GDPR Article 6(1)(c) — legal </w:t>
            </w:r>
            <w:r>
              <w:rPr>
                <w:sz w:val="19"/>
                <w:szCs w:val="19"/>
              </w:rPr>
              <w:t>obligation; Article 9(2)(b) — substantial public interest.</w:t>
            </w:r>
          </w:p>
        </w:tc>
      </w:tr>
      <w:tr w:rsidR="009C7880">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Website analytics (non-essential cookies — with your consent)</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Technical / cookie data</w:t>
            </w:r>
          </w:p>
        </w:tc>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UK GDPR Article 6(1)(a) — consent. You may withdraw consent via the Cookie Settings link on our website at any</w:t>
            </w:r>
            <w:r>
              <w:rPr>
                <w:sz w:val="19"/>
                <w:szCs w:val="19"/>
              </w:rPr>
              <w:t xml:space="preserve"> time.</w:t>
            </w:r>
          </w:p>
        </w:tc>
      </w:tr>
    </w:tbl>
    <w:p w:rsidR="009C7880" w:rsidRDefault="009C7880">
      <w:pPr>
        <w:spacing w:before="8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9C7880">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9C7880" w:rsidRDefault="00166DC3">
            <w:r>
              <w:rPr>
                <w:i/>
                <w:iCs/>
                <w:color w:val="1B3A6B"/>
                <w:sz w:val="19"/>
                <w:szCs w:val="19"/>
              </w:rPr>
              <w:lastRenderedPageBreak/>
              <w:t>Important: For employees referred for OH assessment, our lawful basis for processing your health data is NOT consent under UK GDPR. It is Article 9(2)(h) — medical purposes. This means we do not need your GDPR consent to process your health data, but we do</w:t>
            </w:r>
            <w:r>
              <w:rPr>
                <w:i/>
                <w:iCs/>
                <w:color w:val="1B3A6B"/>
                <w:sz w:val="19"/>
                <w:szCs w:val="19"/>
              </w:rPr>
              <w:t xml:space="preserve"> need your clinical consent before we conduct the assessment and before we share any report with your employer. These are separate and important rights explained in our Consent Policy.</w:t>
            </w:r>
          </w:p>
        </w:tc>
      </w:tr>
    </w:tbl>
    <w:p w:rsidR="009C7880" w:rsidRDefault="009C7880">
      <w:pPr>
        <w:spacing w:before="80"/>
      </w:pPr>
    </w:p>
    <w:p w:rsidR="009C7880" w:rsidRDefault="00166DC3">
      <w:pPr>
        <w:spacing w:before="400" w:after="120"/>
      </w:pPr>
      <w:r>
        <w:rPr>
          <w:b/>
          <w:bCs/>
          <w:color w:val="1B3A6B"/>
          <w:sz w:val="28"/>
          <w:szCs w:val="28"/>
        </w:rPr>
        <w:t>4.  Who We Share Your Data With</w:t>
      </w:r>
    </w:p>
    <w:p w:rsidR="009C7880" w:rsidRDefault="009C7880">
      <w:pPr>
        <w:pBdr>
          <w:bottom w:val="single" w:sz="6" w:space="1" w:color="1B3A6B"/>
        </w:pBdr>
        <w:spacing w:before="60" w:after="200"/>
      </w:pPr>
    </w:p>
    <w:p w:rsidR="009C7880" w:rsidRDefault="00166DC3">
      <w:pPr>
        <w:spacing w:before="60" w:after="100"/>
      </w:pPr>
      <w:r>
        <w:rPr>
          <w:color w:val="1A1A2E"/>
        </w:rPr>
        <w:t xml:space="preserve">We do not sell, rent, or trade your </w:t>
      </w:r>
      <w:r>
        <w:rPr>
          <w:color w:val="1A1A2E"/>
        </w:rPr>
        <w:t>personal data. We share data only in the following specific circumstances:</w:t>
      </w:r>
    </w:p>
    <w:p w:rsidR="009C7880" w:rsidRDefault="009C7880">
      <w:pPr>
        <w:spacing w:before="60"/>
      </w:pPr>
    </w:p>
    <w:p w:rsidR="009C7880" w:rsidRDefault="00166DC3">
      <w:pPr>
        <w:spacing w:before="280" w:after="100"/>
      </w:pPr>
      <w:r>
        <w:rPr>
          <w:b/>
          <w:bCs/>
          <w:color w:val="1B3A6B"/>
          <w:sz w:val="22"/>
          <w:szCs w:val="22"/>
        </w:rPr>
        <w:t>4.1  Your Employer (Employer-Funded Referrals)</w:t>
      </w:r>
    </w:p>
    <w:p w:rsidR="009C7880" w:rsidRDefault="00166DC3">
      <w:pPr>
        <w:spacing w:before="60" w:after="100"/>
      </w:pPr>
      <w:r>
        <w:rPr>
          <w:color w:val="1A1A2E"/>
        </w:rPr>
        <w:t>Where your employer has referred you for an OH assessment, we will share the completed OH report with them — but only once you have g</w:t>
      </w:r>
      <w:r>
        <w:rPr>
          <w:color w:val="1A1A2E"/>
        </w:rPr>
        <w:t>iven your explicit consent to its release. You have the right to review the report before it is sent and to withhold consent. The report contains functional occupational health information only; clinical diagnoses are not disclosed without your separate, s</w:t>
      </w:r>
      <w:r>
        <w:rPr>
          <w:color w:val="1A1A2E"/>
        </w:rPr>
        <w:t>pecific consent.</w:t>
      </w:r>
    </w:p>
    <w:p w:rsidR="009C7880" w:rsidRDefault="009C7880">
      <w:pPr>
        <w:spacing w:before="80"/>
      </w:pPr>
    </w:p>
    <w:p w:rsidR="009C7880" w:rsidRDefault="00166DC3">
      <w:pPr>
        <w:spacing w:before="280" w:after="100"/>
      </w:pPr>
      <w:r>
        <w:rPr>
          <w:b/>
          <w:bCs/>
          <w:color w:val="1B3A6B"/>
          <w:sz w:val="22"/>
          <w:szCs w:val="22"/>
        </w:rPr>
        <w:t>4.2  Third-Party Medical Professionals</w:t>
      </w:r>
    </w:p>
    <w:p w:rsidR="009C7880" w:rsidRDefault="00166DC3">
      <w:pPr>
        <w:spacing w:before="60" w:after="100"/>
      </w:pPr>
      <w:r>
        <w:rPr>
          <w:color w:val="1A1A2E"/>
        </w:rPr>
        <w:t xml:space="preserve">Where you have given explicit consent, we may contact your GP or a treating specialist to obtain clinical information relevant to the assessment. Any such contact is made only with your documented consent, naming the specific clinician to be contacted and </w:t>
      </w:r>
      <w:r>
        <w:rPr>
          <w:color w:val="1A1A2E"/>
        </w:rPr>
        <w:t>the purpose of the request.</w:t>
      </w:r>
    </w:p>
    <w:p w:rsidR="009C7880" w:rsidRDefault="009C7880">
      <w:pPr>
        <w:spacing w:before="80"/>
      </w:pPr>
    </w:p>
    <w:p w:rsidR="009C7880" w:rsidRDefault="00166DC3">
      <w:pPr>
        <w:spacing w:before="280" w:after="100"/>
      </w:pPr>
      <w:r>
        <w:rPr>
          <w:b/>
          <w:bCs/>
          <w:color w:val="1B3A6B"/>
          <w:sz w:val="22"/>
          <w:szCs w:val="22"/>
        </w:rPr>
        <w:t>4.3  Interpretation and Communication Services</w:t>
      </w:r>
    </w:p>
    <w:p w:rsidR="009C7880" w:rsidRDefault="00166DC3">
      <w:pPr>
        <w:spacing w:before="60" w:after="100"/>
      </w:pPr>
      <w:r>
        <w:rPr>
          <w:color w:val="1A1A2E"/>
        </w:rPr>
        <w:t>Where an interpreter or BSL professional is required for your assessment, the minimum necessary information (your name, appointment time, and language requirement) is shared with t</w:t>
      </w:r>
      <w:r>
        <w:rPr>
          <w:color w:val="1A1A2E"/>
        </w:rPr>
        <w:t>he interpreter provider. All providers are required to operate under a confidentiality agreement compliant with UK GDPR before any information is shared.</w:t>
      </w:r>
    </w:p>
    <w:p w:rsidR="009C7880" w:rsidRDefault="009C7880">
      <w:pPr>
        <w:spacing w:before="80"/>
      </w:pPr>
    </w:p>
    <w:p w:rsidR="009C7880" w:rsidRDefault="00166DC3">
      <w:pPr>
        <w:spacing w:before="280" w:after="100"/>
      </w:pPr>
      <w:r>
        <w:rPr>
          <w:b/>
          <w:bCs/>
          <w:color w:val="1B3A6B"/>
          <w:sz w:val="22"/>
          <w:szCs w:val="22"/>
        </w:rPr>
        <w:t>4.4  Legal and Regulatory Authorities</w:t>
      </w:r>
    </w:p>
    <w:p w:rsidR="009C7880" w:rsidRDefault="00166DC3">
      <w:pPr>
        <w:spacing w:before="60" w:after="100"/>
      </w:pPr>
      <w:r>
        <w:rPr>
          <w:color w:val="1A1A2E"/>
        </w:rPr>
        <w:t>We may be required to disclose personal data to regulatory bodi</w:t>
      </w:r>
      <w:r>
        <w:rPr>
          <w:color w:val="1A1A2E"/>
        </w:rPr>
        <w:t>es, law enforcement, or courts where we are under a legal obligation to do so (for example, in response to a court order or ICO investigation). Where possible and legally permitted, we will inform you before making such a disclosure. All disclosures of thi</w:t>
      </w:r>
      <w:r>
        <w:rPr>
          <w:color w:val="1A1A2E"/>
        </w:rPr>
        <w:t>s kind are documented.</w:t>
      </w:r>
    </w:p>
    <w:p w:rsidR="009C7880" w:rsidRDefault="009C7880">
      <w:pPr>
        <w:spacing w:before="60"/>
      </w:pPr>
    </w:p>
    <w:p w:rsidR="009C7880" w:rsidRDefault="00166DC3">
      <w:pPr>
        <w:spacing w:before="60" w:after="100"/>
      </w:pPr>
      <w:r>
        <w:rPr>
          <w:color w:val="1A1A2E"/>
        </w:rPr>
        <w:t>In exceptional circumstances, where there is a serious and credible risk of harm to you or to another person, we may disclose information to relevant authorities without your consent, in accordance with GMC confidentiality guidance.</w:t>
      </w:r>
      <w:r>
        <w:rPr>
          <w:color w:val="1A1A2E"/>
        </w:rPr>
        <w:t xml:space="preserve"> Such disclosures are always documented with the grounds relied upon.</w:t>
      </w:r>
    </w:p>
    <w:p w:rsidR="009C7880" w:rsidRDefault="009C7880">
      <w:pPr>
        <w:spacing w:before="80"/>
      </w:pPr>
    </w:p>
    <w:p w:rsidR="009C7880" w:rsidRDefault="00166DC3">
      <w:pPr>
        <w:spacing w:before="280" w:after="100"/>
      </w:pPr>
      <w:r>
        <w:rPr>
          <w:b/>
          <w:bCs/>
          <w:color w:val="1B3A6B"/>
          <w:sz w:val="22"/>
          <w:szCs w:val="22"/>
        </w:rPr>
        <w:t>4.5  Service Providers (Data Processors)</w:t>
      </w:r>
    </w:p>
    <w:p w:rsidR="009C7880" w:rsidRDefault="00166DC3">
      <w:pPr>
        <w:spacing w:before="60" w:after="100"/>
      </w:pPr>
      <w:r>
        <w:rPr>
          <w:color w:val="1A1A2E"/>
        </w:rPr>
        <w:t>We use certain third-party platforms and services to support our operations. These providers act as data processors on our behalf and are only p</w:t>
      </w:r>
      <w:r>
        <w:rPr>
          <w:color w:val="1A1A2E"/>
        </w:rPr>
        <w:t>ermitted to process your data in accordance with our instructions and a signed Data Processing Agreement. Current processors include:</w:t>
      </w:r>
    </w:p>
    <w:p w:rsidR="009C7880" w:rsidRDefault="00166DC3">
      <w:pPr>
        <w:pStyle w:val="ListParagraph"/>
        <w:numPr>
          <w:ilvl w:val="0"/>
          <w:numId w:val="2"/>
        </w:numPr>
        <w:spacing w:before="40" w:after="40"/>
      </w:pPr>
      <w:r>
        <w:t>Zoho Books — invoicing and payment administration</w:t>
      </w:r>
    </w:p>
    <w:p w:rsidR="009C7880" w:rsidRDefault="00166DC3">
      <w:pPr>
        <w:pStyle w:val="ListParagraph"/>
        <w:numPr>
          <w:ilvl w:val="0"/>
          <w:numId w:val="2"/>
        </w:numPr>
        <w:spacing w:before="40" w:after="40"/>
      </w:pPr>
      <w:r>
        <w:t>Cloud storage and email platform providers — secure document storage and encrypted communication</w:t>
      </w:r>
    </w:p>
    <w:p w:rsidR="009C7880" w:rsidRDefault="00166DC3">
      <w:pPr>
        <w:spacing w:before="60" w:after="100"/>
      </w:pPr>
      <w:r>
        <w:rPr>
          <w:color w:val="1A1A2E"/>
        </w:rPr>
        <w:lastRenderedPageBreak/>
        <w:t>We do not transfer personal data to countries outside the UK or European Economic Area (EEA) without ensuring appropriate safeguards are in place.</w:t>
      </w:r>
    </w:p>
    <w:p w:rsidR="009C7880" w:rsidRDefault="009C7880">
      <w:pPr>
        <w:spacing w:before="80"/>
      </w:pPr>
    </w:p>
    <w:p w:rsidR="009C7880" w:rsidRDefault="00166DC3">
      <w:pPr>
        <w:spacing w:before="400" w:after="120"/>
      </w:pPr>
      <w:r>
        <w:rPr>
          <w:b/>
          <w:bCs/>
          <w:color w:val="1B3A6B"/>
          <w:sz w:val="28"/>
          <w:szCs w:val="28"/>
        </w:rPr>
        <w:t>5.  How Lon</w:t>
      </w:r>
      <w:r>
        <w:rPr>
          <w:b/>
          <w:bCs/>
          <w:color w:val="1B3A6B"/>
          <w:sz w:val="28"/>
          <w:szCs w:val="28"/>
        </w:rPr>
        <w:t>g We Keep Your Data</w:t>
      </w:r>
    </w:p>
    <w:p w:rsidR="009C7880" w:rsidRDefault="009C7880">
      <w:pPr>
        <w:pBdr>
          <w:bottom w:val="single" w:sz="6" w:space="1" w:color="1B3A6B"/>
        </w:pBdr>
        <w:spacing w:before="60" w:after="200"/>
      </w:pPr>
    </w:p>
    <w:p w:rsidR="009C7880" w:rsidRDefault="00166DC3">
      <w:pPr>
        <w:spacing w:before="60" w:after="100"/>
      </w:pPr>
      <w:r>
        <w:rPr>
          <w:color w:val="1A1A2E"/>
        </w:rPr>
        <w:t>We keep your data only for as long as is necessary for the purposes for which it was collected, or as required by law. Key periods are:</w:t>
      </w:r>
    </w:p>
    <w:p w:rsidR="009C7880" w:rsidRDefault="009C7880">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400"/>
        <w:gridCol w:w="2426"/>
        <w:gridCol w:w="3200"/>
      </w:tblGrid>
      <w:tr w:rsidR="009C7880">
        <w:tblPrEx>
          <w:tblCellMar>
            <w:top w:w="0" w:type="dxa"/>
            <w:bottom w:w="0" w:type="dxa"/>
          </w:tblCellMar>
        </w:tblPrEx>
        <w:tc>
          <w:tcPr>
            <w:tcW w:w="34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Data Type</w:t>
            </w:r>
          </w:p>
        </w:tc>
        <w:tc>
          <w:tcPr>
            <w:tcW w:w="24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Retention Period</w:t>
            </w:r>
          </w:p>
        </w:tc>
        <w:tc>
          <w:tcPr>
            <w:tcW w:w="32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Basis</w:t>
            </w:r>
          </w:p>
        </w:tc>
      </w:tr>
      <w:tr w:rsidR="009C7880">
        <w:tblPrEx>
          <w:tblCellMar>
            <w:top w:w="0" w:type="dxa"/>
            <w:bottom w:w="0" w:type="dxa"/>
          </w:tblCellMar>
        </w:tblPrEx>
        <w:tc>
          <w:tcPr>
            <w:tcW w:w="3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OH assessment records and reports</w:t>
            </w:r>
          </w:p>
        </w:tc>
        <w:tc>
          <w:tcPr>
            <w:tcW w:w="2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8 years from date of last contact</w:t>
            </w:r>
          </w:p>
        </w:tc>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NHS England Records Management Code of Practice 2023; GMC Good Medical Practice</w:t>
            </w:r>
          </w:p>
        </w:tc>
      </w:tr>
      <w:tr w:rsidR="009C7880">
        <w:tblPrEx>
          <w:tblCellMar>
            <w:top w:w="0" w:type="dxa"/>
            <w:bottom w:w="0" w:type="dxa"/>
          </w:tblCellMar>
        </w:tblPrEx>
        <w:tc>
          <w:tcPr>
            <w:tcW w:w="3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Consent documentation</w:t>
            </w:r>
          </w:p>
        </w:tc>
        <w:tc>
          <w:tcPr>
            <w:tcW w:w="2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8 years from date of assessment</w:t>
            </w:r>
          </w:p>
        </w:tc>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Retained with the associated clinical record</w:t>
            </w:r>
          </w:p>
        </w:tc>
      </w:tr>
      <w:tr w:rsidR="009C7880">
        <w:tblPrEx>
          <w:tblCellMar>
            <w:top w:w="0" w:type="dxa"/>
            <w:bottom w:w="0" w:type="dxa"/>
          </w:tblCellMar>
        </w:tblPrEx>
        <w:tc>
          <w:tcPr>
            <w:tcW w:w="3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Employer referral correspondence</w:t>
            </w:r>
          </w:p>
        </w:tc>
        <w:tc>
          <w:tcPr>
            <w:tcW w:w="2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8 years from case closure</w:t>
            </w:r>
          </w:p>
        </w:tc>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Limitation Act 1980; UK GDPR Article 5(1)(e)</w:t>
            </w:r>
          </w:p>
        </w:tc>
      </w:tr>
      <w:tr w:rsidR="009C7880">
        <w:tblPrEx>
          <w:tblCellMar>
            <w:top w:w="0" w:type="dxa"/>
            <w:bottom w:w="0" w:type="dxa"/>
          </w:tblCellMar>
        </w:tblPrEx>
        <w:tc>
          <w:tcPr>
            <w:tcW w:w="3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Complaint records</w:t>
            </w:r>
          </w:p>
        </w:tc>
        <w:tc>
          <w:tcPr>
            <w:tcW w:w="2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8 years from complaint closure</w:t>
            </w:r>
          </w:p>
        </w:tc>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NHS England Records Management Code of Practice 2023</w:t>
            </w:r>
          </w:p>
        </w:tc>
      </w:tr>
      <w:tr w:rsidR="009C7880">
        <w:tblPrEx>
          <w:tblCellMar>
            <w:top w:w="0" w:type="dxa"/>
            <w:bottom w:w="0" w:type="dxa"/>
          </w:tblCellMar>
        </w:tblPrEx>
        <w:tc>
          <w:tcPr>
            <w:tcW w:w="3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Financial and invoicing records</w:t>
            </w:r>
          </w:p>
        </w:tc>
        <w:tc>
          <w:tcPr>
            <w:tcW w:w="2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6 years from end of tax year</w:t>
            </w:r>
          </w:p>
        </w:tc>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HMRC requirements</w:t>
            </w:r>
          </w:p>
        </w:tc>
      </w:tr>
      <w:tr w:rsidR="009C7880">
        <w:tblPrEx>
          <w:tblCellMar>
            <w:top w:w="0" w:type="dxa"/>
            <w:bottom w:w="0" w:type="dxa"/>
          </w:tblCellMar>
        </w:tblPrEx>
        <w:tc>
          <w:tcPr>
            <w:tcW w:w="3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Website analytics data (cookie-based)</w:t>
            </w:r>
          </w:p>
        </w:tc>
        <w:tc>
          <w:tcPr>
            <w:tcW w:w="2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Up to 14 months</w:t>
            </w:r>
          </w:p>
        </w:tc>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Google Analytics default; subject to your cookie consent</w:t>
            </w:r>
          </w:p>
        </w:tc>
      </w:tr>
    </w:tbl>
    <w:p w:rsidR="009C7880" w:rsidRDefault="009C7880">
      <w:pPr>
        <w:spacing w:before="60"/>
      </w:pPr>
    </w:p>
    <w:p w:rsidR="009C7880" w:rsidRDefault="00166DC3">
      <w:pPr>
        <w:spacing w:before="60" w:after="100"/>
      </w:pPr>
      <w:r>
        <w:rPr>
          <w:color w:val="1A1A2E"/>
        </w:rPr>
        <w:t>For a full breakdown of all record types and retention periods, see our Medical Records Retention Policy. At the end of the applicable retentio</w:t>
      </w:r>
      <w:r>
        <w:rPr>
          <w:color w:val="1A1A2E"/>
        </w:rPr>
        <w:t>n period, your data is securely deleted or destroyed.</w:t>
      </w:r>
    </w:p>
    <w:p w:rsidR="009C7880" w:rsidRDefault="009C7880">
      <w:pPr>
        <w:spacing w:before="80"/>
      </w:pPr>
    </w:p>
    <w:p w:rsidR="009C7880" w:rsidRDefault="00166DC3">
      <w:pPr>
        <w:spacing w:before="400" w:after="120"/>
      </w:pPr>
      <w:r>
        <w:rPr>
          <w:b/>
          <w:bCs/>
          <w:color w:val="1B3A6B"/>
          <w:sz w:val="28"/>
          <w:szCs w:val="28"/>
        </w:rPr>
        <w:t>6.  Your Rights</w:t>
      </w:r>
    </w:p>
    <w:p w:rsidR="009C7880" w:rsidRDefault="009C7880">
      <w:pPr>
        <w:pBdr>
          <w:bottom w:val="single" w:sz="6" w:space="1" w:color="1B3A6B"/>
        </w:pBdr>
        <w:spacing w:before="60" w:after="200"/>
      </w:pPr>
    </w:p>
    <w:p w:rsidR="009C7880" w:rsidRDefault="00166DC3">
      <w:pPr>
        <w:spacing w:before="60" w:after="100"/>
      </w:pPr>
      <w:r>
        <w:rPr>
          <w:color w:val="1A1A2E"/>
        </w:rPr>
        <w:t>Under UK GDPR, you have the following rights in relation to your personal data. These rights apply to individuals — if you are an employer reading this policy, some rights apply specifically to you as an organisation and others apply to your employees as i</w:t>
      </w:r>
      <w:r>
        <w:rPr>
          <w:color w:val="1A1A2E"/>
        </w:rPr>
        <w:t>ndividuals.</w:t>
      </w:r>
    </w:p>
    <w:p w:rsidR="009C7880" w:rsidRDefault="009C7880">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645"/>
        <w:gridCol w:w="3576"/>
        <w:gridCol w:w="2805"/>
      </w:tblGrid>
      <w:tr w:rsidR="009C7880">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Right</w:t>
            </w:r>
          </w:p>
        </w:tc>
        <w:tc>
          <w:tcPr>
            <w:tcW w:w="38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What It Means</w:t>
            </w:r>
          </w:p>
        </w:tc>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How to Exercise It</w:t>
            </w:r>
          </w:p>
        </w:tc>
      </w:tr>
      <w:tr w:rsidR="009C7880">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Right of Access</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You can request a copy of the personal data we hold about you (a Subject Access Request). No fee is charged for most requests.</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Email contact@healthbridge.org.uk. We will respond within 30 calendar days.</w:t>
            </w:r>
          </w:p>
        </w:tc>
      </w:tr>
      <w:tr w:rsidR="009C7880">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Right to Rectification</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If any of your personal data is inaccurate or incomplete, you can ask us to correct it. Where you dispute the clinical content of an OH report, our Complain</w:t>
            </w:r>
            <w:r>
              <w:rPr>
                <w:sz w:val="19"/>
                <w:szCs w:val="19"/>
              </w:rPr>
              <w:t>ts Policy process applies.</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Email contact@healthbridge.org.uk. We will respond within 14 calendar days.</w:t>
            </w:r>
          </w:p>
        </w:tc>
      </w:tr>
      <w:tr w:rsidR="009C7880">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lastRenderedPageBreak/>
              <w:t>Right to Erasure</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You can ask us to delete your personal data. This right is not absolute — we may need to retain records to comply with legal obligation</w:t>
            </w:r>
            <w:r>
              <w:rPr>
                <w:sz w:val="19"/>
                <w:szCs w:val="19"/>
              </w:rPr>
              <w:t>s (e.g., clinical record retention requirements).</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Email contact@healthbridge.org.uk. We will respond within 30 calendar days.</w:t>
            </w:r>
          </w:p>
        </w:tc>
      </w:tr>
      <w:tr w:rsidR="009C7880">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Right to Restrict Processing</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You can ask us to pause the processing of your personal data in certain circumstances, for example i</w:t>
            </w:r>
            <w:r>
              <w:rPr>
                <w:sz w:val="19"/>
                <w:szCs w:val="19"/>
              </w:rPr>
              <w:t>f you contest its accuracy or object to its processing.</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Email contact@healthbridge.org.uk.</w:t>
            </w:r>
          </w:p>
        </w:tc>
      </w:tr>
      <w:tr w:rsidR="009C7880">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Right to Portability</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Where we process your data on the basis of consent or contract, and the processing is automated, you can request your data in a structured, commonly used, machine-readable format.</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Email contact@healthbridge.org.uk.</w:t>
            </w:r>
          </w:p>
        </w:tc>
      </w:tr>
      <w:tr w:rsidR="009C7880">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Right to Object</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You can object to proces</w:t>
            </w:r>
            <w:r>
              <w:rPr>
                <w:sz w:val="19"/>
                <w:szCs w:val="19"/>
              </w:rPr>
              <w:t>sing based on legitimate interests. We will cease processing unless we can demonstrate compelling legitimate grounds that override your interests.</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Email contact@healthbridge.org.uk.</w:t>
            </w:r>
          </w:p>
        </w:tc>
      </w:tr>
      <w:tr w:rsidR="009C7880">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Right to Withdraw Consent</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Where processing is based on your consent (e.g.</w:t>
            </w:r>
            <w:r>
              <w:rPr>
                <w:sz w:val="19"/>
                <w:szCs w:val="19"/>
              </w:rPr>
              <w:t>, cookie consent, clinical consent to share your report), you may withdraw that consent at any time. Withdrawal does not affect the lawfulness of processing already completed.</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Email contact@healthbridge.org.uk or use the Cookie Settings link on our website</w:t>
            </w:r>
            <w:r>
              <w:rPr>
                <w:sz w:val="19"/>
                <w:szCs w:val="19"/>
              </w:rPr>
              <w:t>.</w:t>
            </w:r>
          </w:p>
        </w:tc>
      </w:tr>
      <w:tr w:rsidR="009C7880">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Right to Complain</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If you believe we have not handled your personal data correctly, you have the right to complain to the Information Commissioner'</w:t>
            </w:r>
            <w:r>
              <w:rPr>
                <w:sz w:val="19"/>
                <w:szCs w:val="19"/>
              </w:rPr>
              <w:t>s Office (ICO). We would ask that you raise any concerns with us first so we have the opportunity to resolve them.</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ICO: www.ico.org.uk / 0303 123 1113</w:t>
            </w:r>
          </w:p>
        </w:tc>
      </w:tr>
    </w:tbl>
    <w:p w:rsidR="009C7880" w:rsidRDefault="009C7880">
      <w:pPr>
        <w:spacing w:before="80"/>
      </w:pPr>
    </w:p>
    <w:p w:rsidR="009C7880" w:rsidRDefault="00166DC3">
      <w:pPr>
        <w:spacing w:before="400" w:after="120"/>
      </w:pPr>
      <w:r>
        <w:rPr>
          <w:b/>
          <w:bCs/>
          <w:color w:val="1B3A6B"/>
          <w:sz w:val="28"/>
          <w:szCs w:val="28"/>
        </w:rPr>
        <w:t>7.  How We Protect Your Data</w:t>
      </w:r>
    </w:p>
    <w:p w:rsidR="009C7880" w:rsidRDefault="009C7880">
      <w:pPr>
        <w:pBdr>
          <w:bottom w:val="single" w:sz="6" w:space="1" w:color="1B3A6B"/>
        </w:pBdr>
        <w:spacing w:before="60" w:after="200"/>
      </w:pPr>
    </w:p>
    <w:p w:rsidR="009C7880" w:rsidRDefault="00166DC3">
      <w:pPr>
        <w:spacing w:before="60" w:after="100"/>
      </w:pPr>
      <w:r>
        <w:rPr>
          <w:color w:val="1A1A2E"/>
        </w:rPr>
        <w:t>We take the security of your personal data seriously and apply the follow</w:t>
      </w:r>
      <w:r>
        <w:rPr>
          <w:color w:val="1A1A2E"/>
        </w:rPr>
        <w:t>ing measures:</w:t>
      </w:r>
    </w:p>
    <w:p w:rsidR="009C7880" w:rsidRDefault="00166DC3">
      <w:pPr>
        <w:pStyle w:val="ListParagraph"/>
        <w:numPr>
          <w:ilvl w:val="0"/>
          <w:numId w:val="2"/>
        </w:numPr>
        <w:spacing w:before="40" w:after="40"/>
      </w:pPr>
      <w:r>
        <w:t>All digital records are encrypted at rest (AES-256) and in transit (TLS 1.2 or higher)</w:t>
      </w:r>
    </w:p>
    <w:p w:rsidR="009C7880" w:rsidRDefault="00166DC3">
      <w:pPr>
        <w:pStyle w:val="ListParagraph"/>
        <w:numPr>
          <w:ilvl w:val="0"/>
          <w:numId w:val="2"/>
        </w:numPr>
        <w:spacing w:before="40" w:after="40"/>
      </w:pPr>
      <w:r>
        <w:t>All devices used for clinical work are password-protected and have full-disk encryption enabled</w:t>
      </w:r>
    </w:p>
    <w:p w:rsidR="009C7880" w:rsidRDefault="00166DC3">
      <w:pPr>
        <w:pStyle w:val="ListParagraph"/>
        <w:numPr>
          <w:ilvl w:val="0"/>
          <w:numId w:val="2"/>
        </w:numPr>
        <w:spacing w:before="40" w:after="40"/>
      </w:pPr>
      <w:r>
        <w:t>Multi-factor authentication (MFA) is applied to all accounts and platforms holding personal data</w:t>
      </w:r>
    </w:p>
    <w:p w:rsidR="009C7880" w:rsidRDefault="00166DC3">
      <w:pPr>
        <w:pStyle w:val="ListParagraph"/>
        <w:numPr>
          <w:ilvl w:val="0"/>
          <w:numId w:val="2"/>
        </w:numPr>
        <w:spacing w:before="40" w:after="40"/>
      </w:pPr>
      <w:r>
        <w:t>Encrypted email is used for all communications containing personal or clinical information — standard unencrypted email is not used for clinical content</w:t>
      </w:r>
    </w:p>
    <w:p w:rsidR="009C7880" w:rsidRDefault="00166DC3">
      <w:pPr>
        <w:pStyle w:val="ListParagraph"/>
        <w:numPr>
          <w:ilvl w:val="0"/>
          <w:numId w:val="2"/>
        </w:numPr>
        <w:spacing w:before="40" w:after="40"/>
      </w:pPr>
      <w:r>
        <w:t>Access</w:t>
      </w:r>
      <w:r>
        <w:t xml:space="preserve"> to clinical records is restricted to the Clinical Lead. Any contracted third party with data access must operate under a signed Data Processing Agreement</w:t>
      </w:r>
    </w:p>
    <w:p w:rsidR="009C7880" w:rsidRDefault="00166DC3">
      <w:pPr>
        <w:pStyle w:val="ListParagraph"/>
        <w:numPr>
          <w:ilvl w:val="0"/>
          <w:numId w:val="2"/>
        </w:numPr>
        <w:spacing w:before="40" w:after="40"/>
      </w:pPr>
      <w:r>
        <w:t>Annual UK GDPR and information security training is completed and evidenced in the Clinical Lead's CP</w:t>
      </w:r>
      <w:r>
        <w:t>D record</w:t>
      </w:r>
    </w:p>
    <w:p w:rsidR="009C7880" w:rsidRDefault="009C7880">
      <w:pPr>
        <w:spacing w:before="60"/>
      </w:pPr>
    </w:p>
    <w:p w:rsidR="009C7880" w:rsidRDefault="00166DC3">
      <w:pPr>
        <w:spacing w:before="60" w:after="100"/>
      </w:pPr>
      <w:r>
        <w:rPr>
          <w:color w:val="1A1A2E"/>
        </w:rPr>
        <w:t>If we become aware of a data breach that is likely to result in a risk to your rights and freedoms, we will notify the ICO within 72 hours and, where required, inform you directly without undue delay.</w:t>
      </w:r>
    </w:p>
    <w:p w:rsidR="009C7880" w:rsidRDefault="009C7880">
      <w:pPr>
        <w:spacing w:before="80"/>
      </w:pPr>
    </w:p>
    <w:p w:rsidR="009C7880" w:rsidRDefault="00166DC3">
      <w:pPr>
        <w:spacing w:before="400" w:after="120"/>
      </w:pPr>
      <w:r>
        <w:rPr>
          <w:b/>
          <w:bCs/>
          <w:color w:val="1B3A6B"/>
          <w:sz w:val="28"/>
          <w:szCs w:val="28"/>
        </w:rPr>
        <w:lastRenderedPageBreak/>
        <w:t>8.  International Data Transfers</w:t>
      </w:r>
    </w:p>
    <w:p w:rsidR="009C7880" w:rsidRDefault="009C7880">
      <w:pPr>
        <w:pBdr>
          <w:bottom w:val="single" w:sz="6" w:space="1" w:color="1B3A6B"/>
        </w:pBdr>
        <w:spacing w:before="60" w:after="200"/>
      </w:pPr>
    </w:p>
    <w:p w:rsidR="009C7880" w:rsidRDefault="00166DC3">
      <w:pPr>
        <w:spacing w:before="60" w:after="100"/>
      </w:pPr>
      <w:r>
        <w:rPr>
          <w:color w:val="1A1A2E"/>
        </w:rPr>
        <w:t>We store a</w:t>
      </w:r>
      <w:r>
        <w:rPr>
          <w:color w:val="1A1A2E"/>
        </w:rPr>
        <w:t>nd process personal data within the UK and, where cloud services are used, within the European Economic Area (EEA) where possible. We do not intentionally transfer personal data to countries outside the UK or EEA without ensuring that appropriate safeguard</w:t>
      </w:r>
      <w:r>
        <w:rPr>
          <w:color w:val="1A1A2E"/>
        </w:rPr>
        <w:t>s are in place (for example, UK adequacy regulations or standard contractual clauses). If you have questions about a specific transfer, please contact us.</w:t>
      </w:r>
    </w:p>
    <w:p w:rsidR="009C7880" w:rsidRDefault="009C7880">
      <w:pPr>
        <w:spacing w:before="80"/>
      </w:pPr>
    </w:p>
    <w:p w:rsidR="009C7880" w:rsidRDefault="00166DC3">
      <w:pPr>
        <w:spacing w:before="400" w:after="120"/>
      </w:pPr>
      <w:r>
        <w:rPr>
          <w:b/>
          <w:bCs/>
          <w:color w:val="1B3A6B"/>
          <w:sz w:val="28"/>
          <w:szCs w:val="28"/>
        </w:rPr>
        <w:t>9.  Automated Decision-Making</w:t>
      </w:r>
    </w:p>
    <w:p w:rsidR="009C7880" w:rsidRDefault="009C7880">
      <w:pPr>
        <w:pBdr>
          <w:bottom w:val="single" w:sz="6" w:space="1" w:color="1B3A6B"/>
        </w:pBdr>
        <w:spacing w:before="60" w:after="200"/>
      </w:pPr>
    </w:p>
    <w:p w:rsidR="009C7880" w:rsidRDefault="00166DC3">
      <w:pPr>
        <w:spacing w:before="60" w:after="100"/>
      </w:pPr>
      <w:r>
        <w:rPr>
          <w:color w:val="1A1A2E"/>
        </w:rPr>
        <w:t>We do not use automated decision-making or profiling in our occupatio</w:t>
      </w:r>
      <w:r>
        <w:rPr>
          <w:color w:val="1A1A2E"/>
        </w:rPr>
        <w:t>nal health assessments. All OH reports and clinical opinions are prepared personally by the Clinical Lead on the basis of the individual assessment.</w:t>
      </w:r>
    </w:p>
    <w:p w:rsidR="009C7880" w:rsidRDefault="009C7880">
      <w:pPr>
        <w:spacing w:before="80"/>
      </w:pPr>
    </w:p>
    <w:p w:rsidR="009C7880" w:rsidRDefault="00166DC3">
      <w:pPr>
        <w:spacing w:before="400" w:after="120"/>
      </w:pPr>
      <w:r>
        <w:rPr>
          <w:b/>
          <w:bCs/>
          <w:color w:val="1B3A6B"/>
          <w:sz w:val="28"/>
          <w:szCs w:val="28"/>
        </w:rPr>
        <w:t>10.  Changes to This Policy</w:t>
      </w:r>
    </w:p>
    <w:p w:rsidR="009C7880" w:rsidRDefault="009C7880">
      <w:pPr>
        <w:pBdr>
          <w:bottom w:val="single" w:sz="6" w:space="1" w:color="1B3A6B"/>
        </w:pBdr>
        <w:spacing w:before="60" w:after="200"/>
      </w:pPr>
    </w:p>
    <w:p w:rsidR="009C7880" w:rsidRDefault="00166DC3">
      <w:pPr>
        <w:spacing w:before="60" w:after="100"/>
      </w:pPr>
      <w:r>
        <w:rPr>
          <w:color w:val="1A1A2E"/>
        </w:rPr>
        <w:t>We review this Privacy Policy at least annually and update it whenever our pr</w:t>
      </w:r>
      <w:r>
        <w:rPr>
          <w:color w:val="1A1A2E"/>
        </w:rPr>
        <w:t>actices change or when required by new legislation or ICO guidance. The current version and effective date are shown at the top of this document. We will notify you of any material change via our website.</w:t>
      </w:r>
    </w:p>
    <w:p w:rsidR="009C7880" w:rsidRDefault="009C7880">
      <w:pPr>
        <w:spacing w:before="80"/>
      </w:pPr>
    </w:p>
    <w:p w:rsidR="009C7880" w:rsidRDefault="00166DC3">
      <w:pPr>
        <w:spacing w:before="400" w:after="120"/>
      </w:pPr>
      <w:r>
        <w:rPr>
          <w:b/>
          <w:bCs/>
          <w:color w:val="1B3A6B"/>
          <w:sz w:val="28"/>
          <w:szCs w:val="28"/>
        </w:rPr>
        <w:t>11.  Contact Us</w:t>
      </w:r>
    </w:p>
    <w:p w:rsidR="009C7880" w:rsidRDefault="009C7880">
      <w:pPr>
        <w:pBdr>
          <w:bottom w:val="single" w:sz="6" w:space="1" w:color="1B3A6B"/>
        </w:pBdr>
        <w:spacing w:before="60" w:after="200"/>
      </w:pPr>
    </w:p>
    <w:p w:rsidR="009C7880" w:rsidRDefault="00166DC3">
      <w:pPr>
        <w:spacing w:before="60" w:after="100"/>
      </w:pPr>
      <w:r>
        <w:rPr>
          <w:color w:val="1A1A2E"/>
        </w:rPr>
        <w:t>For any questions about this Priv</w:t>
      </w:r>
      <w:r>
        <w:rPr>
          <w:color w:val="1A1A2E"/>
        </w:rPr>
        <w:t>acy Policy, to exercise your data rights, or to raise a data protection concern:</w:t>
      </w:r>
    </w:p>
    <w:p w:rsidR="009C7880" w:rsidRDefault="009C7880">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600"/>
        <w:gridCol w:w="6426"/>
      </w:tblGrid>
      <w:tr w:rsidR="009C7880">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Method</w:t>
            </w:r>
          </w:p>
        </w:tc>
        <w:tc>
          <w:tcPr>
            <w:tcW w:w="64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Details</w:t>
            </w:r>
          </w:p>
        </w:tc>
      </w:tr>
      <w:tr w:rsidR="009C7880">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Email</w:t>
            </w:r>
          </w:p>
        </w:tc>
        <w:tc>
          <w:tcPr>
            <w:tcW w:w="6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contact@healthbridge.org.uk</w:t>
            </w:r>
          </w:p>
        </w:tc>
      </w:tr>
      <w:tr w:rsidR="009C7880">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Post</w:t>
            </w:r>
          </w:p>
        </w:tc>
        <w:tc>
          <w:tcPr>
            <w:tcW w:w="6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Dr. James Stanley, HealthBridge Occupational Health Ltd, 50 Hadow Way, Gloucester, GL2 4YJ</w:t>
            </w:r>
          </w:p>
        </w:tc>
      </w:tr>
      <w:tr w:rsidR="009C7880">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b/>
                <w:bCs/>
                <w:sz w:val="19"/>
                <w:szCs w:val="19"/>
              </w:rPr>
              <w:t>ICO (unresolved concerns)</w:t>
            </w:r>
          </w:p>
        </w:tc>
        <w:tc>
          <w:tcPr>
            <w:tcW w:w="6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Information Commissioner's Office — www.ico.org.uk  |  0303 123 1113</w:t>
            </w:r>
          </w:p>
        </w:tc>
      </w:tr>
    </w:tbl>
    <w:p w:rsidR="009C7880" w:rsidRDefault="009C7880">
      <w:pPr>
        <w:spacing w:before="120"/>
      </w:pPr>
    </w:p>
    <w:p w:rsidR="009C7880" w:rsidRDefault="00166DC3">
      <w:pPr>
        <w:spacing w:before="400" w:after="120"/>
      </w:pPr>
      <w:r>
        <w:rPr>
          <w:b/>
          <w:bCs/>
          <w:color w:val="1B3A6B"/>
          <w:sz w:val="28"/>
          <w:szCs w:val="28"/>
        </w:rPr>
        <w:t>12.  Version Control</w:t>
      </w:r>
    </w:p>
    <w:p w:rsidR="009C7880" w:rsidRDefault="009C7880">
      <w:pPr>
        <w:pBdr>
          <w:bottom w:val="single" w:sz="6" w:space="1" w:color="1B3A6B"/>
        </w:pBdr>
        <w:spacing w:before="60" w:after="200"/>
      </w:pPr>
    </w:p>
    <w:p w:rsidR="009C7880" w:rsidRDefault="009C7880">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9C7880">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Date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C7880" w:rsidRDefault="00166DC3">
            <w:r>
              <w:rPr>
                <w:b/>
                <w:bCs/>
                <w:color w:val="FFFFFF"/>
                <w:sz w:val="19"/>
                <w:szCs w:val="19"/>
              </w:rPr>
              <w:t>Approved By</w:t>
            </w:r>
          </w:p>
        </w:tc>
      </w:tr>
      <w:tr w:rsidR="009C7880">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30/07/2025</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Initial policy draft.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Dr. James Stanley</w:t>
            </w:r>
          </w:p>
        </w:tc>
      </w:tr>
      <w:tr w:rsidR="009C7880">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2.0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 xml:space="preserve">Comprehensive review: corrected </w:t>
            </w:r>
            <w:r>
              <w:rPr>
                <w:sz w:val="19"/>
                <w:szCs w:val="19"/>
              </w:rPr>
              <w:lastRenderedPageBreak/>
              <w:t xml:space="preserve">address (Quedgeley removed for consistency); DPO label replaced with Data Protection Contact (no separate DPO); SAR portal reference removed; 40-year OH retention corrected to 8 years (NHS England Records Management Code of </w:t>
            </w:r>
            <w:r>
              <w:rPr>
                <w:sz w:val="19"/>
                <w:szCs w:val="19"/>
              </w:rPr>
              <w:t>Practice 2023 — 40 years applies only to health surveillance for hazardous exposures, not HealthBridge's scope); FOM deletion exemption removed; GP records note removed and replaced with accurate description; lawful basis table expanded to full UK GDPR Art</w:t>
            </w:r>
            <w:r>
              <w:rPr>
                <w:sz w:val="19"/>
                <w:szCs w:val="19"/>
              </w:rPr>
              <w:t>icle 9(2)(h) + DPA 2018 Schedule 1 citation; important notice box added clarifying GDPR lawful basis vs clinical consent distinction; data sharing section expanded with employer, GP, interpreter, legal, and processor categories; full seven-rights table add</w:t>
            </w:r>
            <w:r>
              <w:rPr>
                <w:sz w:val="19"/>
                <w:szCs w:val="19"/>
              </w:rPr>
              <w:t>ed; penetration testing removed; staff training corrected to sole-practitioner CPD; automated decision-making section added; international transfers section added.</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lastRenderedPageBreak/>
              <w:t>Dr. James Stanley</w:t>
            </w:r>
          </w:p>
        </w:tc>
      </w:tr>
      <w:tr w:rsidR="009C7880">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lastRenderedPageBreak/>
              <w:t>2.1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166DC3">
            <w:r>
              <w:rPr>
                <w:sz w:val="19"/>
                <w:szCs w:val="19"/>
              </w:rPr>
              <w:t>[DD/MM/YYYY]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9C7880"/>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C7880" w:rsidRDefault="009C7880"/>
        </w:tc>
      </w:tr>
    </w:tbl>
    <w:p w:rsidR="009C7880" w:rsidRDefault="009C7880">
      <w:pPr>
        <w:spacing w:before="160"/>
      </w:pPr>
    </w:p>
    <w:p w:rsidR="009C7880" w:rsidRDefault="00166DC3">
      <w:pPr>
        <w:spacing w:before="60" w:after="100"/>
      </w:pPr>
      <w:r>
        <w:rPr>
          <w:b/>
          <w:bCs/>
          <w:color w:val="1A1A2E"/>
        </w:rPr>
        <w:t>Approved by: Dr. James Stanley, Clinical Lead</w:t>
      </w:r>
    </w:p>
    <w:p w:rsidR="009C7880" w:rsidRDefault="00166DC3">
      <w:pPr>
        <w:spacing w:before="60" w:after="100"/>
      </w:pPr>
      <w:r>
        <w:rPr>
          <w:color w:val="1A1A2E"/>
        </w:rPr>
        <w:t>GMC Registration No: 7285162  |  ICO Registration: ZB952216</w:t>
      </w:r>
    </w:p>
    <w:p w:rsidR="009C7880" w:rsidRDefault="00166DC3">
      <w:pPr>
        <w:spacing w:before="60" w:after="100"/>
      </w:pPr>
      <w:r>
        <w:rPr>
          <w:color w:val="1A1A2E"/>
        </w:rPr>
        <w:t>Contact: contact@healthbridge.org.uk</w:t>
      </w:r>
    </w:p>
    <w:p w:rsidR="009C7880" w:rsidRDefault="009C7880">
      <w:pPr>
        <w:spacing w:before="60"/>
      </w:pPr>
    </w:p>
    <w:p w:rsidR="009C7880" w:rsidRDefault="00166DC3">
      <w:pPr>
        <w:spacing w:before="60" w:after="100"/>
      </w:pPr>
      <w:r>
        <w:rPr>
          <w:i/>
          <w:iCs/>
          <w:color w:val="6B7280"/>
        </w:rPr>
        <w:t>HealthBridge Occupational Health Ltd  |  Company No: 16615396</w:t>
      </w:r>
    </w:p>
    <w:p w:rsidR="009C7880" w:rsidRDefault="00166DC3">
      <w:pPr>
        <w:spacing w:before="60" w:after="100"/>
      </w:pPr>
      <w:r>
        <w:rPr>
          <w:i/>
          <w:iCs/>
          <w:color w:val="6B7280"/>
        </w:rPr>
        <w:t>Registered Address: 50 Hadow Way, Gloucester, GL2 4YJ</w:t>
      </w:r>
    </w:p>
    <w:p w:rsidR="009C7880" w:rsidRDefault="00166DC3">
      <w:pPr>
        <w:spacing w:before="60" w:after="100"/>
      </w:pPr>
      <w:r>
        <w:rPr>
          <w:i/>
          <w:iCs/>
          <w:color w:val="6B7280"/>
        </w:rPr>
        <w:t>© HealthBridge Occupational Health Ltd. Un</w:t>
      </w:r>
      <w:r>
        <w:rPr>
          <w:i/>
          <w:iCs/>
          <w:color w:val="6B7280"/>
        </w:rPr>
        <w:t>authorised distribution prohibited.</w:t>
      </w:r>
    </w:p>
    <w:sectPr w:rsidR="009C7880" w:rsidSect="009C7880">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DC3" w:rsidRDefault="00166DC3" w:rsidP="009C7880">
      <w:r>
        <w:separator/>
      </w:r>
    </w:p>
  </w:endnote>
  <w:endnote w:type="continuationSeparator" w:id="0">
    <w:p w:rsidR="00166DC3" w:rsidRDefault="00166DC3" w:rsidP="009C788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880" w:rsidRDefault="00166DC3">
    <w:pPr>
      <w:pBdr>
        <w:top w:val="single" w:sz="4" w:space="2" w:color="1B3A6B"/>
      </w:pBdr>
      <w:tabs>
        <w:tab w:val="right" w:pos="9026"/>
      </w:tabs>
      <w:spacing w:before="120"/>
    </w:pPr>
    <w:r>
      <w:rPr>
        <w:color w:val="6B7280"/>
        <w:sz w:val="16"/>
        <w:szCs w:val="16"/>
      </w:rPr>
      <w:t xml:space="preserve">HealthBridge Occupational Health Ltd  |  Co. </w:t>
    </w:r>
    <w:r>
      <w:rPr>
        <w:color w:val="6B7280"/>
        <w:sz w:val="16"/>
        <w:szCs w:val="16"/>
      </w:rPr>
      <w:t>No: 16615396  |  50 Hadow Way, Gloucester, GL2 4YJ</w:t>
    </w:r>
    <w:r>
      <w:rPr>
        <w:color w:val="6B7280"/>
        <w:sz w:val="16"/>
        <w:szCs w:val="16"/>
      </w:rPr>
      <w:tab/>
      <w:t xml:space="preserve">Page </w:t>
    </w:r>
    <w:r w:rsidR="009C7880">
      <w:rPr>
        <w:color w:val="6B7280"/>
        <w:sz w:val="16"/>
        <w:szCs w:val="16"/>
      </w:rPr>
      <w:fldChar w:fldCharType="begin"/>
    </w:r>
    <w:r>
      <w:rPr>
        <w:color w:val="6B7280"/>
        <w:sz w:val="16"/>
        <w:szCs w:val="16"/>
      </w:rPr>
      <w:instrText>PAGE</w:instrText>
    </w:r>
    <w:r w:rsidR="009C063C">
      <w:rPr>
        <w:color w:val="6B7280"/>
        <w:sz w:val="16"/>
        <w:szCs w:val="16"/>
      </w:rPr>
      <w:fldChar w:fldCharType="separate"/>
    </w:r>
    <w:r w:rsidR="009C063C">
      <w:rPr>
        <w:noProof/>
        <w:color w:val="6B7280"/>
        <w:sz w:val="16"/>
        <w:szCs w:val="16"/>
      </w:rPr>
      <w:t>2</w:t>
    </w:r>
    <w:r w:rsidR="009C7880">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DC3" w:rsidRDefault="00166DC3" w:rsidP="009C7880">
      <w:r>
        <w:separator/>
      </w:r>
    </w:p>
  </w:footnote>
  <w:footnote w:type="continuationSeparator" w:id="0">
    <w:p w:rsidR="00166DC3" w:rsidRDefault="00166DC3" w:rsidP="009C78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880" w:rsidRDefault="00166DC3">
    <w:pPr>
      <w:tabs>
        <w:tab w:val="right" w:pos="9026"/>
      </w:tabs>
      <w:spacing w:after="100"/>
    </w:pPr>
    <w:r>
      <w:rPr>
        <w:color w:val="6B7280"/>
        <w:sz w:val="16"/>
        <w:szCs w:val="16"/>
      </w:rPr>
      <w:t>Version 2.0  |  Effective: 13/06/2026  |  Owner: Dr. James Stanley  |  GMC: 7285162</w:t>
    </w:r>
    <w:r>
      <w:rPr>
        <w:color w:val="6B7280"/>
        <w:sz w:val="16"/>
        <w:szCs w:val="16"/>
      </w:rPr>
      <w:tab/>
      <w:t>Next Review: 13/06/2027</w:t>
    </w:r>
  </w:p>
  <w:p w:rsidR="009C7880" w:rsidRDefault="009C7880">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9750E"/>
    <w:multiLevelType w:val="hybridMultilevel"/>
    <w:tmpl w:val="67547D94"/>
    <w:lvl w:ilvl="0" w:tplc="07D86C22">
      <w:start w:val="1"/>
      <w:numFmt w:val="bullet"/>
      <w:lvlText w:val="●"/>
      <w:lvlJc w:val="left"/>
      <w:pPr>
        <w:ind w:left="720" w:hanging="360"/>
      </w:pPr>
    </w:lvl>
    <w:lvl w:ilvl="1" w:tplc="D564DA3A">
      <w:start w:val="1"/>
      <w:numFmt w:val="bullet"/>
      <w:lvlText w:val="○"/>
      <w:lvlJc w:val="left"/>
      <w:pPr>
        <w:ind w:left="1440" w:hanging="360"/>
      </w:pPr>
    </w:lvl>
    <w:lvl w:ilvl="2" w:tplc="979A88B6">
      <w:start w:val="1"/>
      <w:numFmt w:val="bullet"/>
      <w:lvlText w:val="■"/>
      <w:lvlJc w:val="left"/>
      <w:pPr>
        <w:ind w:left="2160" w:hanging="360"/>
      </w:pPr>
    </w:lvl>
    <w:lvl w:ilvl="3" w:tplc="1B0293A6">
      <w:start w:val="1"/>
      <w:numFmt w:val="bullet"/>
      <w:lvlText w:val="●"/>
      <w:lvlJc w:val="left"/>
      <w:pPr>
        <w:ind w:left="2880" w:hanging="360"/>
      </w:pPr>
    </w:lvl>
    <w:lvl w:ilvl="4" w:tplc="E51E5A8C">
      <w:start w:val="1"/>
      <w:numFmt w:val="bullet"/>
      <w:lvlText w:val="○"/>
      <w:lvlJc w:val="left"/>
      <w:pPr>
        <w:ind w:left="3600" w:hanging="360"/>
      </w:pPr>
    </w:lvl>
    <w:lvl w:ilvl="5" w:tplc="1EAAB264">
      <w:start w:val="1"/>
      <w:numFmt w:val="bullet"/>
      <w:lvlText w:val="■"/>
      <w:lvlJc w:val="left"/>
      <w:pPr>
        <w:ind w:left="4320" w:hanging="360"/>
      </w:pPr>
    </w:lvl>
    <w:lvl w:ilvl="6" w:tplc="229C09A6">
      <w:start w:val="1"/>
      <w:numFmt w:val="bullet"/>
      <w:lvlText w:val="●"/>
      <w:lvlJc w:val="left"/>
      <w:pPr>
        <w:ind w:left="5040" w:hanging="360"/>
      </w:pPr>
    </w:lvl>
    <w:lvl w:ilvl="7" w:tplc="69C65B12">
      <w:start w:val="1"/>
      <w:numFmt w:val="bullet"/>
      <w:lvlText w:val="●"/>
      <w:lvlJc w:val="left"/>
      <w:pPr>
        <w:ind w:left="5760" w:hanging="360"/>
      </w:pPr>
    </w:lvl>
    <w:lvl w:ilvl="8" w:tplc="4D52DAFC">
      <w:start w:val="1"/>
      <w:numFmt w:val="bullet"/>
      <w:lvlText w:val="●"/>
      <w:lvlJc w:val="left"/>
      <w:pPr>
        <w:ind w:left="6480" w:hanging="360"/>
      </w:pPr>
    </w:lvl>
  </w:abstractNum>
  <w:abstractNum w:abstractNumId="1">
    <w:nsid w:val="55B542CB"/>
    <w:multiLevelType w:val="hybridMultilevel"/>
    <w:tmpl w:val="49103B72"/>
    <w:lvl w:ilvl="0" w:tplc="F2F652D8">
      <w:start w:val="1"/>
      <w:numFmt w:val="bullet"/>
      <w:lvlText w:val="•"/>
      <w:lvlJc w:val="left"/>
      <w:pPr>
        <w:ind w:left="540" w:hanging="360"/>
      </w:pPr>
    </w:lvl>
    <w:lvl w:ilvl="1" w:tplc="BE8C7296">
      <w:numFmt w:val="decimal"/>
      <w:lvlText w:val=""/>
      <w:lvlJc w:val="left"/>
    </w:lvl>
    <w:lvl w:ilvl="2" w:tplc="611873D0">
      <w:numFmt w:val="decimal"/>
      <w:lvlText w:val=""/>
      <w:lvlJc w:val="left"/>
    </w:lvl>
    <w:lvl w:ilvl="3" w:tplc="80408A40">
      <w:numFmt w:val="decimal"/>
      <w:lvlText w:val=""/>
      <w:lvlJc w:val="left"/>
    </w:lvl>
    <w:lvl w:ilvl="4" w:tplc="4474A786">
      <w:numFmt w:val="decimal"/>
      <w:lvlText w:val=""/>
      <w:lvlJc w:val="left"/>
    </w:lvl>
    <w:lvl w:ilvl="5" w:tplc="45C03F74">
      <w:numFmt w:val="decimal"/>
      <w:lvlText w:val=""/>
      <w:lvlJc w:val="left"/>
    </w:lvl>
    <w:lvl w:ilvl="6" w:tplc="AFE6A2F8">
      <w:numFmt w:val="decimal"/>
      <w:lvlText w:val=""/>
      <w:lvlJc w:val="left"/>
    </w:lvl>
    <w:lvl w:ilvl="7" w:tplc="A8E021CA">
      <w:numFmt w:val="decimal"/>
      <w:lvlText w:val=""/>
      <w:lvlJc w:val="left"/>
    </w:lvl>
    <w:lvl w:ilvl="8" w:tplc="A566C7AA">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9C7880"/>
    <w:rsid w:val="00166DC3"/>
    <w:rsid w:val="009C063C"/>
    <w:rsid w:val="009C788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9C7880"/>
    <w:pPr>
      <w:outlineLvl w:val="0"/>
    </w:pPr>
    <w:rPr>
      <w:color w:val="2E74B5"/>
      <w:sz w:val="32"/>
      <w:szCs w:val="32"/>
    </w:rPr>
  </w:style>
  <w:style w:type="paragraph" w:styleId="Heading2">
    <w:name w:val="heading 2"/>
    <w:qFormat/>
    <w:rsid w:val="009C7880"/>
    <w:pPr>
      <w:outlineLvl w:val="1"/>
    </w:pPr>
    <w:rPr>
      <w:color w:val="2E74B5"/>
      <w:sz w:val="26"/>
      <w:szCs w:val="26"/>
    </w:rPr>
  </w:style>
  <w:style w:type="paragraph" w:styleId="Heading3">
    <w:name w:val="heading 3"/>
    <w:qFormat/>
    <w:rsid w:val="009C7880"/>
    <w:pPr>
      <w:outlineLvl w:val="2"/>
    </w:pPr>
    <w:rPr>
      <w:color w:val="1F4D78"/>
      <w:sz w:val="24"/>
      <w:szCs w:val="24"/>
    </w:rPr>
  </w:style>
  <w:style w:type="paragraph" w:styleId="Heading4">
    <w:name w:val="heading 4"/>
    <w:qFormat/>
    <w:rsid w:val="009C7880"/>
    <w:pPr>
      <w:outlineLvl w:val="3"/>
    </w:pPr>
    <w:rPr>
      <w:i/>
      <w:iCs/>
      <w:color w:val="2E74B5"/>
    </w:rPr>
  </w:style>
  <w:style w:type="paragraph" w:styleId="Heading5">
    <w:name w:val="heading 5"/>
    <w:qFormat/>
    <w:rsid w:val="009C7880"/>
    <w:pPr>
      <w:outlineLvl w:val="4"/>
    </w:pPr>
    <w:rPr>
      <w:color w:val="2E74B5"/>
    </w:rPr>
  </w:style>
  <w:style w:type="paragraph" w:styleId="Heading6">
    <w:name w:val="heading 6"/>
    <w:qFormat/>
    <w:rsid w:val="009C7880"/>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9C7880"/>
    <w:rPr>
      <w:sz w:val="56"/>
      <w:szCs w:val="56"/>
    </w:rPr>
  </w:style>
  <w:style w:type="paragraph" w:customStyle="1" w:styleId="Strong1">
    <w:name w:val="Strong1"/>
    <w:qFormat/>
    <w:rsid w:val="009C7880"/>
    <w:rPr>
      <w:b/>
      <w:bCs/>
    </w:rPr>
  </w:style>
  <w:style w:type="paragraph" w:styleId="ListParagraph">
    <w:name w:val="List Paragraph"/>
    <w:qFormat/>
    <w:rsid w:val="009C7880"/>
  </w:style>
  <w:style w:type="character" w:styleId="Hyperlink">
    <w:name w:val="Hyperlink"/>
    <w:uiPriority w:val="99"/>
    <w:unhideWhenUsed/>
    <w:rsid w:val="009C7880"/>
    <w:rPr>
      <w:color w:val="0563C1"/>
      <w:u w:val="single"/>
    </w:rPr>
  </w:style>
  <w:style w:type="character" w:styleId="FootnoteReference">
    <w:name w:val="footnote reference"/>
    <w:uiPriority w:val="99"/>
    <w:semiHidden/>
    <w:unhideWhenUsed/>
    <w:rsid w:val="009C7880"/>
    <w:rPr>
      <w:vertAlign w:val="superscript"/>
    </w:rPr>
  </w:style>
  <w:style w:type="paragraph" w:styleId="FootnoteText">
    <w:name w:val="footnote text"/>
    <w:link w:val="FootnoteTextChar"/>
    <w:uiPriority w:val="99"/>
    <w:semiHidden/>
    <w:unhideWhenUsed/>
    <w:rsid w:val="009C7880"/>
  </w:style>
  <w:style w:type="character" w:customStyle="1" w:styleId="FootnoteTextChar">
    <w:name w:val="Footnote Text Char"/>
    <w:link w:val="FootnoteText"/>
    <w:uiPriority w:val="99"/>
    <w:semiHidden/>
    <w:unhideWhenUsed/>
    <w:rsid w:val="009C7880"/>
    <w:rPr>
      <w:sz w:val="20"/>
      <w:szCs w:val="20"/>
    </w:rPr>
  </w:style>
  <w:style w:type="character" w:styleId="EndnoteReference">
    <w:name w:val="endnote reference"/>
    <w:uiPriority w:val="99"/>
    <w:semiHidden/>
    <w:unhideWhenUsed/>
    <w:rsid w:val="009C7880"/>
    <w:rPr>
      <w:vertAlign w:val="superscript"/>
    </w:rPr>
  </w:style>
  <w:style w:type="paragraph" w:styleId="EndnoteText">
    <w:name w:val="endnote text"/>
    <w:link w:val="EndnoteTextChar"/>
    <w:uiPriority w:val="99"/>
    <w:semiHidden/>
    <w:unhideWhenUsed/>
    <w:rsid w:val="009C7880"/>
  </w:style>
  <w:style w:type="character" w:customStyle="1" w:styleId="EndnoteTextChar">
    <w:name w:val="Endnote Text Char"/>
    <w:link w:val="EndnoteText"/>
    <w:uiPriority w:val="99"/>
    <w:semiHidden/>
    <w:unhideWhenUsed/>
    <w:rsid w:val="009C7880"/>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2150</Words>
  <Characters>12255</Characters>
  <Application>Microsoft Office Word</Application>
  <DocSecurity>0</DocSecurity>
  <Lines>102</Lines>
  <Paragraphs>28</Paragraphs>
  <ScaleCrop>false</ScaleCrop>
  <Company>Grizli777</Company>
  <LinksUpToDate>false</LinksUpToDate>
  <CharactersWithSpaces>14377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2</cp:revision>
  <dcterms:created xsi:type="dcterms:W3CDTF">2026-06-17T11:27:00Z</dcterms:created>
  <dcterms:modified xsi:type="dcterms:W3CDTF">2026-06-17T11:27:00Z</dcterms:modified>
</cp:coreProperties>
</file>