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605" w:rsidRDefault="00167A04">
      <w:pPr>
        <w:spacing w:before="200" w:after="60"/>
      </w:pPr>
      <w:r>
        <w:rPr>
          <w:b/>
          <w:bCs/>
          <w:color w:val="1B3A6B"/>
          <w:sz w:val="40"/>
          <w:szCs w:val="40"/>
        </w:rPr>
        <w:t>HEALTHBRIDGE OCCUPATIONAL HEALTH LTD</w:t>
      </w:r>
    </w:p>
    <w:p w:rsidR="00A67605" w:rsidRDefault="00167A04">
      <w:pPr>
        <w:spacing w:after="80"/>
      </w:pPr>
      <w:r>
        <w:rPr>
          <w:b/>
          <w:bCs/>
          <w:color w:val="1B3A6B"/>
          <w:sz w:val="28"/>
          <w:szCs w:val="28"/>
        </w:rPr>
        <w:t>Business Continuity and Succession Policy</w:t>
      </w:r>
    </w:p>
    <w:p w:rsidR="00A67605" w:rsidRDefault="00167A04">
      <w:pPr>
        <w:pBdr>
          <w:bottom w:val="thick" w:sz="12" w:space="3" w:color="1B3A6B"/>
        </w:pBdr>
        <w:spacing w:after="240"/>
      </w:pPr>
      <w:r>
        <w:rPr>
          <w:i/>
          <w:iCs/>
          <w:color w:val="6B7280"/>
          <w:sz w:val="19"/>
          <w:szCs w:val="19"/>
        </w:rPr>
        <w:t>GP-Led Occupational Health Services   |   Version 1.0   |   Effective 13 June 2026</w:t>
      </w:r>
    </w:p>
    <w:p w:rsidR="00A67605" w:rsidRDefault="00A67605">
      <w:pPr>
        <w:spacing w:before="80"/>
      </w:pPr>
    </w:p>
    <w:p w:rsidR="00A67605" w:rsidRDefault="00167A04">
      <w:pPr>
        <w:spacing w:before="400" w:after="120"/>
      </w:pPr>
      <w:r>
        <w:rPr>
          <w:b/>
          <w:bCs/>
          <w:color w:val="1B3A6B"/>
          <w:sz w:val="28"/>
          <w:szCs w:val="28"/>
        </w:rPr>
        <w:t>1.  Purpose</w:t>
      </w:r>
    </w:p>
    <w:p w:rsidR="00A67605" w:rsidRDefault="00A67605">
      <w:pPr>
        <w:pBdr>
          <w:bottom w:val="single" w:sz="6" w:space="1" w:color="1B3A6B"/>
        </w:pBdr>
        <w:spacing w:before="60" w:after="200"/>
      </w:pPr>
    </w:p>
    <w:p w:rsidR="00A67605" w:rsidRDefault="00167A04">
      <w:pPr>
        <w:spacing w:before="60" w:after="100"/>
      </w:pPr>
      <w:r>
        <w:rPr>
          <w:color w:val="1A1A2E"/>
        </w:rPr>
        <w:t>This policy sets out how HealthBridge Occupational Health Ltd plans for continuity in the event that Dr. James Stanley — the sole clinician, director, and Data Controller of the business — becomes temporarily or permanently unable to continue providing ser</w:t>
      </w:r>
      <w:r>
        <w:rPr>
          <w:color w:val="1A1A2E"/>
        </w:rPr>
        <w:t>vices personally, whether due to illness, injury, death, or a planned decision to close the business.</w:t>
      </w:r>
    </w:p>
    <w:p w:rsidR="00A67605" w:rsidRDefault="00A67605">
      <w:pPr>
        <w:spacing w:before="60"/>
      </w:pPr>
    </w:p>
    <w:p w:rsidR="00A67605" w:rsidRDefault="00167A04">
      <w:pPr>
        <w:spacing w:before="60" w:after="100"/>
      </w:pPr>
      <w:r>
        <w:rPr>
          <w:color w:val="1A1A2E"/>
        </w:rPr>
        <w:t>As a sole-practitioner service, HealthBridge has no other clinician, employee, or director who could step in automatically. This creates a genuine contin</w:t>
      </w:r>
      <w:r>
        <w:rPr>
          <w:color w:val="1A1A2E"/>
        </w:rPr>
        <w:t>uity risk: for employees and employers with an open referral, for the secure handling of clinical records, and for ongoing data protection and professional obligations that continue regardless of whether the business is actively trading.</w:t>
      </w:r>
    </w:p>
    <w:p w:rsidR="00A67605" w:rsidRDefault="00A67605">
      <w:pPr>
        <w:spacing w:before="60"/>
      </w:pPr>
    </w:p>
    <w:p w:rsidR="00A67605" w:rsidRDefault="00167A04">
      <w:pPr>
        <w:spacing w:before="60" w:after="100"/>
      </w:pPr>
      <w:r>
        <w:rPr>
          <w:color w:val="1A1A2E"/>
        </w:rPr>
        <w:t>This policy ensur</w:t>
      </w:r>
      <w:r>
        <w:rPr>
          <w:color w:val="1A1A2E"/>
        </w:rPr>
        <w:t>es that:</w:t>
      </w:r>
    </w:p>
    <w:p w:rsidR="00A67605" w:rsidRDefault="00167A04">
      <w:pPr>
        <w:pStyle w:val="ListParagraph"/>
        <w:numPr>
          <w:ilvl w:val="0"/>
          <w:numId w:val="2"/>
        </w:numPr>
        <w:spacing w:before="40" w:after="40"/>
      </w:pPr>
      <w:r>
        <w:t>Clients and patients are not left without information if Dr. Stanley becomes unexpectedly unavailable</w:t>
      </w:r>
    </w:p>
    <w:p w:rsidR="00A67605" w:rsidRDefault="00167A04">
      <w:pPr>
        <w:pStyle w:val="ListParagraph"/>
        <w:numPr>
          <w:ilvl w:val="0"/>
          <w:numId w:val="2"/>
        </w:numPr>
        <w:spacing w:before="40" w:after="40"/>
      </w:pPr>
      <w:r>
        <w:t>Clinical records remain secure, confidential, and properly managed throughout any transition</w:t>
      </w:r>
    </w:p>
    <w:p w:rsidR="00A67605" w:rsidRDefault="00167A04">
      <w:pPr>
        <w:pStyle w:val="ListParagraph"/>
        <w:numPr>
          <w:ilvl w:val="0"/>
          <w:numId w:val="2"/>
        </w:numPr>
        <w:spacing w:before="40" w:after="40"/>
      </w:pPr>
      <w:proofErr w:type="spellStart"/>
      <w:r>
        <w:t>HealthBridge's</w:t>
      </w:r>
      <w:proofErr w:type="spellEnd"/>
      <w:r>
        <w:t xml:space="preserve"> professional, regulatory, and data pr</w:t>
      </w:r>
      <w:r>
        <w:t>otection obligations continue to be met</w:t>
      </w:r>
    </w:p>
    <w:p w:rsidR="00A67605" w:rsidRDefault="00167A04">
      <w:pPr>
        <w:pStyle w:val="ListParagraph"/>
        <w:numPr>
          <w:ilvl w:val="0"/>
          <w:numId w:val="2"/>
        </w:numPr>
        <w:spacing w:before="40" w:after="40"/>
      </w:pPr>
      <w:r>
        <w:t>A trusted, briefed contact knows what to do — and is practically able to do it — without needing to interpret this policy from scratch in a crisis</w:t>
      </w:r>
    </w:p>
    <w:p w:rsidR="00A67605" w:rsidRDefault="00A67605">
      <w:pPr>
        <w:spacing w:before="60"/>
      </w:pPr>
    </w:p>
    <w:p w:rsidR="00A67605" w:rsidRDefault="00167A04">
      <w:pPr>
        <w:spacing w:before="60" w:after="100"/>
      </w:pPr>
      <w:r>
        <w:rPr>
          <w:color w:val="1A1A2E"/>
        </w:rPr>
        <w:t>This reflects the expectation in GMC Good Medical Practice that doct</w:t>
      </w:r>
      <w:r>
        <w:rPr>
          <w:color w:val="1A1A2E"/>
        </w:rPr>
        <w:t>ors make appropriate arrangements for continuity of care, and the reality that obligations as a registered UK GDPR Data Controller do not pause simply because the controller is unavailable.</w:t>
      </w:r>
    </w:p>
    <w:p w:rsidR="00A67605" w:rsidRDefault="00A67605">
      <w:pPr>
        <w:spacing w:before="80"/>
      </w:pPr>
    </w:p>
    <w:p w:rsidR="00A67605" w:rsidRDefault="00167A04">
      <w:pPr>
        <w:spacing w:before="400" w:after="120"/>
      </w:pPr>
      <w:r>
        <w:rPr>
          <w:b/>
          <w:bCs/>
          <w:color w:val="1B3A6B"/>
          <w:sz w:val="28"/>
          <w:szCs w:val="28"/>
        </w:rPr>
        <w:t>2.  Scope — Three Continuity Scenarios</w:t>
      </w:r>
    </w:p>
    <w:p w:rsidR="00A67605" w:rsidRDefault="00A67605">
      <w:pPr>
        <w:pBdr>
          <w:bottom w:val="single" w:sz="6" w:space="1" w:color="1B3A6B"/>
        </w:pBdr>
        <w:spacing w:before="60" w:after="200"/>
      </w:pPr>
    </w:p>
    <w:p w:rsidR="00A67605" w:rsidRDefault="00A67605">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3713"/>
        <w:gridCol w:w="2713"/>
      </w:tblGrid>
      <w:tr w:rsidR="00A67605">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A67605" w:rsidRDefault="00167A04">
            <w:r>
              <w:rPr>
                <w:b/>
                <w:bCs/>
                <w:color w:val="FFFFFF"/>
                <w:sz w:val="19"/>
                <w:szCs w:val="19"/>
              </w:rPr>
              <w:t>Scenario</w:t>
            </w:r>
          </w:p>
        </w:tc>
        <w:tc>
          <w:tcPr>
            <w:tcW w:w="37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A67605" w:rsidRDefault="00167A04">
            <w:r>
              <w:rPr>
                <w:b/>
                <w:bCs/>
                <w:color w:val="FFFFFF"/>
                <w:sz w:val="19"/>
                <w:szCs w:val="19"/>
              </w:rPr>
              <w:t>Definition</w:t>
            </w:r>
          </w:p>
        </w:tc>
        <w:tc>
          <w:tcPr>
            <w:tcW w:w="27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A67605" w:rsidRDefault="00167A04">
            <w:r>
              <w:rPr>
                <w:b/>
                <w:bCs/>
                <w:color w:val="FFFFFF"/>
                <w:sz w:val="19"/>
                <w:szCs w:val="19"/>
              </w:rPr>
              <w:t>Typical Trigger</w:t>
            </w:r>
          </w:p>
        </w:tc>
      </w:tr>
      <w:tr w:rsidR="00A67605">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b/>
                <w:bCs/>
                <w:sz w:val="19"/>
                <w:szCs w:val="19"/>
              </w:rPr>
              <w:t>Short-term incapacity</w:t>
            </w:r>
          </w:p>
        </w:tc>
        <w:tc>
          <w:tcPr>
            <w:tcW w:w="37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Dr. Stanley is temporarily unable to work but expects to resume within a defined period — a working guideline of up to 6 weeks.</w:t>
            </w:r>
          </w:p>
        </w:tc>
        <w:tc>
          <w:tcPr>
            <w:tcW w:w="27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Illness, injury, family emergency, planned medical procedure or hospital stay.</w:t>
            </w:r>
          </w:p>
        </w:tc>
      </w:tr>
      <w:tr w:rsidR="00A67605">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b/>
                <w:bCs/>
                <w:sz w:val="19"/>
                <w:szCs w:val="19"/>
              </w:rPr>
              <w:t>Long-term incapacity or death</w:t>
            </w:r>
          </w:p>
        </w:tc>
        <w:tc>
          <w:tcPr>
            <w:tcW w:w="37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Dr. Stanley is unable to resume practising for an extended or indefinite period, or has died.</w:t>
            </w:r>
          </w:p>
        </w:tc>
        <w:tc>
          <w:tcPr>
            <w:tcW w:w="27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Serious illness, significant injury, death.</w:t>
            </w:r>
          </w:p>
        </w:tc>
      </w:tr>
      <w:tr w:rsidR="00A67605">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b/>
                <w:bCs/>
                <w:sz w:val="19"/>
                <w:szCs w:val="19"/>
              </w:rPr>
              <w:t>Voluntary closure / wind-down</w:t>
            </w:r>
          </w:p>
        </w:tc>
        <w:tc>
          <w:tcPr>
            <w:tcW w:w="37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A planned, deliberate decision to stop providing HealthBridge services, with adequate notice given.</w:t>
            </w:r>
          </w:p>
        </w:tc>
        <w:tc>
          <w:tcPr>
            <w:tcW w:w="27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Retirement, career change, return to full-time NHS work, or any other planned reason.</w:t>
            </w:r>
          </w:p>
        </w:tc>
      </w:tr>
    </w:tbl>
    <w:p w:rsidR="00A67605" w:rsidRDefault="00A67605">
      <w:pPr>
        <w:spacing w:before="80"/>
      </w:pPr>
    </w:p>
    <w:p w:rsidR="00A67605" w:rsidRDefault="00167A04">
      <w:pPr>
        <w:spacing w:before="60" w:after="100"/>
      </w:pPr>
      <w:r>
        <w:rPr>
          <w:color w:val="1A1A2E"/>
        </w:rPr>
        <w:t xml:space="preserve">This policy applies to all clinical, administrative, financial, and </w:t>
      </w:r>
      <w:r>
        <w:rPr>
          <w:color w:val="1A1A2E"/>
        </w:rPr>
        <w:t>data protection responsibilities currently held solely by Dr. Stanley in connection with HealthBridge.</w:t>
      </w:r>
    </w:p>
    <w:p w:rsidR="00A67605" w:rsidRDefault="00A67605">
      <w:pPr>
        <w:spacing w:before="80"/>
      </w:pPr>
    </w:p>
    <w:p w:rsidR="00A67605" w:rsidRDefault="00167A04">
      <w:pPr>
        <w:spacing w:before="400" w:after="120"/>
      </w:pPr>
      <w:r>
        <w:rPr>
          <w:b/>
          <w:bCs/>
          <w:color w:val="1B3A6B"/>
          <w:sz w:val="28"/>
          <w:szCs w:val="28"/>
        </w:rPr>
        <w:t>3.  Guiding Principles</w:t>
      </w:r>
    </w:p>
    <w:p w:rsidR="00A67605" w:rsidRDefault="00A67605">
      <w:pPr>
        <w:pBdr>
          <w:bottom w:val="single" w:sz="6" w:space="1" w:color="1B3A6B"/>
        </w:pBdr>
        <w:spacing w:before="60" w:after="200"/>
      </w:pPr>
    </w:p>
    <w:p w:rsidR="00A67605" w:rsidRDefault="00167A04">
      <w:pPr>
        <w:pStyle w:val="ListParagraph"/>
        <w:numPr>
          <w:ilvl w:val="0"/>
          <w:numId w:val="2"/>
        </w:numPr>
        <w:spacing w:before="40" w:after="40"/>
      </w:pPr>
      <w:r>
        <w:t>Continuity of care comes first. The immediate priority in any scenario is ensuring no client or patient is left stranded without information or a clear next step.</w:t>
      </w:r>
    </w:p>
    <w:p w:rsidR="00A67605" w:rsidRDefault="00167A04">
      <w:pPr>
        <w:pStyle w:val="ListParagraph"/>
        <w:numPr>
          <w:ilvl w:val="0"/>
          <w:numId w:val="2"/>
        </w:numPr>
        <w:spacing w:before="40" w:after="40"/>
      </w:pPr>
      <w:r>
        <w:t xml:space="preserve">Confidentiality is preserved throughout. Clinical records remain confidential even during an </w:t>
      </w:r>
      <w:r>
        <w:t>emergency. The nominated contact's role (Section 4) is to secure and signpost — not to read clinical content or make clinical decisions. Where a genuine clinical judgement is needed on an open case, this is escalated to a clinical colleague or to MPS for g</w:t>
      </w:r>
      <w:r>
        <w:t>uidance, never made by a non-clinical contact.</w:t>
      </w:r>
    </w:p>
    <w:p w:rsidR="00A67605" w:rsidRDefault="00167A04">
      <w:pPr>
        <w:pStyle w:val="ListParagraph"/>
        <w:numPr>
          <w:ilvl w:val="0"/>
          <w:numId w:val="2"/>
        </w:numPr>
        <w:spacing w:before="40" w:after="40"/>
      </w:pPr>
      <w:r>
        <w:t>MPS is the first call in almost every scenario. MPS holds guidance specific to sole practitioners and can advise on regulatory notifications, indemnity implications, and appropriate next steps.</w:t>
      </w:r>
    </w:p>
    <w:p w:rsidR="00A67605" w:rsidRDefault="00167A04">
      <w:pPr>
        <w:pStyle w:val="ListParagraph"/>
        <w:numPr>
          <w:ilvl w:val="0"/>
          <w:numId w:val="2"/>
        </w:numPr>
        <w:spacing w:before="40" w:after="40"/>
      </w:pPr>
      <w:r>
        <w:t>This plan is bu</w:t>
      </w:r>
      <w:r>
        <w:t xml:space="preserve">ilt for a genuine sole practitioner. Because HealthBridge has no other employees, this plan is designed to be </w:t>
      </w:r>
      <w:proofErr w:type="spellStart"/>
      <w:r>
        <w:t>actioned</w:t>
      </w:r>
      <w:proofErr w:type="spellEnd"/>
      <w:r>
        <w:t xml:space="preserve"> by a single, appropriately briefed nominated contact, supported by external professional advice (MPS, GMC, accountant, solicitor) rather </w:t>
      </w:r>
      <w:r>
        <w:t>than internal cover.</w:t>
      </w:r>
    </w:p>
    <w:p w:rsidR="00A67605" w:rsidRDefault="00167A04">
      <w:pPr>
        <w:pStyle w:val="ListParagraph"/>
        <w:numPr>
          <w:ilvl w:val="0"/>
          <w:numId w:val="2"/>
        </w:numPr>
        <w:spacing w:before="40" w:after="40"/>
      </w:pPr>
      <w:r>
        <w:t>A living plan, not a one-off document. This policy and its associated Emergency Access Pack (Section 5) are only useful if kept up to date and occasionally tested — see Section 12.</w:t>
      </w:r>
    </w:p>
    <w:p w:rsidR="00A67605" w:rsidRDefault="00A67605">
      <w:pPr>
        <w:spacing w:before="80"/>
      </w:pPr>
    </w:p>
    <w:p w:rsidR="00A67605" w:rsidRDefault="00167A04">
      <w:pPr>
        <w:spacing w:before="400" w:after="120"/>
      </w:pPr>
      <w:r>
        <w:rPr>
          <w:b/>
          <w:bCs/>
          <w:color w:val="1B3A6B"/>
          <w:sz w:val="28"/>
          <w:szCs w:val="28"/>
        </w:rPr>
        <w:t>4.  The Nominated Contact</w:t>
      </w:r>
    </w:p>
    <w:p w:rsidR="00A67605" w:rsidRDefault="00A67605">
      <w:pPr>
        <w:pBdr>
          <w:bottom w:val="single" w:sz="6" w:space="1" w:color="1B3A6B"/>
        </w:pBdr>
        <w:spacing w:before="60" w:after="200"/>
      </w:pPr>
    </w:p>
    <w:p w:rsidR="00A67605" w:rsidRDefault="00167A04">
      <w:pPr>
        <w:spacing w:before="60" w:after="100"/>
      </w:pPr>
      <w:r>
        <w:rPr>
          <w:color w:val="1A1A2E"/>
        </w:rPr>
        <w:t>A nominated contact is a t</w:t>
      </w:r>
      <w:r>
        <w:rPr>
          <w:color w:val="1A1A2E"/>
        </w:rPr>
        <w:t>rusted individual chosen by Dr. Stanley who holds, or knows how to access, the Emergency Access Pack (Section 5), and who is prepared to take a defined set of administrative actions on his behalf if he becomes unexpectedly unavailable.</w:t>
      </w:r>
    </w:p>
    <w:p w:rsidR="00A67605" w:rsidRDefault="00A67605">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A67605">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A67605" w:rsidRDefault="00167A04">
            <w:r>
              <w:rPr>
                <w:i/>
                <w:iCs/>
                <w:color w:val="1B3A6B"/>
                <w:sz w:val="19"/>
                <w:szCs w:val="19"/>
              </w:rPr>
              <w:t>This document delib</w:t>
            </w:r>
            <w:r>
              <w:rPr>
                <w:i/>
                <w:iCs/>
                <w:color w:val="1B3A6B"/>
                <w:sz w:val="19"/>
                <w:szCs w:val="19"/>
              </w:rPr>
              <w:t>erately does not name the nominated contact(s). That information changes over time and belongs in the confidential Emergency Access Pack described in Section 5 — not in a governance policy that may be printed, shared, or audited.</w:t>
            </w:r>
          </w:p>
        </w:tc>
      </w:tr>
    </w:tbl>
    <w:p w:rsidR="00A67605" w:rsidRDefault="00A67605">
      <w:pPr>
        <w:spacing w:before="100"/>
      </w:pPr>
    </w:p>
    <w:p w:rsidR="00A67605" w:rsidRDefault="00167A04">
      <w:pPr>
        <w:spacing w:before="280" w:after="100"/>
      </w:pPr>
      <w:proofErr w:type="gramStart"/>
      <w:r>
        <w:rPr>
          <w:b/>
          <w:bCs/>
          <w:color w:val="1B3A6B"/>
          <w:sz w:val="22"/>
          <w:szCs w:val="22"/>
        </w:rPr>
        <w:t>4.1  What</w:t>
      </w:r>
      <w:proofErr w:type="gramEnd"/>
      <w:r>
        <w:rPr>
          <w:b/>
          <w:bCs/>
          <w:color w:val="1B3A6B"/>
          <w:sz w:val="22"/>
          <w:szCs w:val="22"/>
        </w:rPr>
        <w:t xml:space="preserve"> the Role Involves</w:t>
      </w:r>
    </w:p>
    <w:p w:rsidR="00A67605" w:rsidRDefault="00167A04">
      <w:pPr>
        <w:spacing w:before="60" w:after="100"/>
      </w:pPr>
      <w:r>
        <w:rPr>
          <w:color w:val="1A1A2E"/>
        </w:rPr>
        <w:t>The nominated contact's role is administrative and triggering, not clinical. Specifically, they would be expected to:</w:t>
      </w:r>
    </w:p>
    <w:p w:rsidR="00A67605" w:rsidRDefault="00167A04">
      <w:pPr>
        <w:pStyle w:val="ListParagraph"/>
        <w:numPr>
          <w:ilvl w:val="0"/>
          <w:numId w:val="2"/>
        </w:numPr>
        <w:spacing w:before="40" w:after="40"/>
      </w:pPr>
      <w:r>
        <w:t>Contact MPS, and the GMC if advised to do so, on Dr. Stanley's behalf</w:t>
      </w:r>
    </w:p>
    <w:p w:rsidR="00A67605" w:rsidRDefault="00167A04">
      <w:pPr>
        <w:pStyle w:val="ListParagraph"/>
        <w:numPr>
          <w:ilvl w:val="0"/>
          <w:numId w:val="2"/>
        </w:numPr>
        <w:spacing w:before="40" w:after="40"/>
      </w:pPr>
      <w:r>
        <w:t xml:space="preserve">Notify clients with open referrals that </w:t>
      </w:r>
      <w:r>
        <w:t>HealthBridge is temporarily or permanently unable to continue, using the example wording in Section 11</w:t>
      </w:r>
    </w:p>
    <w:p w:rsidR="00A67605" w:rsidRDefault="00167A04">
      <w:pPr>
        <w:pStyle w:val="ListParagraph"/>
        <w:numPr>
          <w:ilvl w:val="0"/>
          <w:numId w:val="2"/>
        </w:numPr>
        <w:spacing w:before="40" w:after="40"/>
      </w:pPr>
      <w:r>
        <w:t>Ensure clinical records remain secure (not destroy or attempt to read them beyond what is necessary to identify open cases via the Active Case Log — Sect</w:t>
      </w:r>
      <w:r>
        <w:t>ion 6)</w:t>
      </w:r>
    </w:p>
    <w:p w:rsidR="00A67605" w:rsidRDefault="00167A04">
      <w:pPr>
        <w:pStyle w:val="ListParagraph"/>
        <w:numPr>
          <w:ilvl w:val="0"/>
          <w:numId w:val="2"/>
        </w:numPr>
        <w:spacing w:before="40" w:after="40"/>
      </w:pPr>
      <w:r>
        <w:t>Engage the accountant and solicitor where formal closure of the company becomes necessary</w:t>
      </w:r>
    </w:p>
    <w:p w:rsidR="00A67605" w:rsidRDefault="00A67605">
      <w:pPr>
        <w:spacing w:before="60"/>
      </w:pPr>
    </w:p>
    <w:p w:rsidR="00A67605" w:rsidRDefault="00167A04">
      <w:pPr>
        <w:spacing w:before="280" w:after="100"/>
      </w:pPr>
      <w:proofErr w:type="gramStart"/>
      <w:r>
        <w:rPr>
          <w:b/>
          <w:bCs/>
          <w:color w:val="1B3A6B"/>
          <w:sz w:val="22"/>
          <w:szCs w:val="22"/>
        </w:rPr>
        <w:t>4.2  Who</w:t>
      </w:r>
      <w:proofErr w:type="gramEnd"/>
      <w:r>
        <w:rPr>
          <w:b/>
          <w:bCs/>
          <w:color w:val="1B3A6B"/>
          <w:sz w:val="22"/>
          <w:szCs w:val="22"/>
        </w:rPr>
        <w:t xml:space="preserve"> Is Suitable</w:t>
      </w:r>
    </w:p>
    <w:p w:rsidR="00A67605" w:rsidRDefault="00167A04">
      <w:pPr>
        <w:spacing w:before="60" w:after="100"/>
      </w:pPr>
      <w:r>
        <w:rPr>
          <w:color w:val="1A1A2E"/>
        </w:rPr>
        <w:t>The nominated contact does not need to be clinically qualified. Suitable candidates include a trusted family member, a solicitor, an acco</w:t>
      </w:r>
      <w:r>
        <w:rPr>
          <w:color w:val="1A1A2E"/>
        </w:rPr>
        <w:t xml:space="preserve">untant, or — ideally, in addition to a personal contact — a </w:t>
      </w:r>
      <w:r>
        <w:rPr>
          <w:color w:val="1A1A2E"/>
        </w:rPr>
        <w:lastRenderedPageBreak/>
        <w:t>professional colleague (for example, a fellow GP known through NHS out-of-hours work) who could help assess the urgency of any open clinical situations.</w:t>
      </w:r>
    </w:p>
    <w:p w:rsidR="00A67605" w:rsidRDefault="00A67605">
      <w:pPr>
        <w:spacing w:before="60"/>
      </w:pPr>
    </w:p>
    <w:p w:rsidR="00A67605" w:rsidRDefault="00167A04">
      <w:pPr>
        <w:spacing w:before="60" w:after="100"/>
      </w:pPr>
      <w:r>
        <w:rPr>
          <w:color w:val="1A1A2E"/>
        </w:rPr>
        <w:t xml:space="preserve">Where possible, it is worth identifying two contacts: a personal or administrative contact who executes the practical steps in this policy, and a clinical colleague who could be approached, in confidence and on a goodwill basis, to advise on or review any </w:t>
      </w:r>
      <w:r>
        <w:rPr>
          <w:color w:val="1A1A2E"/>
        </w:rPr>
        <w:t>open safeguarding or high-risk cases. The second role is strongly recommended but not essential to put this plan into action.</w:t>
      </w:r>
    </w:p>
    <w:p w:rsidR="00A67605" w:rsidRDefault="00A67605">
      <w:pPr>
        <w:spacing w:before="80"/>
      </w:pPr>
    </w:p>
    <w:p w:rsidR="00A67605" w:rsidRDefault="00167A04">
      <w:pPr>
        <w:spacing w:before="400" w:after="120"/>
      </w:pPr>
      <w:r>
        <w:rPr>
          <w:b/>
          <w:bCs/>
          <w:color w:val="1B3A6B"/>
          <w:sz w:val="28"/>
          <w:szCs w:val="28"/>
        </w:rPr>
        <w:t>5.  The Emergency Access Pack</w:t>
      </w:r>
    </w:p>
    <w:p w:rsidR="00A67605" w:rsidRDefault="00A67605">
      <w:pPr>
        <w:pBdr>
          <w:bottom w:val="single" w:sz="6" w:space="1" w:color="1B3A6B"/>
        </w:pBdr>
        <w:spacing w:before="60" w:after="200"/>
      </w:pPr>
    </w:p>
    <w:p w:rsidR="00A67605" w:rsidRDefault="00167A04">
      <w:pPr>
        <w:spacing w:before="60" w:after="100"/>
      </w:pPr>
      <w:r>
        <w:rPr>
          <w:color w:val="1A1A2E"/>
        </w:rPr>
        <w:t>This policy sets out the process for continuity. The specific, sensitive information needed to execute that process — names, passwords, account details — should never be written into a document like this one. Instead, a separate, highly secure Emergency Ac</w:t>
      </w:r>
      <w:r>
        <w:rPr>
          <w:color w:val="1A1A2E"/>
        </w:rPr>
        <w:t>cess Pack should be created and maintained by Dr. Stanley personally.</w:t>
      </w:r>
    </w:p>
    <w:p w:rsidR="00A67605" w:rsidRDefault="00A67605">
      <w:pPr>
        <w:spacing w:before="60"/>
      </w:pPr>
    </w:p>
    <w:p w:rsidR="00A67605" w:rsidRDefault="00167A04">
      <w:pPr>
        <w:spacing w:before="280" w:after="100"/>
      </w:pPr>
      <w:proofErr w:type="gramStart"/>
      <w:r>
        <w:rPr>
          <w:b/>
          <w:bCs/>
          <w:color w:val="1B3A6B"/>
          <w:sz w:val="22"/>
          <w:szCs w:val="22"/>
        </w:rPr>
        <w:t>5.1  What</w:t>
      </w:r>
      <w:proofErr w:type="gramEnd"/>
      <w:r>
        <w:rPr>
          <w:b/>
          <w:bCs/>
          <w:color w:val="1B3A6B"/>
          <w:sz w:val="22"/>
          <w:szCs w:val="22"/>
        </w:rPr>
        <w:t xml:space="preserve"> It Should Contain</w:t>
      </w:r>
    </w:p>
    <w:p w:rsidR="00A67605" w:rsidRDefault="00167A04">
      <w:pPr>
        <w:pStyle w:val="ListParagraph"/>
        <w:numPr>
          <w:ilvl w:val="0"/>
          <w:numId w:val="2"/>
        </w:numPr>
        <w:spacing w:before="40" w:after="40"/>
      </w:pPr>
      <w:r>
        <w:t>Name and contact details of the nominated contact(s)</w:t>
      </w:r>
    </w:p>
    <w:p w:rsidR="00A67605" w:rsidRDefault="00167A04">
      <w:pPr>
        <w:pStyle w:val="ListParagraph"/>
        <w:numPr>
          <w:ilvl w:val="0"/>
          <w:numId w:val="2"/>
        </w:numPr>
        <w:spacing w:before="40" w:after="40"/>
      </w:pPr>
      <w:r>
        <w:t>MPS membership number and the MPS 24-hour emergency advice line number</w:t>
      </w:r>
    </w:p>
    <w:p w:rsidR="00A67605" w:rsidRDefault="00167A04">
      <w:pPr>
        <w:pStyle w:val="ListParagraph"/>
        <w:numPr>
          <w:ilvl w:val="0"/>
          <w:numId w:val="2"/>
        </w:numPr>
        <w:spacing w:before="40" w:after="40"/>
      </w:pPr>
      <w:r>
        <w:t>GMC registration number (7285162)</w:t>
      </w:r>
    </w:p>
    <w:p w:rsidR="00A67605" w:rsidRDefault="00167A04">
      <w:pPr>
        <w:pStyle w:val="ListParagraph"/>
        <w:numPr>
          <w:ilvl w:val="0"/>
          <w:numId w:val="2"/>
        </w:numPr>
        <w:spacing w:before="40" w:after="40"/>
      </w:pPr>
      <w:r>
        <w:t>ICO registration number</w:t>
      </w:r>
    </w:p>
    <w:p w:rsidR="00A67605" w:rsidRDefault="00167A04">
      <w:pPr>
        <w:pStyle w:val="ListParagraph"/>
        <w:numPr>
          <w:ilvl w:val="0"/>
          <w:numId w:val="2"/>
        </w:numPr>
        <w:spacing w:before="40" w:after="40"/>
      </w:pPr>
      <w:r>
        <w:t>Accountant and solicitor contact details</w:t>
      </w:r>
    </w:p>
    <w:p w:rsidR="00A67605" w:rsidRDefault="00167A04">
      <w:pPr>
        <w:pStyle w:val="ListParagraph"/>
        <w:numPr>
          <w:ilvl w:val="0"/>
          <w:numId w:val="2"/>
        </w:numPr>
        <w:spacing w:before="40" w:after="40"/>
      </w:pPr>
      <w:r>
        <w:t xml:space="preserve">Instructions for accessing key systems — encrypted email, cloud clinical record storage, </w:t>
      </w:r>
      <w:proofErr w:type="spellStart"/>
      <w:r>
        <w:t>Zoho</w:t>
      </w:r>
      <w:proofErr w:type="spellEnd"/>
      <w:r>
        <w:t xml:space="preserve"> Books, </w:t>
      </w:r>
      <w:proofErr w:type="spellStart"/>
      <w:r>
        <w:t>Monzo</w:t>
      </w:r>
      <w:proofErr w:type="spellEnd"/>
      <w:r>
        <w:t xml:space="preserve"> business banking, the </w:t>
      </w:r>
      <w:proofErr w:type="spellStart"/>
      <w:r>
        <w:t>GoDaddy</w:t>
      </w:r>
      <w:proofErr w:type="spellEnd"/>
      <w:r>
        <w:t xml:space="preserve"> website, and the video consultation platform</w:t>
      </w:r>
    </w:p>
    <w:p w:rsidR="00A67605" w:rsidRDefault="00167A04">
      <w:pPr>
        <w:pStyle w:val="ListParagraph"/>
        <w:numPr>
          <w:ilvl w:val="0"/>
          <w:numId w:val="2"/>
        </w:numPr>
        <w:spacing w:before="40" w:after="40"/>
      </w:pPr>
      <w:r>
        <w:t>The curr</w:t>
      </w:r>
      <w:r>
        <w:t>ent location of the Active Case Log (Section 6)</w:t>
      </w:r>
    </w:p>
    <w:p w:rsidR="00A67605" w:rsidRDefault="00167A04">
      <w:pPr>
        <w:pStyle w:val="ListParagraph"/>
        <w:numPr>
          <w:ilvl w:val="0"/>
          <w:numId w:val="2"/>
        </w:numPr>
        <w:spacing w:before="40" w:after="40"/>
      </w:pPr>
      <w:r>
        <w:t>A short, personalised checklist mirroring the key steps in this policy, with real names and details filled in</w:t>
      </w:r>
    </w:p>
    <w:p w:rsidR="00A67605" w:rsidRDefault="00A67605">
      <w:pPr>
        <w:spacing w:before="80"/>
      </w:pPr>
    </w:p>
    <w:p w:rsidR="00A67605" w:rsidRDefault="00167A04">
      <w:pPr>
        <w:spacing w:before="280" w:after="100"/>
      </w:pPr>
      <w:proofErr w:type="gramStart"/>
      <w:r>
        <w:rPr>
          <w:b/>
          <w:bCs/>
          <w:color w:val="1B3A6B"/>
          <w:sz w:val="22"/>
          <w:szCs w:val="22"/>
        </w:rPr>
        <w:t>5.2  How</w:t>
      </w:r>
      <w:proofErr w:type="gramEnd"/>
      <w:r>
        <w:rPr>
          <w:b/>
          <w:bCs/>
          <w:color w:val="1B3A6B"/>
          <w:sz w:val="22"/>
          <w:szCs w:val="22"/>
        </w:rPr>
        <w:t xml:space="preserve"> to Store It Securely</w:t>
      </w:r>
    </w:p>
    <w:p w:rsidR="00A67605" w:rsidRDefault="00167A04">
      <w:pPr>
        <w:spacing w:before="60" w:after="100"/>
      </w:pPr>
      <w:r>
        <w:rPr>
          <w:color w:val="1A1A2E"/>
        </w:rPr>
        <w:t>Rather than writing passwords down in any single document, the reco</w:t>
      </w:r>
      <w:r>
        <w:rPr>
          <w:color w:val="1A1A2E"/>
        </w:rPr>
        <w:t>mmended approach is to use a reputable password manager that includes an 'emergency access' or 'legacy contact' feature — this allows a nominated contact to request access, with a built-in waiting period that gives Dr. Stanley the opportunity to deny the r</w:t>
      </w:r>
      <w:r>
        <w:rPr>
          <w:color w:val="1A1A2E"/>
        </w:rPr>
        <w:t>equest if he is in fact contactable and well.</w:t>
      </w:r>
    </w:p>
    <w:p w:rsidR="00A67605" w:rsidRDefault="00A67605">
      <w:pPr>
        <w:spacing w:before="60"/>
      </w:pPr>
    </w:p>
    <w:p w:rsidR="00A67605" w:rsidRDefault="00167A04">
      <w:pPr>
        <w:spacing w:before="60" w:after="100"/>
      </w:pPr>
      <w:r>
        <w:rPr>
          <w:color w:val="1A1A2E"/>
        </w:rPr>
        <w:t>Where this is not practical, an alternative is to lodge a sealed envelope or document with a solicitor, with instructions for when it may be opened. At least one trusted person should know that the Emergency A</w:t>
      </w:r>
      <w:r>
        <w:rPr>
          <w:color w:val="1A1A2E"/>
        </w:rPr>
        <w:t>ccess Pack exists and broadly where it is held, without necessarily knowing its contents in advance.</w:t>
      </w:r>
    </w:p>
    <w:p w:rsidR="00A67605" w:rsidRDefault="00A67605">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A67605">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A67605" w:rsidRDefault="00167A04">
            <w:r>
              <w:rPr>
                <w:i/>
                <w:iCs/>
                <w:color w:val="1B3A6B"/>
                <w:sz w:val="19"/>
                <w:szCs w:val="19"/>
              </w:rPr>
              <w:t xml:space="preserve">The Emergency Access Pack should be reviewed and updated at least annually, and immediately whenever a key system, contact, or password changes — see the </w:t>
            </w:r>
            <w:r>
              <w:rPr>
                <w:i/>
                <w:iCs/>
                <w:color w:val="1B3A6B"/>
                <w:sz w:val="19"/>
                <w:szCs w:val="19"/>
              </w:rPr>
              <w:t>practical checklist in Section 13.</w:t>
            </w:r>
          </w:p>
        </w:tc>
      </w:tr>
    </w:tbl>
    <w:p w:rsidR="00A67605" w:rsidRDefault="00A67605">
      <w:pPr>
        <w:spacing w:before="80"/>
      </w:pPr>
    </w:p>
    <w:p w:rsidR="00A67605" w:rsidRDefault="00167A04">
      <w:pPr>
        <w:spacing w:before="400" w:after="120"/>
      </w:pPr>
      <w:r>
        <w:rPr>
          <w:b/>
          <w:bCs/>
          <w:color w:val="1B3A6B"/>
          <w:sz w:val="28"/>
          <w:szCs w:val="28"/>
        </w:rPr>
        <w:t>6.  The Active Case Log</w:t>
      </w:r>
    </w:p>
    <w:p w:rsidR="00A67605" w:rsidRDefault="00A67605">
      <w:pPr>
        <w:pBdr>
          <w:bottom w:val="single" w:sz="6" w:space="1" w:color="1B3A6B"/>
        </w:pBdr>
        <w:spacing w:before="60" w:after="200"/>
      </w:pPr>
    </w:p>
    <w:p w:rsidR="00A67605" w:rsidRDefault="00167A04">
      <w:pPr>
        <w:spacing w:before="60" w:after="100"/>
      </w:pPr>
      <w:r>
        <w:rPr>
          <w:color w:val="1A1A2E"/>
        </w:rPr>
        <w:t>To allow a nominated contact to act quickly without needing to access clinical content, HealthBridge maintains a lightweight Active Case Log alongside the routine case management already in place under the Clinical Governance Policy.</w:t>
      </w:r>
    </w:p>
    <w:p w:rsidR="00A67605" w:rsidRDefault="00A67605">
      <w:pPr>
        <w:spacing w:before="60"/>
      </w:pPr>
    </w:p>
    <w:p w:rsidR="00A67605" w:rsidRDefault="00167A04">
      <w:pPr>
        <w:spacing w:before="60" w:after="100"/>
      </w:pPr>
      <w:r>
        <w:rPr>
          <w:color w:val="1A1A2E"/>
        </w:rPr>
        <w:t>The Active Case Log r</w:t>
      </w:r>
      <w:r>
        <w:rPr>
          <w:color w:val="1A1A2E"/>
        </w:rPr>
        <w:t>ecords, for each open case, only:</w:t>
      </w:r>
    </w:p>
    <w:p w:rsidR="00A67605" w:rsidRDefault="00167A04">
      <w:pPr>
        <w:pStyle w:val="ListParagraph"/>
        <w:numPr>
          <w:ilvl w:val="0"/>
          <w:numId w:val="2"/>
        </w:numPr>
        <w:spacing w:before="40" w:after="40"/>
      </w:pPr>
      <w:r>
        <w:t>A case reference and the referring employer's name (no employee clinical detail)</w:t>
      </w:r>
    </w:p>
    <w:p w:rsidR="00A67605" w:rsidRDefault="00167A04">
      <w:pPr>
        <w:pStyle w:val="ListParagraph"/>
        <w:numPr>
          <w:ilvl w:val="0"/>
          <w:numId w:val="2"/>
        </w:numPr>
        <w:spacing w:before="40" w:after="40"/>
      </w:pPr>
      <w:r>
        <w:t xml:space="preserve">The current stage — for example: referral received, assessment booked, assessment completed and report drafted, awaiting employee consent to </w:t>
      </w:r>
      <w:r>
        <w:t>release, report released, complaint open, or safeguarding concern escalated</w:t>
      </w:r>
    </w:p>
    <w:p w:rsidR="00A67605" w:rsidRDefault="00167A04">
      <w:pPr>
        <w:pStyle w:val="ListParagraph"/>
        <w:numPr>
          <w:ilvl w:val="0"/>
          <w:numId w:val="2"/>
        </w:numPr>
        <w:spacing w:before="40" w:after="40"/>
      </w:pPr>
      <w:r>
        <w:t>The date the case reached that stage</w:t>
      </w:r>
    </w:p>
    <w:p w:rsidR="00A67605" w:rsidRDefault="00A67605">
      <w:pPr>
        <w:spacing w:before="60"/>
      </w:pPr>
    </w:p>
    <w:p w:rsidR="00A67605" w:rsidRDefault="00167A04">
      <w:pPr>
        <w:spacing w:before="60" w:after="100"/>
      </w:pPr>
      <w:r>
        <w:rPr>
          <w:color w:val="1A1A2E"/>
        </w:rPr>
        <w:t>This is deliberately non-clinical, so that a non-clinical nominated contact can see what is outstanding and act on Section 7 or 8 of this poli</w:t>
      </w:r>
      <w:r>
        <w:rPr>
          <w:color w:val="1A1A2E"/>
        </w:rPr>
        <w:t>cy without ever needing to view confidential clinical content. The Active Case Log is kept up to date as part of normal practice and its location is recorded in the Emergency Access Pack.</w:t>
      </w:r>
    </w:p>
    <w:p w:rsidR="00A67605" w:rsidRDefault="00A67605">
      <w:pPr>
        <w:spacing w:before="80"/>
      </w:pPr>
    </w:p>
    <w:p w:rsidR="00A67605" w:rsidRDefault="00167A04">
      <w:pPr>
        <w:spacing w:before="400" w:after="120"/>
      </w:pPr>
      <w:r>
        <w:rPr>
          <w:b/>
          <w:bCs/>
          <w:color w:val="1B3A6B"/>
          <w:sz w:val="28"/>
          <w:szCs w:val="28"/>
        </w:rPr>
        <w:t>7.  Short-Term Incapacity Procedure</w:t>
      </w:r>
    </w:p>
    <w:p w:rsidR="00A67605" w:rsidRDefault="00A67605">
      <w:pPr>
        <w:pBdr>
          <w:bottom w:val="single" w:sz="6" w:space="1" w:color="1B3A6B"/>
        </w:pBdr>
        <w:spacing w:before="60" w:after="200"/>
      </w:pPr>
    </w:p>
    <w:p w:rsidR="00A67605" w:rsidRDefault="00167A04">
      <w:pPr>
        <w:pStyle w:val="ListParagraph"/>
        <w:numPr>
          <w:ilvl w:val="0"/>
          <w:numId w:val="3"/>
        </w:numPr>
        <w:spacing w:before="40" w:after="60"/>
      </w:pPr>
      <w:r>
        <w:t>The nominated contact (or Dr. Stanley himself, if able) sends a holding notice to all clients with open referrals — see the example wording in Section 11.</w:t>
      </w:r>
    </w:p>
    <w:p w:rsidR="00A67605" w:rsidRDefault="00167A04">
      <w:pPr>
        <w:pStyle w:val="ListParagraph"/>
        <w:numPr>
          <w:ilvl w:val="0"/>
          <w:numId w:val="3"/>
        </w:numPr>
        <w:spacing w:before="40" w:after="60"/>
      </w:pPr>
      <w:r>
        <w:t>New referral intake is paused, via an auto-responder on the booking email address and a notice on the</w:t>
      </w:r>
      <w:r>
        <w:t xml:space="preserve"> website if the absence is expected to last more than a few days.</w:t>
      </w:r>
    </w:p>
    <w:p w:rsidR="00A67605" w:rsidRDefault="00167A04">
      <w:pPr>
        <w:pStyle w:val="ListParagraph"/>
        <w:numPr>
          <w:ilvl w:val="0"/>
          <w:numId w:val="3"/>
        </w:numPr>
        <w:spacing w:before="40" w:after="60"/>
      </w:pPr>
      <w:r>
        <w:t>Existing appointments are rescheduled. No cancellation fee applies in this circumstance, as this is a HealthBridge-initiated cancellation under the Payment and Cancellation Policy.</w:t>
      </w:r>
    </w:p>
    <w:p w:rsidR="00A67605" w:rsidRDefault="00167A04">
      <w:pPr>
        <w:pStyle w:val="ListParagraph"/>
        <w:numPr>
          <w:ilvl w:val="0"/>
          <w:numId w:val="3"/>
        </w:numPr>
        <w:spacing w:before="40" w:after="60"/>
      </w:pPr>
      <w:r>
        <w:t xml:space="preserve">If there </w:t>
      </w:r>
      <w:r>
        <w:t>is an open complex or urgent case (for example, an active safeguarding concern, or a referral linked to a tight disciplinary deadline), the nominated contact does not attempt to manage it personally. They contact MPS for urgent guidance and, where a clinic</w:t>
      </w:r>
      <w:r>
        <w:t>al colleague has been identified in advance, consider whether that colleague could be approached for a one-off opinion or interim cover.</w:t>
      </w:r>
    </w:p>
    <w:p w:rsidR="00A67605" w:rsidRDefault="00167A04">
      <w:pPr>
        <w:pStyle w:val="ListParagraph"/>
        <w:numPr>
          <w:ilvl w:val="0"/>
          <w:numId w:val="3"/>
        </w:numPr>
        <w:spacing w:before="40" w:after="60"/>
      </w:pPr>
      <w:r>
        <w:t>Clients are updated with a revised timeline once Dr. Stanley is able to confirm a return date. If the absence extends b</w:t>
      </w:r>
      <w:r>
        <w:t>eyond the working guideline of 6 weeks, escalate to Section 8.</w:t>
      </w:r>
    </w:p>
    <w:p w:rsidR="00A67605" w:rsidRDefault="00A67605">
      <w:pPr>
        <w:spacing w:before="80"/>
      </w:pPr>
    </w:p>
    <w:p w:rsidR="00A67605" w:rsidRDefault="00167A04">
      <w:pPr>
        <w:spacing w:before="400" w:after="120"/>
      </w:pPr>
      <w:r>
        <w:rPr>
          <w:b/>
          <w:bCs/>
          <w:color w:val="1B3A6B"/>
          <w:sz w:val="28"/>
          <w:szCs w:val="28"/>
        </w:rPr>
        <w:t>8.  Long-Term Incapacity or Death Procedure</w:t>
      </w:r>
    </w:p>
    <w:p w:rsidR="00A67605" w:rsidRDefault="00A67605">
      <w:pPr>
        <w:pBdr>
          <w:bottom w:val="single" w:sz="6" w:space="1" w:color="1B3A6B"/>
        </w:pBdr>
        <w:spacing w:before="60" w:after="200"/>
      </w:pPr>
    </w:p>
    <w:p w:rsidR="00A67605" w:rsidRDefault="00167A04">
      <w:pPr>
        <w:pStyle w:val="ListParagraph"/>
        <w:numPr>
          <w:ilvl w:val="0"/>
          <w:numId w:val="3"/>
        </w:numPr>
        <w:spacing w:before="40" w:after="60"/>
      </w:pPr>
      <w:r>
        <w:t xml:space="preserve">The nominated contact notifies MPS as a priority. MPS can advise on next steps specific to indemnity, regulatory notifications, and patient </w:t>
      </w:r>
      <w:proofErr w:type="gramStart"/>
      <w:r>
        <w:t>safety,</w:t>
      </w:r>
      <w:proofErr w:type="gramEnd"/>
      <w:r>
        <w:t xml:space="preserve"> and this call should happen before most other actions.</w:t>
      </w:r>
    </w:p>
    <w:p w:rsidR="00A67605" w:rsidRDefault="00167A04">
      <w:pPr>
        <w:pStyle w:val="ListParagraph"/>
        <w:numPr>
          <w:ilvl w:val="0"/>
          <w:numId w:val="3"/>
        </w:numPr>
        <w:spacing w:before="40" w:after="60"/>
      </w:pPr>
      <w:r>
        <w:t>The GMC is notified if MPS advises this is appropriat</w:t>
      </w:r>
      <w:r>
        <w:t>e.</w:t>
      </w:r>
    </w:p>
    <w:p w:rsidR="00A67605" w:rsidRDefault="00167A04">
      <w:pPr>
        <w:pStyle w:val="ListParagraph"/>
        <w:numPr>
          <w:ilvl w:val="0"/>
          <w:numId w:val="3"/>
        </w:numPr>
        <w:spacing w:before="40" w:after="60"/>
      </w:pPr>
      <w:r>
        <w:t>All clinical records are secured — not destroyed, and not accessed beyond what is necessary to identify open cases via the Active Case Log (Section 6). Existing encryption and access controls remain in place.</w:t>
      </w:r>
    </w:p>
    <w:p w:rsidR="00A67605" w:rsidRDefault="00167A04">
      <w:pPr>
        <w:pStyle w:val="ListParagraph"/>
        <w:numPr>
          <w:ilvl w:val="0"/>
          <w:numId w:val="3"/>
        </w:numPr>
        <w:spacing w:before="40" w:after="60"/>
      </w:pPr>
      <w:r>
        <w:t>All clients with open referrals, or with a c</w:t>
      </w:r>
      <w:r>
        <w:t>ompleted report not yet released, are notified that HealthBridge can no longer provide services, and are signposted to seek alternative occupational health provision without delay. See the example closure notice in Section 11.</w:t>
      </w:r>
    </w:p>
    <w:p w:rsidR="00A67605" w:rsidRDefault="00167A04">
      <w:pPr>
        <w:pStyle w:val="ListParagraph"/>
        <w:numPr>
          <w:ilvl w:val="0"/>
          <w:numId w:val="3"/>
        </w:numPr>
        <w:spacing w:before="40" w:after="60"/>
      </w:pPr>
      <w:r>
        <w:t>Where a clinical colleague ha</w:t>
      </w:r>
      <w:r>
        <w:t>s been identified in advance (Section 4.2), they are approached to discuss whether any open cases can be safely transferred with the employee's consent, or whether affected employers should simply be directed elsewhere.</w:t>
      </w:r>
    </w:p>
    <w:p w:rsidR="00A67605" w:rsidRDefault="00167A04">
      <w:pPr>
        <w:pStyle w:val="ListParagraph"/>
        <w:numPr>
          <w:ilvl w:val="0"/>
          <w:numId w:val="3"/>
        </w:numPr>
        <w:spacing w:before="40" w:after="60"/>
      </w:pPr>
      <w:r>
        <w:t>The accountant and solicitor are eng</w:t>
      </w:r>
      <w:r>
        <w:t xml:space="preserve">aged to manage the formal closure of HealthBridge Occupational Health Ltd, including any Companies House obligations. This is a legal and financial process outside clinical scope and should be handled by suitably qualified professionals — this policy does </w:t>
      </w:r>
      <w:r>
        <w:t>not attempt to set out company law procedure.</w:t>
      </w:r>
    </w:p>
    <w:p w:rsidR="00A67605" w:rsidRDefault="00167A04">
      <w:pPr>
        <w:pStyle w:val="ListParagraph"/>
        <w:numPr>
          <w:ilvl w:val="0"/>
          <w:numId w:val="3"/>
        </w:numPr>
        <w:spacing w:before="40" w:after="60"/>
      </w:pPr>
      <w:r>
        <w:t xml:space="preserve">Data retention continues regardless of the business ceasing to trade. Clinical records must still be retained for the periods set out in the Medical Records Retention Policy, and securely </w:t>
      </w:r>
      <w:r>
        <w:lastRenderedPageBreak/>
        <w:t>destroyed only once th</w:t>
      </w:r>
      <w:r>
        <w:t>ose periods expire. Responsibility for this — whether held by an executor, a successor, or a secure third-party archive arrangement — must be clearly assigned and should not be left unresolved.</w:t>
      </w:r>
    </w:p>
    <w:p w:rsidR="00A67605" w:rsidRDefault="00167A04">
      <w:pPr>
        <w:pStyle w:val="ListParagraph"/>
        <w:numPr>
          <w:ilvl w:val="0"/>
          <w:numId w:val="3"/>
        </w:numPr>
        <w:spacing w:before="40" w:after="60"/>
      </w:pPr>
      <w:r>
        <w:t xml:space="preserve">The ICO registration is updated or closed as appropriate once </w:t>
      </w:r>
      <w:r>
        <w:t>the position is clear, having taken advice on the correct approach given the continuing need to retain data securely.</w:t>
      </w:r>
    </w:p>
    <w:p w:rsidR="00A67605" w:rsidRDefault="00A67605">
      <w:pPr>
        <w:spacing w:before="80"/>
      </w:pPr>
    </w:p>
    <w:p w:rsidR="00A67605" w:rsidRDefault="00167A04">
      <w:pPr>
        <w:spacing w:before="400" w:after="120"/>
      </w:pPr>
      <w:r>
        <w:rPr>
          <w:b/>
          <w:bCs/>
          <w:color w:val="1B3A6B"/>
          <w:sz w:val="28"/>
          <w:szCs w:val="28"/>
        </w:rPr>
        <w:t>9.  Voluntary Closure / Wind-Down Procedure</w:t>
      </w:r>
    </w:p>
    <w:p w:rsidR="00A67605" w:rsidRDefault="00A67605">
      <w:pPr>
        <w:pBdr>
          <w:bottom w:val="single" w:sz="6" w:space="1" w:color="1B3A6B"/>
        </w:pBdr>
        <w:spacing w:before="60" w:after="200"/>
      </w:pPr>
    </w:p>
    <w:p w:rsidR="00A67605" w:rsidRDefault="00167A04">
      <w:pPr>
        <w:spacing w:before="60" w:after="100"/>
      </w:pPr>
      <w:r>
        <w:rPr>
          <w:color w:val="1A1A2E"/>
        </w:rPr>
        <w:t>A planned closure is more straightforward because there is time to manage it properly.</w:t>
      </w:r>
    </w:p>
    <w:p w:rsidR="00A67605" w:rsidRDefault="00A67605">
      <w:pPr>
        <w:spacing w:before="60"/>
      </w:pPr>
    </w:p>
    <w:p w:rsidR="00A67605" w:rsidRDefault="00167A04">
      <w:pPr>
        <w:pStyle w:val="ListParagraph"/>
        <w:numPr>
          <w:ilvl w:val="0"/>
          <w:numId w:val="3"/>
        </w:numPr>
        <w:spacing w:before="40" w:after="60"/>
      </w:pPr>
      <w:r>
        <w:t>Decide and document a final date for accepting new referrals, and a final closure date, allowing reasonable notice — a minimum of 8 to 12 weeks is suggested, given typical case timelines including the 7-day AMRA 1988 employee review window.</w:t>
      </w:r>
    </w:p>
    <w:p w:rsidR="00A67605" w:rsidRDefault="00167A04">
      <w:pPr>
        <w:pStyle w:val="ListParagraph"/>
        <w:numPr>
          <w:ilvl w:val="0"/>
          <w:numId w:val="3"/>
        </w:numPr>
        <w:spacing w:before="40" w:after="60"/>
      </w:pPr>
      <w:r>
        <w:t>Notify all curr</w:t>
      </w:r>
      <w:r>
        <w:t>ent clients in writing of the planned closure and timeline.</w:t>
      </w:r>
    </w:p>
    <w:p w:rsidR="00A67605" w:rsidRDefault="00167A04">
      <w:pPr>
        <w:pStyle w:val="ListParagraph"/>
        <w:numPr>
          <w:ilvl w:val="0"/>
          <w:numId w:val="3"/>
        </w:numPr>
        <w:spacing w:before="40" w:after="60"/>
      </w:pPr>
      <w:r>
        <w:t>Complete all open referrals wherever possible before the closure date. Where this is not feasible, discuss with the affected employer and employee and, with the employee's consent, signpost or tra</w:t>
      </w:r>
      <w:r>
        <w:t>nsfer the case to an alternative provider.</w:t>
      </w:r>
    </w:p>
    <w:p w:rsidR="00A67605" w:rsidRDefault="00167A04">
      <w:pPr>
        <w:pStyle w:val="ListParagraph"/>
        <w:numPr>
          <w:ilvl w:val="0"/>
          <w:numId w:val="3"/>
        </w:numPr>
        <w:spacing w:before="40" w:after="60"/>
      </w:pPr>
      <w:r>
        <w:t>Confirm ongoing data retention arrangements — who will be responsible for secure storage and eventual destruction of records for the remainder of the applicable retention periods (</w:t>
      </w:r>
      <w:proofErr w:type="gramStart"/>
      <w:r>
        <w:t>see</w:t>
      </w:r>
      <w:proofErr w:type="gramEnd"/>
      <w:r>
        <w:t xml:space="preserve"> Section 8, point 7).</w:t>
      </w:r>
    </w:p>
    <w:p w:rsidR="00A67605" w:rsidRDefault="00167A04">
      <w:pPr>
        <w:pStyle w:val="ListParagraph"/>
        <w:numPr>
          <w:ilvl w:val="0"/>
          <w:numId w:val="3"/>
        </w:numPr>
        <w:spacing w:before="40" w:after="60"/>
      </w:pPr>
      <w:r>
        <w:t>Notify t</w:t>
      </w:r>
      <w:r>
        <w:t>he GMC of any relevant changes in line with registration requirements.</w:t>
      </w:r>
    </w:p>
    <w:p w:rsidR="00A67605" w:rsidRDefault="00167A04">
      <w:pPr>
        <w:pStyle w:val="ListParagraph"/>
        <w:numPr>
          <w:ilvl w:val="0"/>
          <w:numId w:val="3"/>
        </w:numPr>
        <w:spacing w:before="40" w:after="60"/>
      </w:pPr>
      <w:r>
        <w:t>Engage the accountant and solicitor for the formal closure of the company.</w:t>
      </w:r>
    </w:p>
    <w:p w:rsidR="00A67605" w:rsidRDefault="00167A04">
      <w:pPr>
        <w:pStyle w:val="ListParagraph"/>
        <w:numPr>
          <w:ilvl w:val="0"/>
          <w:numId w:val="3"/>
        </w:numPr>
        <w:spacing w:before="40" w:after="60"/>
      </w:pPr>
      <w:r>
        <w:t>Discuss 'run-off' indemnity cover with MPS — continued protection against claims that may arise after the prac</w:t>
      </w:r>
      <w:r>
        <w:t>tice has stopped trading but which relate to work carried out while practising. This is a standard consideration for closing sole practitioners and is best raised with MPS well before the closure date.</w:t>
      </w:r>
    </w:p>
    <w:p w:rsidR="00A67605" w:rsidRDefault="00167A04">
      <w:pPr>
        <w:pStyle w:val="ListParagraph"/>
        <w:numPr>
          <w:ilvl w:val="0"/>
          <w:numId w:val="3"/>
        </w:numPr>
        <w:spacing w:before="40" w:after="60"/>
      </w:pPr>
      <w:r>
        <w:t>Update the ICO registration to reflect closure, having</w:t>
      </w:r>
      <w:r>
        <w:t xml:space="preserve"> taken advice on responsibilities for any retained data.</w:t>
      </w:r>
    </w:p>
    <w:p w:rsidR="00A67605" w:rsidRDefault="00A67605">
      <w:pPr>
        <w:spacing w:before="80"/>
      </w:pPr>
    </w:p>
    <w:p w:rsidR="00A67605" w:rsidRDefault="00167A04">
      <w:pPr>
        <w:spacing w:before="400" w:after="120"/>
      </w:pPr>
      <w:r>
        <w:rPr>
          <w:b/>
          <w:bCs/>
          <w:color w:val="1B3A6B"/>
          <w:sz w:val="28"/>
          <w:szCs w:val="28"/>
        </w:rPr>
        <w:t>10.  Data Protection and Indemnity Continuity</w:t>
      </w:r>
    </w:p>
    <w:p w:rsidR="00A67605" w:rsidRDefault="00A67605">
      <w:pPr>
        <w:pBdr>
          <w:bottom w:val="single" w:sz="6" w:space="1" w:color="1B3A6B"/>
        </w:pBdr>
        <w:spacing w:before="60" w:after="200"/>
      </w:pPr>
    </w:p>
    <w:p w:rsidR="00A67605" w:rsidRDefault="00167A04">
      <w:pPr>
        <w:spacing w:before="280" w:after="100"/>
      </w:pPr>
      <w:proofErr w:type="gramStart"/>
      <w:r>
        <w:rPr>
          <w:b/>
          <w:bCs/>
          <w:color w:val="1B3A6B"/>
          <w:sz w:val="22"/>
          <w:szCs w:val="22"/>
        </w:rPr>
        <w:t>10.1  Data</w:t>
      </w:r>
      <w:proofErr w:type="gramEnd"/>
      <w:r>
        <w:rPr>
          <w:b/>
          <w:bCs/>
          <w:color w:val="1B3A6B"/>
          <w:sz w:val="22"/>
          <w:szCs w:val="22"/>
        </w:rPr>
        <w:t xml:space="preserve"> Protection</w:t>
      </w:r>
    </w:p>
    <w:p w:rsidR="00A67605" w:rsidRDefault="00167A04">
      <w:pPr>
        <w:spacing w:before="60" w:after="100"/>
      </w:pPr>
      <w:r>
        <w:rPr>
          <w:color w:val="1A1A2E"/>
        </w:rPr>
        <w:t>Obligations as a UK GDPR Data Controller do not end simply because HealthBridge stops trading. Retained personal data must contin</w:t>
      </w:r>
      <w:r>
        <w:rPr>
          <w:color w:val="1A1A2E"/>
        </w:rPr>
        <w:t>ue to be protected to the same standard, and eventually destroyed in line with the Medical Records Retention Policy. Responsibility for this must be clearly assigned in any continuity scenario — an unresolved question of 'who is looking after the old recor</w:t>
      </w:r>
      <w:r>
        <w:rPr>
          <w:color w:val="1A1A2E"/>
        </w:rPr>
        <w:t>ds' is itself a compliance failure.</w:t>
      </w:r>
    </w:p>
    <w:p w:rsidR="00A67605" w:rsidRDefault="00A67605">
      <w:pPr>
        <w:spacing w:before="80"/>
      </w:pPr>
    </w:p>
    <w:p w:rsidR="00A67605" w:rsidRDefault="00167A04">
      <w:pPr>
        <w:spacing w:before="280" w:after="100"/>
      </w:pPr>
      <w:proofErr w:type="gramStart"/>
      <w:r>
        <w:rPr>
          <w:b/>
          <w:bCs/>
          <w:color w:val="1B3A6B"/>
          <w:sz w:val="22"/>
          <w:szCs w:val="22"/>
        </w:rPr>
        <w:t>10.2  Professional</w:t>
      </w:r>
      <w:proofErr w:type="gramEnd"/>
      <w:r>
        <w:rPr>
          <w:b/>
          <w:bCs/>
          <w:color w:val="1B3A6B"/>
          <w:sz w:val="22"/>
          <w:szCs w:val="22"/>
        </w:rPr>
        <w:t xml:space="preserve"> Indemnity</w:t>
      </w:r>
    </w:p>
    <w:p w:rsidR="00A67605" w:rsidRDefault="00167A04">
      <w:pPr>
        <w:spacing w:before="60" w:after="100"/>
      </w:pPr>
      <w:r>
        <w:rPr>
          <w:color w:val="1A1A2E"/>
        </w:rPr>
        <w:t>MPS should be asked directly what happens to indemnity cover in the event of incapacity or closure, and specifically about run-off cover — continued protection against claims arising after p</w:t>
      </w:r>
      <w:r>
        <w:rPr>
          <w:color w:val="1A1A2E"/>
        </w:rPr>
        <w:t xml:space="preserve">ractice ceases, relating to historic work. This is worth </w:t>
      </w:r>
      <w:proofErr w:type="gramStart"/>
      <w:r>
        <w:rPr>
          <w:color w:val="1A1A2E"/>
        </w:rPr>
        <w:t>raising</w:t>
      </w:r>
      <w:proofErr w:type="gramEnd"/>
      <w:r>
        <w:rPr>
          <w:color w:val="1A1A2E"/>
        </w:rPr>
        <w:t xml:space="preserve"> with MPS proactively, rather than waiting for an event to force the question.</w:t>
      </w:r>
    </w:p>
    <w:p w:rsidR="00A67605" w:rsidRDefault="00A67605">
      <w:pPr>
        <w:spacing w:before="60"/>
      </w:pPr>
    </w:p>
    <w:p w:rsidR="00A67605" w:rsidRDefault="00167A04">
      <w:pPr>
        <w:spacing w:before="60" w:after="100"/>
      </w:pPr>
      <w:r>
        <w:rPr>
          <w:color w:val="1A1A2E"/>
        </w:rPr>
        <w:t>MPS membership number, the GMC registration number, and the ICO registration number should all be kept current i</w:t>
      </w:r>
      <w:r>
        <w:rPr>
          <w:color w:val="1A1A2E"/>
        </w:rPr>
        <w:t>n the Emergency Access Pack, along with MPS's emergency contact line.</w:t>
      </w:r>
    </w:p>
    <w:p w:rsidR="00A67605" w:rsidRDefault="00A67605">
      <w:pPr>
        <w:spacing w:before="80"/>
      </w:pPr>
    </w:p>
    <w:p w:rsidR="00A67605" w:rsidRDefault="00167A04">
      <w:pPr>
        <w:spacing w:before="400" w:after="120"/>
      </w:pPr>
      <w:r>
        <w:rPr>
          <w:b/>
          <w:bCs/>
          <w:color w:val="1B3A6B"/>
          <w:sz w:val="28"/>
          <w:szCs w:val="28"/>
        </w:rPr>
        <w:lastRenderedPageBreak/>
        <w:t>11.  Notifying Clients</w:t>
      </w:r>
    </w:p>
    <w:p w:rsidR="00A67605" w:rsidRDefault="00A67605">
      <w:pPr>
        <w:pBdr>
          <w:bottom w:val="single" w:sz="6" w:space="1" w:color="1B3A6B"/>
        </w:pBdr>
        <w:spacing w:before="60" w:after="200"/>
      </w:pPr>
    </w:p>
    <w:p w:rsidR="00A67605" w:rsidRDefault="00167A04">
      <w:pPr>
        <w:spacing w:before="60" w:after="100"/>
      </w:pPr>
      <w:r>
        <w:rPr>
          <w:color w:val="1A1A2E"/>
        </w:rPr>
        <w:t>Pre-preparing notice wording means the nominated contact does not need to compose a message under pressure. Two example templates are set out below as a starting</w:t>
      </w:r>
      <w:r>
        <w:rPr>
          <w:color w:val="1A1A2E"/>
        </w:rPr>
        <w:t xml:space="preserve"> point — the full versions, completed with real details, should be kept in the Emergency Access Pack.</w:t>
      </w:r>
    </w:p>
    <w:p w:rsidR="00A67605" w:rsidRDefault="00A67605">
      <w:pPr>
        <w:spacing w:before="60"/>
      </w:pPr>
    </w:p>
    <w:p w:rsidR="00A67605" w:rsidRDefault="00167A04">
      <w:pPr>
        <w:spacing w:before="280" w:after="100"/>
      </w:pPr>
      <w:proofErr w:type="gramStart"/>
      <w:r>
        <w:rPr>
          <w:b/>
          <w:bCs/>
          <w:color w:val="1B3A6B"/>
          <w:sz w:val="22"/>
          <w:szCs w:val="22"/>
        </w:rPr>
        <w:t>11.1  Example</w:t>
      </w:r>
      <w:proofErr w:type="gramEnd"/>
      <w:r>
        <w:rPr>
          <w:b/>
          <w:bCs/>
          <w:color w:val="1B3A6B"/>
          <w:sz w:val="22"/>
          <w:szCs w:val="22"/>
        </w:rPr>
        <w:t xml:space="preserve"> Holding Notice (Short-Term Incapacity)</w:t>
      </w:r>
    </w:p>
    <w:tbl>
      <w:tblPr>
        <w:tblW w:w="9026"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A67605">
        <w:tblPrEx>
          <w:tblCellMar>
            <w:top w:w="0" w:type="dxa"/>
            <w:bottom w:w="0" w:type="dxa"/>
          </w:tblCellMar>
        </w:tblPrEx>
        <w:tc>
          <w:tcPr>
            <w:tcW w:w="9026" w:type="dxa"/>
            <w:tcBorders>
              <w:top w:val="single" w:sz="2" w:space="0" w:color="C5CEDE"/>
              <w:left w:val="single" w:sz="14" w:space="0" w:color="6B7280"/>
              <w:bottom w:val="single" w:sz="2" w:space="0" w:color="C5CEDE"/>
              <w:right w:val="single" w:sz="2" w:space="0" w:color="C5CEDE"/>
            </w:tcBorders>
            <w:shd w:val="clear" w:color="auto" w:fill="F5F5F7"/>
            <w:tcMar>
              <w:top w:w="180" w:type="dxa"/>
              <w:left w:w="280" w:type="dxa"/>
              <w:bottom w:w="180" w:type="dxa"/>
              <w:right w:w="280" w:type="dxa"/>
            </w:tcMar>
          </w:tcPr>
          <w:p w:rsidR="00A67605" w:rsidRDefault="00167A04">
            <w:r>
              <w:rPr>
                <w:i/>
                <w:iCs/>
                <w:color w:val="1A1A2E"/>
                <w:sz w:val="19"/>
                <w:szCs w:val="19"/>
              </w:rPr>
              <w:t>Due to unforeseen circumstances, Dr. Stanley is temporarily unable to conduct assessments. We expect to resume normal service by [date] and will update you as soon as we are able to confirm this. No cancellation fee applies to any appointment affected by t</w:t>
            </w:r>
            <w:r>
              <w:rPr>
                <w:i/>
                <w:iCs/>
                <w:color w:val="1A1A2E"/>
                <w:sz w:val="19"/>
                <w:szCs w:val="19"/>
              </w:rPr>
              <w:t>his delay, and we will contact you directly to rearrange.</w:t>
            </w:r>
          </w:p>
        </w:tc>
      </w:tr>
    </w:tbl>
    <w:p w:rsidR="00A67605" w:rsidRDefault="00A67605">
      <w:pPr>
        <w:spacing w:before="80"/>
      </w:pPr>
    </w:p>
    <w:p w:rsidR="00A67605" w:rsidRDefault="00167A04">
      <w:pPr>
        <w:spacing w:before="280" w:after="100"/>
      </w:pPr>
      <w:proofErr w:type="gramStart"/>
      <w:r>
        <w:rPr>
          <w:b/>
          <w:bCs/>
          <w:color w:val="1B3A6B"/>
          <w:sz w:val="22"/>
          <w:szCs w:val="22"/>
        </w:rPr>
        <w:t>11.2  Example</w:t>
      </w:r>
      <w:proofErr w:type="gramEnd"/>
      <w:r>
        <w:rPr>
          <w:b/>
          <w:bCs/>
          <w:color w:val="1B3A6B"/>
          <w:sz w:val="22"/>
          <w:szCs w:val="22"/>
        </w:rPr>
        <w:t xml:space="preserve"> Closure Notice (Long-Term Incapacity, Death, or Wind-Down)</w:t>
      </w:r>
    </w:p>
    <w:tbl>
      <w:tblPr>
        <w:tblW w:w="9026"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A67605">
        <w:tblPrEx>
          <w:tblCellMar>
            <w:top w:w="0" w:type="dxa"/>
            <w:bottom w:w="0" w:type="dxa"/>
          </w:tblCellMar>
        </w:tblPrEx>
        <w:tc>
          <w:tcPr>
            <w:tcW w:w="9026" w:type="dxa"/>
            <w:tcBorders>
              <w:top w:val="single" w:sz="2" w:space="0" w:color="C5CEDE"/>
              <w:left w:val="single" w:sz="14" w:space="0" w:color="6B7280"/>
              <w:bottom w:val="single" w:sz="2" w:space="0" w:color="C5CEDE"/>
              <w:right w:val="single" w:sz="2" w:space="0" w:color="C5CEDE"/>
            </w:tcBorders>
            <w:shd w:val="clear" w:color="auto" w:fill="F5F5F7"/>
            <w:tcMar>
              <w:top w:w="180" w:type="dxa"/>
              <w:left w:w="280" w:type="dxa"/>
              <w:bottom w:w="180" w:type="dxa"/>
              <w:right w:w="280" w:type="dxa"/>
            </w:tcMar>
          </w:tcPr>
          <w:p w:rsidR="00A67605" w:rsidRDefault="00167A04">
            <w:r>
              <w:rPr>
                <w:i/>
                <w:iCs/>
                <w:color w:val="1A1A2E"/>
                <w:sz w:val="19"/>
                <w:szCs w:val="19"/>
              </w:rPr>
              <w:t>We are writing to let you know that HealthBridge Occupational Health Ltd is no longer able to provide occupational health s</w:t>
            </w:r>
            <w:r>
              <w:rPr>
                <w:i/>
                <w:iCs/>
                <w:color w:val="1A1A2E"/>
                <w:sz w:val="19"/>
                <w:szCs w:val="19"/>
              </w:rPr>
              <w:t>ervices [from [date] / with immediate effect]. We recommend that you seek alternative occupational health provision for any open or upcoming referral as soon as possible. Records relating to your case will continue to be held securely in accordance with ou</w:t>
            </w:r>
            <w:r>
              <w:rPr>
                <w:i/>
                <w:iCs/>
                <w:color w:val="1A1A2E"/>
                <w:sz w:val="19"/>
                <w:szCs w:val="19"/>
              </w:rPr>
              <w:t>r published retention policy. If you have any questions, please contact [nominated contact name and details].</w:t>
            </w:r>
          </w:p>
        </w:tc>
      </w:tr>
    </w:tbl>
    <w:p w:rsidR="00A67605" w:rsidRDefault="00A67605">
      <w:pPr>
        <w:spacing w:before="80"/>
      </w:pPr>
    </w:p>
    <w:p w:rsidR="00A67605" w:rsidRDefault="00167A04">
      <w:pPr>
        <w:spacing w:before="400" w:after="120"/>
      </w:pPr>
      <w:r>
        <w:rPr>
          <w:b/>
          <w:bCs/>
          <w:color w:val="1B3A6B"/>
          <w:sz w:val="28"/>
          <w:szCs w:val="28"/>
        </w:rPr>
        <w:t>12.  Reviewing and Testing This Plan</w:t>
      </w:r>
    </w:p>
    <w:p w:rsidR="00A67605" w:rsidRDefault="00A67605">
      <w:pPr>
        <w:pBdr>
          <w:bottom w:val="single" w:sz="6" w:space="1" w:color="1B3A6B"/>
        </w:pBdr>
        <w:spacing w:before="60" w:after="200"/>
      </w:pPr>
    </w:p>
    <w:p w:rsidR="00A67605" w:rsidRDefault="00167A04">
      <w:pPr>
        <w:pStyle w:val="ListParagraph"/>
        <w:numPr>
          <w:ilvl w:val="0"/>
          <w:numId w:val="2"/>
        </w:numPr>
        <w:spacing w:before="40" w:after="40"/>
      </w:pPr>
      <w:r>
        <w:t>This policy and the Emergency Access Pack are reviewed together at least annually, alongside the wider annual policy review cycle.</w:t>
      </w:r>
    </w:p>
    <w:p w:rsidR="00A67605" w:rsidRDefault="00167A04">
      <w:pPr>
        <w:pStyle w:val="ListParagraph"/>
        <w:numPr>
          <w:ilvl w:val="0"/>
          <w:numId w:val="2"/>
        </w:numPr>
        <w:spacing w:before="40" w:after="40"/>
      </w:pPr>
      <w:r>
        <w:t>A simple annual test is recommended: briefly confirm with the nominated contact that they still know the Emergency Access Pac</w:t>
      </w:r>
      <w:r>
        <w:t>k exists, broadly where it is held, and what their role would be — without needing to rehearse the full procedure in detail.</w:t>
      </w:r>
    </w:p>
    <w:p w:rsidR="00A67605" w:rsidRDefault="00167A04">
      <w:pPr>
        <w:pStyle w:val="ListParagraph"/>
        <w:numPr>
          <w:ilvl w:val="0"/>
          <w:numId w:val="2"/>
        </w:numPr>
        <w:spacing w:before="40" w:after="40"/>
      </w:pPr>
      <w:r>
        <w:t>The plan should be reviewed immediately, outside the normal annual cycle, whenever a key system, contact, indemnity arrangement, or</w:t>
      </w:r>
      <w:r>
        <w:t xml:space="preserve"> business circumstance changes materially.</w:t>
      </w:r>
    </w:p>
    <w:p w:rsidR="00A67605" w:rsidRDefault="00A67605">
      <w:pPr>
        <w:spacing w:before="80"/>
      </w:pPr>
    </w:p>
    <w:p w:rsidR="00A67605" w:rsidRDefault="00167A04">
      <w:pPr>
        <w:spacing w:before="400" w:after="120"/>
      </w:pPr>
      <w:r>
        <w:rPr>
          <w:b/>
          <w:bCs/>
          <w:color w:val="1B3A6B"/>
          <w:sz w:val="28"/>
          <w:szCs w:val="28"/>
        </w:rPr>
        <w:t>13.  Practical Next Steps</w:t>
      </w:r>
    </w:p>
    <w:p w:rsidR="00A67605" w:rsidRDefault="00A67605">
      <w:pPr>
        <w:pBdr>
          <w:bottom w:val="single" w:sz="6" w:space="1" w:color="1B3A6B"/>
        </w:pBdr>
        <w:spacing w:before="60" w:after="200"/>
      </w:pPr>
    </w:p>
    <w:p w:rsidR="00A67605" w:rsidRDefault="00167A04">
      <w:pPr>
        <w:spacing w:before="60" w:after="100"/>
      </w:pPr>
      <w:r>
        <w:rPr>
          <w:color w:val="1A1A2E"/>
        </w:rPr>
        <w:t>This section is the direct answer to 'how do we actually go about this.' These are the concrete actions to complete in order to make this policy real rather than theoretical:</w:t>
      </w:r>
    </w:p>
    <w:p w:rsidR="00A67605" w:rsidRDefault="00A67605">
      <w:pPr>
        <w:spacing w:before="60"/>
      </w:pPr>
    </w:p>
    <w:p w:rsidR="00A67605" w:rsidRDefault="00167A04">
      <w:pPr>
        <w:pStyle w:val="ListParagraph"/>
        <w:numPr>
          <w:ilvl w:val="0"/>
          <w:numId w:val="2"/>
        </w:numPr>
        <w:spacing w:before="40" w:after="40"/>
      </w:pPr>
      <w:r>
        <w:t xml:space="preserve">Identify and approach a nominated contact — and, ideally, a second contact who is a clinical colleague able to </w:t>
      </w:r>
      <w:proofErr w:type="gramStart"/>
      <w:r>
        <w:t>advise</w:t>
      </w:r>
      <w:proofErr w:type="gramEnd"/>
      <w:r>
        <w:t xml:space="preserve"> on open cases in an emergency.</w:t>
      </w:r>
    </w:p>
    <w:p w:rsidR="00A67605" w:rsidRDefault="00167A04">
      <w:pPr>
        <w:pStyle w:val="ListParagraph"/>
        <w:numPr>
          <w:ilvl w:val="0"/>
          <w:numId w:val="2"/>
        </w:numPr>
        <w:spacing w:before="40" w:after="40"/>
      </w:pPr>
      <w:r>
        <w:t xml:space="preserve">Set up a password manager with an emergency access or legacy contact feature, or arrange secure credential </w:t>
      </w:r>
      <w:r>
        <w:t>storage with a solicitor.</w:t>
      </w:r>
    </w:p>
    <w:p w:rsidR="00A67605" w:rsidRDefault="00167A04">
      <w:pPr>
        <w:pStyle w:val="ListParagraph"/>
        <w:numPr>
          <w:ilvl w:val="0"/>
          <w:numId w:val="2"/>
        </w:numPr>
        <w:spacing w:before="40" w:after="40"/>
      </w:pPr>
      <w:r>
        <w:t>Create the Emergency Access Pack, using the contents list in Section 5.1, and store it securely outside this policy document.</w:t>
      </w:r>
    </w:p>
    <w:p w:rsidR="00A67605" w:rsidRDefault="00167A04">
      <w:pPr>
        <w:pStyle w:val="ListParagraph"/>
        <w:numPr>
          <w:ilvl w:val="0"/>
          <w:numId w:val="2"/>
        </w:numPr>
        <w:spacing w:before="40" w:after="40"/>
      </w:pPr>
      <w:r>
        <w:t>Call MPS to discuss continuity guidance for sole practitioners and ask specifically about run-off cover.</w:t>
      </w:r>
    </w:p>
    <w:p w:rsidR="00A67605" w:rsidRDefault="00167A04">
      <w:pPr>
        <w:pStyle w:val="ListParagraph"/>
        <w:numPr>
          <w:ilvl w:val="0"/>
          <w:numId w:val="2"/>
        </w:numPr>
        <w:spacing w:before="40" w:after="40"/>
      </w:pPr>
      <w:r>
        <w:lastRenderedPageBreak/>
        <w:t>Start keeping the Active Case Log described in Section 6 as part of routine practice, if not already doing so.</w:t>
      </w:r>
    </w:p>
    <w:p w:rsidR="00A67605" w:rsidRDefault="00167A04">
      <w:pPr>
        <w:pStyle w:val="ListParagraph"/>
        <w:numPr>
          <w:ilvl w:val="0"/>
          <w:numId w:val="2"/>
        </w:numPr>
        <w:spacing w:before="40" w:after="40"/>
      </w:pPr>
      <w:r>
        <w:t>Diarise an annual review of this policy and the Emergency Access Pack together.</w:t>
      </w:r>
    </w:p>
    <w:p w:rsidR="00A67605" w:rsidRDefault="00167A04">
      <w:pPr>
        <w:pStyle w:val="ListParagraph"/>
        <w:numPr>
          <w:ilvl w:val="0"/>
          <w:numId w:val="2"/>
        </w:numPr>
        <w:spacing w:before="40" w:after="40"/>
      </w:pPr>
      <w:r>
        <w:t>Consider identifying a trusted, OH-experienced GP colleague — pe</w:t>
      </w:r>
      <w:r>
        <w:t>rhaps through the NHS out-of-hours network — who could be approached for occasional ad hoc cover or a second opinion in a genuine emergency.</w:t>
      </w:r>
    </w:p>
    <w:p w:rsidR="00A67605" w:rsidRDefault="00A67605">
      <w:pPr>
        <w:spacing w:before="80"/>
      </w:pPr>
    </w:p>
    <w:p w:rsidR="00A67605" w:rsidRDefault="00167A04">
      <w:pPr>
        <w:spacing w:before="400" w:after="120"/>
      </w:pPr>
      <w:r>
        <w:rPr>
          <w:b/>
          <w:bCs/>
          <w:color w:val="1B3A6B"/>
          <w:sz w:val="28"/>
          <w:szCs w:val="28"/>
        </w:rPr>
        <w:t>14.  Policy Review</w:t>
      </w:r>
    </w:p>
    <w:p w:rsidR="00A67605" w:rsidRDefault="00A67605">
      <w:pPr>
        <w:pBdr>
          <w:bottom w:val="single" w:sz="6" w:space="1" w:color="1B3A6B"/>
        </w:pBdr>
        <w:spacing w:before="60" w:after="200"/>
      </w:pPr>
    </w:p>
    <w:p w:rsidR="00A67605" w:rsidRDefault="00167A04">
      <w:pPr>
        <w:pStyle w:val="ListParagraph"/>
        <w:numPr>
          <w:ilvl w:val="0"/>
          <w:numId w:val="2"/>
        </w:numPr>
        <w:spacing w:before="40" w:after="40"/>
      </w:pPr>
      <w:r>
        <w:t>Formal annual review — next scheduled: 13 June 2027.</w:t>
      </w:r>
    </w:p>
    <w:p w:rsidR="00A67605" w:rsidRDefault="00167A04">
      <w:pPr>
        <w:pStyle w:val="ListParagraph"/>
        <w:numPr>
          <w:ilvl w:val="0"/>
          <w:numId w:val="2"/>
        </w:numPr>
        <w:spacing w:before="40" w:after="40"/>
      </w:pPr>
      <w:r>
        <w:t>Ad-hoc review following: any change to th</w:t>
      </w:r>
      <w:r>
        <w:t>e nominated contact, indemnity provider, key business systems, or company structure; any occasion on which this plan is actually used, however briefly, to capture lessons learned.</w:t>
      </w:r>
    </w:p>
    <w:p w:rsidR="00A67605" w:rsidRDefault="00167A04">
      <w:pPr>
        <w:pStyle w:val="ListParagraph"/>
        <w:numPr>
          <w:ilvl w:val="0"/>
          <w:numId w:val="2"/>
        </w:numPr>
        <w:spacing w:before="40" w:after="40"/>
      </w:pPr>
      <w:r>
        <w:t xml:space="preserve">This policy is read in conjunction with the Clinical Governance Policy, the </w:t>
      </w:r>
      <w:r>
        <w:t>Medical Records Retention Policy, and the Confidentiality Policy.</w:t>
      </w:r>
    </w:p>
    <w:p w:rsidR="00A67605" w:rsidRDefault="00A67605">
      <w:pPr>
        <w:spacing w:before="80"/>
      </w:pPr>
    </w:p>
    <w:p w:rsidR="00A67605" w:rsidRDefault="00167A04">
      <w:pPr>
        <w:spacing w:before="400" w:after="120"/>
      </w:pPr>
      <w:r>
        <w:rPr>
          <w:b/>
          <w:bCs/>
          <w:color w:val="1B3A6B"/>
          <w:sz w:val="28"/>
          <w:szCs w:val="28"/>
        </w:rPr>
        <w:t>15.  Version Control</w:t>
      </w:r>
    </w:p>
    <w:p w:rsidR="00A67605" w:rsidRDefault="00A67605">
      <w:pPr>
        <w:pBdr>
          <w:bottom w:val="single" w:sz="6" w:space="1" w:color="1B3A6B"/>
        </w:pBdr>
        <w:spacing w:before="60" w:after="200"/>
      </w:pPr>
    </w:p>
    <w:p w:rsidR="00A67605" w:rsidRDefault="00A67605">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A67605">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A67605" w:rsidRDefault="00167A04">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A67605" w:rsidRDefault="00167A04">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A67605" w:rsidRDefault="00167A04">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A67605" w:rsidRDefault="00167A04">
            <w:r>
              <w:rPr>
                <w:b/>
                <w:bCs/>
                <w:color w:val="FFFFFF"/>
                <w:sz w:val="19"/>
                <w:szCs w:val="19"/>
              </w:rPr>
              <w:t>Approved By</w:t>
            </w:r>
          </w:p>
        </w:tc>
      </w:tr>
      <w:tr w:rsidR="00A67605">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Initial policy created — new addition to the HealthBridge policy suite, addressing continuity planning for a sole-practitioner business across short-term incapacity, long-term incapacity or death, and voluntary closure scenarios.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Dr. James Stanley</w:t>
            </w:r>
          </w:p>
        </w:tc>
      </w:tr>
      <w:tr w:rsidR="00A67605">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1.1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167A04">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A67605"/>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A67605" w:rsidRDefault="00A67605"/>
        </w:tc>
      </w:tr>
    </w:tbl>
    <w:p w:rsidR="00A67605" w:rsidRDefault="00A67605">
      <w:pPr>
        <w:spacing w:before="160"/>
      </w:pPr>
    </w:p>
    <w:p w:rsidR="00A67605" w:rsidRDefault="00167A04">
      <w:pPr>
        <w:spacing w:before="60" w:after="100"/>
      </w:pPr>
      <w:r>
        <w:rPr>
          <w:b/>
          <w:bCs/>
          <w:color w:val="1A1A2E"/>
        </w:rPr>
        <w:t>Approved by: Dr. James Stanley, Clinical Lead</w:t>
      </w:r>
    </w:p>
    <w:p w:rsidR="00A67605" w:rsidRDefault="00167A04">
      <w:pPr>
        <w:spacing w:before="60" w:after="100"/>
      </w:pPr>
      <w:r>
        <w:rPr>
          <w:color w:val="1A1A2E"/>
        </w:rPr>
        <w:t>GMC Registration No: 7285162</w:t>
      </w:r>
    </w:p>
    <w:p w:rsidR="00A67605" w:rsidRDefault="00167A04">
      <w:pPr>
        <w:spacing w:before="60" w:after="100"/>
      </w:pPr>
      <w:r>
        <w:rPr>
          <w:color w:val="1A1A2E"/>
        </w:rPr>
        <w:t>Contact: contact@healthbridge.org.uk</w:t>
      </w:r>
    </w:p>
    <w:p w:rsidR="00A67605" w:rsidRDefault="00A67605">
      <w:pPr>
        <w:spacing w:before="60"/>
      </w:pPr>
    </w:p>
    <w:p w:rsidR="00A67605" w:rsidRDefault="00167A04">
      <w:pPr>
        <w:spacing w:before="60" w:after="100"/>
      </w:pPr>
      <w:r>
        <w:rPr>
          <w:i/>
          <w:iCs/>
          <w:color w:val="6B7280"/>
        </w:rPr>
        <w:t xml:space="preserve">HealthBridge Occupational Health </w:t>
      </w:r>
      <w:proofErr w:type="gramStart"/>
      <w:r>
        <w:rPr>
          <w:i/>
          <w:iCs/>
          <w:color w:val="6B7280"/>
        </w:rPr>
        <w:t>Ltd  |</w:t>
      </w:r>
      <w:proofErr w:type="gramEnd"/>
      <w:r>
        <w:rPr>
          <w:i/>
          <w:iCs/>
          <w:color w:val="6B7280"/>
        </w:rPr>
        <w:t xml:space="preserve">  Company No: 16615396</w:t>
      </w:r>
    </w:p>
    <w:p w:rsidR="00A67605" w:rsidRDefault="00167A04">
      <w:pPr>
        <w:spacing w:before="60" w:after="100"/>
      </w:pPr>
      <w:r>
        <w:rPr>
          <w:i/>
          <w:iCs/>
          <w:color w:val="6B7280"/>
        </w:rPr>
        <w:t xml:space="preserve">Registered Address: 50 </w:t>
      </w:r>
      <w:proofErr w:type="spellStart"/>
      <w:r>
        <w:rPr>
          <w:i/>
          <w:iCs/>
          <w:color w:val="6B7280"/>
        </w:rPr>
        <w:t>Hadow</w:t>
      </w:r>
      <w:proofErr w:type="spellEnd"/>
      <w:r>
        <w:rPr>
          <w:i/>
          <w:iCs/>
          <w:color w:val="6B7280"/>
        </w:rPr>
        <w:t xml:space="preserve"> Way, Gloucester, GL2 4YJ</w:t>
      </w:r>
    </w:p>
    <w:p w:rsidR="00A67605" w:rsidRDefault="00167A04">
      <w:pPr>
        <w:spacing w:before="60" w:after="100"/>
      </w:pPr>
      <w:proofErr w:type="gramStart"/>
      <w:r>
        <w:rPr>
          <w:i/>
          <w:iCs/>
          <w:color w:val="6B7280"/>
        </w:rPr>
        <w:t>© HealthBridge Occupational Health Ltd. Unauthorised distribution prohibited.</w:t>
      </w:r>
      <w:proofErr w:type="gramEnd"/>
    </w:p>
    <w:sectPr w:rsidR="00A67605" w:rsidSect="00A67605">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605" w:rsidRDefault="00A67605" w:rsidP="00A67605">
      <w:r>
        <w:separator/>
      </w:r>
    </w:p>
  </w:endnote>
  <w:endnote w:type="continuationSeparator" w:id="0">
    <w:p w:rsidR="00A67605" w:rsidRDefault="00A67605" w:rsidP="00A676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605" w:rsidRDefault="00167A04">
    <w:pPr>
      <w:pBdr>
        <w:top w:val="single" w:sz="4" w:space="2" w:color="1B3A6B"/>
      </w:pBdr>
      <w:tabs>
        <w:tab w:val="right" w:pos="9026"/>
      </w:tabs>
      <w:spacing w:before="120"/>
    </w:pPr>
    <w:r>
      <w:rPr>
        <w:color w:val="6B7280"/>
        <w:sz w:val="16"/>
        <w:szCs w:val="16"/>
      </w:rPr>
      <w:t>Hea</w:t>
    </w:r>
    <w:r>
      <w:rPr>
        <w:color w:val="6B7280"/>
        <w:sz w:val="16"/>
        <w:szCs w:val="16"/>
      </w:rPr>
      <w:t xml:space="preserve">lthBridge Occupational Health </w:t>
    </w:r>
    <w:proofErr w:type="gramStart"/>
    <w:r>
      <w:rPr>
        <w:color w:val="6B7280"/>
        <w:sz w:val="16"/>
        <w:szCs w:val="16"/>
      </w:rPr>
      <w:t>Ltd  |</w:t>
    </w:r>
    <w:proofErr w:type="gramEnd"/>
    <w:r>
      <w:rPr>
        <w:color w:val="6B7280"/>
        <w:sz w:val="16"/>
        <w:szCs w:val="16"/>
      </w:rPr>
      <w:t xml:space="preserve">  Co. No: </w:t>
    </w:r>
    <w:proofErr w:type="gramStart"/>
    <w:r>
      <w:rPr>
        <w:color w:val="6B7280"/>
        <w:sz w:val="16"/>
        <w:szCs w:val="16"/>
      </w:rPr>
      <w:t>16615396  |</w:t>
    </w:r>
    <w:proofErr w:type="gramEnd"/>
    <w:r>
      <w:rPr>
        <w:color w:val="6B7280"/>
        <w:sz w:val="16"/>
        <w:szCs w:val="16"/>
      </w:rPr>
      <w:t xml:space="preserve">  50 </w:t>
    </w:r>
    <w:proofErr w:type="spellStart"/>
    <w:r>
      <w:rPr>
        <w:color w:val="6B7280"/>
        <w:sz w:val="16"/>
        <w:szCs w:val="16"/>
      </w:rPr>
      <w:t>Hadow</w:t>
    </w:r>
    <w:proofErr w:type="spellEnd"/>
    <w:r>
      <w:rPr>
        <w:color w:val="6B7280"/>
        <w:sz w:val="16"/>
        <w:szCs w:val="16"/>
      </w:rPr>
      <w:t xml:space="preserve"> Way, Gloucester, GL2 4YJ</w:t>
    </w:r>
    <w:r>
      <w:rPr>
        <w:color w:val="6B7280"/>
        <w:sz w:val="16"/>
        <w:szCs w:val="16"/>
      </w:rPr>
      <w:tab/>
      <w:t xml:space="preserve">Page </w:t>
    </w:r>
    <w:r w:rsidR="00A67605">
      <w:rPr>
        <w:color w:val="6B7280"/>
        <w:sz w:val="16"/>
        <w:szCs w:val="16"/>
      </w:rPr>
      <w:fldChar w:fldCharType="begin"/>
    </w:r>
    <w:r>
      <w:rPr>
        <w:color w:val="6B7280"/>
        <w:sz w:val="16"/>
        <w:szCs w:val="16"/>
      </w:rPr>
      <w:instrText>PAGE</w:instrText>
    </w:r>
    <w:r w:rsidR="00395F25">
      <w:rPr>
        <w:color w:val="6B7280"/>
        <w:sz w:val="16"/>
        <w:szCs w:val="16"/>
      </w:rPr>
      <w:fldChar w:fldCharType="separate"/>
    </w:r>
    <w:r w:rsidR="00395F25">
      <w:rPr>
        <w:noProof/>
        <w:color w:val="6B7280"/>
        <w:sz w:val="16"/>
        <w:szCs w:val="16"/>
      </w:rPr>
      <w:t>2</w:t>
    </w:r>
    <w:r w:rsidR="00A67605">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605" w:rsidRDefault="00A67605" w:rsidP="00A67605">
      <w:r>
        <w:separator/>
      </w:r>
    </w:p>
  </w:footnote>
  <w:footnote w:type="continuationSeparator" w:id="0">
    <w:p w:rsidR="00A67605" w:rsidRDefault="00A67605" w:rsidP="00A676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605" w:rsidRDefault="00167A04">
    <w:pPr>
      <w:tabs>
        <w:tab w:val="right" w:pos="9026"/>
      </w:tabs>
      <w:spacing w:after="100"/>
    </w:pPr>
    <w:r>
      <w:rPr>
        <w:color w:val="6B7280"/>
        <w:sz w:val="16"/>
        <w:szCs w:val="16"/>
      </w:rPr>
      <w:t xml:space="preserve">Version </w:t>
    </w:r>
    <w:proofErr w:type="gramStart"/>
    <w:r>
      <w:rPr>
        <w:color w:val="6B7280"/>
        <w:sz w:val="16"/>
        <w:szCs w:val="16"/>
      </w:rPr>
      <w:t>1.0  |</w:t>
    </w:r>
    <w:proofErr w:type="gramEnd"/>
    <w:r>
      <w:rPr>
        <w:color w:val="6B7280"/>
        <w:sz w:val="16"/>
        <w:szCs w:val="16"/>
      </w:rPr>
      <w:t xml:space="preserve">  Effective: 13/06/2026  |  Owner: Dr. James Stanley  |  GMC: 7285162</w:t>
    </w:r>
    <w:r>
      <w:rPr>
        <w:color w:val="6B7280"/>
        <w:sz w:val="16"/>
        <w:szCs w:val="16"/>
      </w:rPr>
      <w:tab/>
      <w:t>Next Review: 13/06/2027</w:t>
    </w:r>
  </w:p>
  <w:p w:rsidR="00A67605" w:rsidRDefault="00A67605">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34F48"/>
    <w:multiLevelType w:val="hybridMultilevel"/>
    <w:tmpl w:val="893A1EB2"/>
    <w:lvl w:ilvl="0" w:tplc="FC4C95F6">
      <w:start w:val="1"/>
      <w:numFmt w:val="bullet"/>
      <w:lvlText w:val="•"/>
      <w:lvlJc w:val="left"/>
      <w:pPr>
        <w:ind w:left="540" w:hanging="360"/>
      </w:pPr>
    </w:lvl>
    <w:lvl w:ilvl="1" w:tplc="7B3E7FD6">
      <w:numFmt w:val="decimal"/>
      <w:lvlText w:val=""/>
      <w:lvlJc w:val="left"/>
    </w:lvl>
    <w:lvl w:ilvl="2" w:tplc="B8D8EE28">
      <w:numFmt w:val="decimal"/>
      <w:lvlText w:val=""/>
      <w:lvlJc w:val="left"/>
    </w:lvl>
    <w:lvl w:ilvl="3" w:tplc="FFD09D1E">
      <w:numFmt w:val="decimal"/>
      <w:lvlText w:val=""/>
      <w:lvlJc w:val="left"/>
    </w:lvl>
    <w:lvl w:ilvl="4" w:tplc="16BC8A28">
      <w:numFmt w:val="decimal"/>
      <w:lvlText w:val=""/>
      <w:lvlJc w:val="left"/>
    </w:lvl>
    <w:lvl w:ilvl="5" w:tplc="BBCAB886">
      <w:numFmt w:val="decimal"/>
      <w:lvlText w:val=""/>
      <w:lvlJc w:val="left"/>
    </w:lvl>
    <w:lvl w:ilvl="6" w:tplc="695A1F60">
      <w:numFmt w:val="decimal"/>
      <w:lvlText w:val=""/>
      <w:lvlJc w:val="left"/>
    </w:lvl>
    <w:lvl w:ilvl="7" w:tplc="2F5C4F5C">
      <w:numFmt w:val="decimal"/>
      <w:lvlText w:val=""/>
      <w:lvlJc w:val="left"/>
    </w:lvl>
    <w:lvl w:ilvl="8" w:tplc="D4C29104">
      <w:numFmt w:val="decimal"/>
      <w:lvlText w:val=""/>
      <w:lvlJc w:val="left"/>
    </w:lvl>
  </w:abstractNum>
  <w:abstractNum w:abstractNumId="1">
    <w:nsid w:val="22AB3414"/>
    <w:multiLevelType w:val="hybridMultilevel"/>
    <w:tmpl w:val="C5F257FC"/>
    <w:lvl w:ilvl="0" w:tplc="B16E5BD8">
      <w:start w:val="1"/>
      <w:numFmt w:val="bullet"/>
      <w:lvlText w:val="●"/>
      <w:lvlJc w:val="left"/>
      <w:pPr>
        <w:ind w:left="720" w:hanging="360"/>
      </w:pPr>
    </w:lvl>
    <w:lvl w:ilvl="1" w:tplc="09E636F8">
      <w:start w:val="1"/>
      <w:numFmt w:val="bullet"/>
      <w:lvlText w:val="○"/>
      <w:lvlJc w:val="left"/>
      <w:pPr>
        <w:ind w:left="1440" w:hanging="360"/>
      </w:pPr>
    </w:lvl>
    <w:lvl w:ilvl="2" w:tplc="53B0FD36">
      <w:start w:val="1"/>
      <w:numFmt w:val="bullet"/>
      <w:lvlText w:val="■"/>
      <w:lvlJc w:val="left"/>
      <w:pPr>
        <w:ind w:left="2160" w:hanging="360"/>
      </w:pPr>
    </w:lvl>
    <w:lvl w:ilvl="3" w:tplc="A810DC7E">
      <w:start w:val="1"/>
      <w:numFmt w:val="bullet"/>
      <w:lvlText w:val="●"/>
      <w:lvlJc w:val="left"/>
      <w:pPr>
        <w:ind w:left="2880" w:hanging="360"/>
      </w:pPr>
    </w:lvl>
    <w:lvl w:ilvl="4" w:tplc="61E404B6">
      <w:start w:val="1"/>
      <w:numFmt w:val="bullet"/>
      <w:lvlText w:val="○"/>
      <w:lvlJc w:val="left"/>
      <w:pPr>
        <w:ind w:left="3600" w:hanging="360"/>
      </w:pPr>
    </w:lvl>
    <w:lvl w:ilvl="5" w:tplc="2D7C73F2">
      <w:start w:val="1"/>
      <w:numFmt w:val="bullet"/>
      <w:lvlText w:val="■"/>
      <w:lvlJc w:val="left"/>
      <w:pPr>
        <w:ind w:left="4320" w:hanging="360"/>
      </w:pPr>
    </w:lvl>
    <w:lvl w:ilvl="6" w:tplc="9C1C67B0">
      <w:start w:val="1"/>
      <w:numFmt w:val="bullet"/>
      <w:lvlText w:val="●"/>
      <w:lvlJc w:val="left"/>
      <w:pPr>
        <w:ind w:left="5040" w:hanging="360"/>
      </w:pPr>
    </w:lvl>
    <w:lvl w:ilvl="7" w:tplc="31724DFA">
      <w:start w:val="1"/>
      <w:numFmt w:val="bullet"/>
      <w:lvlText w:val="●"/>
      <w:lvlJc w:val="left"/>
      <w:pPr>
        <w:ind w:left="5760" w:hanging="360"/>
      </w:pPr>
    </w:lvl>
    <w:lvl w:ilvl="8" w:tplc="EA7070D6">
      <w:start w:val="1"/>
      <w:numFmt w:val="bullet"/>
      <w:lvlText w:val="●"/>
      <w:lvlJc w:val="left"/>
      <w:pPr>
        <w:ind w:left="6480" w:hanging="360"/>
      </w:pPr>
    </w:lvl>
  </w:abstractNum>
  <w:abstractNum w:abstractNumId="2">
    <w:nsid w:val="6EAC1E2C"/>
    <w:multiLevelType w:val="hybridMultilevel"/>
    <w:tmpl w:val="4B4C1206"/>
    <w:lvl w:ilvl="0" w:tplc="ACC6B954">
      <w:start w:val="1"/>
      <w:numFmt w:val="decimal"/>
      <w:lvlText w:val="%1."/>
      <w:lvlJc w:val="left"/>
      <w:pPr>
        <w:ind w:left="540" w:hanging="360"/>
      </w:pPr>
    </w:lvl>
    <w:lvl w:ilvl="1" w:tplc="4EDCE55E">
      <w:numFmt w:val="decimal"/>
      <w:lvlText w:val=""/>
      <w:lvlJc w:val="left"/>
    </w:lvl>
    <w:lvl w:ilvl="2" w:tplc="CA860102">
      <w:numFmt w:val="decimal"/>
      <w:lvlText w:val=""/>
      <w:lvlJc w:val="left"/>
    </w:lvl>
    <w:lvl w:ilvl="3" w:tplc="EB3CEB2C">
      <w:numFmt w:val="decimal"/>
      <w:lvlText w:val=""/>
      <w:lvlJc w:val="left"/>
    </w:lvl>
    <w:lvl w:ilvl="4" w:tplc="7D8CFFC4">
      <w:numFmt w:val="decimal"/>
      <w:lvlText w:val=""/>
      <w:lvlJc w:val="left"/>
    </w:lvl>
    <w:lvl w:ilvl="5" w:tplc="88A46086">
      <w:numFmt w:val="decimal"/>
      <w:lvlText w:val=""/>
      <w:lvlJc w:val="left"/>
    </w:lvl>
    <w:lvl w:ilvl="6" w:tplc="795AE36E">
      <w:numFmt w:val="decimal"/>
      <w:lvlText w:val=""/>
      <w:lvlJc w:val="left"/>
    </w:lvl>
    <w:lvl w:ilvl="7" w:tplc="A0D80C7E">
      <w:numFmt w:val="decimal"/>
      <w:lvlText w:val=""/>
      <w:lvlJc w:val="left"/>
    </w:lvl>
    <w:lvl w:ilvl="8" w:tplc="77B25198">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A67605"/>
    <w:rsid w:val="00167A04"/>
    <w:rsid w:val="00395F25"/>
    <w:rsid w:val="00A6760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A67605"/>
    <w:pPr>
      <w:outlineLvl w:val="0"/>
    </w:pPr>
    <w:rPr>
      <w:color w:val="2E74B5"/>
      <w:sz w:val="32"/>
      <w:szCs w:val="32"/>
    </w:rPr>
  </w:style>
  <w:style w:type="paragraph" w:styleId="Heading2">
    <w:name w:val="heading 2"/>
    <w:qFormat/>
    <w:rsid w:val="00A67605"/>
    <w:pPr>
      <w:outlineLvl w:val="1"/>
    </w:pPr>
    <w:rPr>
      <w:color w:val="2E74B5"/>
      <w:sz w:val="26"/>
      <w:szCs w:val="26"/>
    </w:rPr>
  </w:style>
  <w:style w:type="paragraph" w:styleId="Heading3">
    <w:name w:val="heading 3"/>
    <w:qFormat/>
    <w:rsid w:val="00A67605"/>
    <w:pPr>
      <w:outlineLvl w:val="2"/>
    </w:pPr>
    <w:rPr>
      <w:color w:val="1F4D78"/>
      <w:sz w:val="24"/>
      <w:szCs w:val="24"/>
    </w:rPr>
  </w:style>
  <w:style w:type="paragraph" w:styleId="Heading4">
    <w:name w:val="heading 4"/>
    <w:qFormat/>
    <w:rsid w:val="00A67605"/>
    <w:pPr>
      <w:outlineLvl w:val="3"/>
    </w:pPr>
    <w:rPr>
      <w:i/>
      <w:iCs/>
      <w:color w:val="2E74B5"/>
    </w:rPr>
  </w:style>
  <w:style w:type="paragraph" w:styleId="Heading5">
    <w:name w:val="heading 5"/>
    <w:qFormat/>
    <w:rsid w:val="00A67605"/>
    <w:pPr>
      <w:outlineLvl w:val="4"/>
    </w:pPr>
    <w:rPr>
      <w:color w:val="2E74B5"/>
    </w:rPr>
  </w:style>
  <w:style w:type="paragraph" w:styleId="Heading6">
    <w:name w:val="heading 6"/>
    <w:qFormat/>
    <w:rsid w:val="00A6760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67605"/>
    <w:rPr>
      <w:sz w:val="56"/>
      <w:szCs w:val="56"/>
    </w:rPr>
  </w:style>
  <w:style w:type="paragraph" w:customStyle="1" w:styleId="Strong1">
    <w:name w:val="Strong1"/>
    <w:qFormat/>
    <w:rsid w:val="00A67605"/>
    <w:rPr>
      <w:b/>
      <w:bCs/>
    </w:rPr>
  </w:style>
  <w:style w:type="paragraph" w:styleId="ListParagraph">
    <w:name w:val="List Paragraph"/>
    <w:qFormat/>
    <w:rsid w:val="00A67605"/>
  </w:style>
  <w:style w:type="character" w:styleId="Hyperlink">
    <w:name w:val="Hyperlink"/>
    <w:uiPriority w:val="99"/>
    <w:unhideWhenUsed/>
    <w:rsid w:val="00A67605"/>
    <w:rPr>
      <w:color w:val="0563C1"/>
      <w:u w:val="single"/>
    </w:rPr>
  </w:style>
  <w:style w:type="character" w:styleId="FootnoteReference">
    <w:name w:val="footnote reference"/>
    <w:uiPriority w:val="99"/>
    <w:semiHidden/>
    <w:unhideWhenUsed/>
    <w:rsid w:val="00A67605"/>
    <w:rPr>
      <w:vertAlign w:val="superscript"/>
    </w:rPr>
  </w:style>
  <w:style w:type="paragraph" w:styleId="FootnoteText">
    <w:name w:val="footnote text"/>
    <w:link w:val="FootnoteTextChar"/>
    <w:uiPriority w:val="99"/>
    <w:semiHidden/>
    <w:unhideWhenUsed/>
    <w:rsid w:val="00A67605"/>
  </w:style>
  <w:style w:type="character" w:customStyle="1" w:styleId="FootnoteTextChar">
    <w:name w:val="Footnote Text Char"/>
    <w:link w:val="FootnoteText"/>
    <w:uiPriority w:val="99"/>
    <w:semiHidden/>
    <w:unhideWhenUsed/>
    <w:rsid w:val="00A67605"/>
    <w:rPr>
      <w:sz w:val="20"/>
      <w:szCs w:val="20"/>
    </w:rPr>
  </w:style>
  <w:style w:type="character" w:styleId="EndnoteReference">
    <w:name w:val="endnote reference"/>
    <w:uiPriority w:val="99"/>
    <w:semiHidden/>
    <w:unhideWhenUsed/>
    <w:rsid w:val="00A67605"/>
    <w:rPr>
      <w:vertAlign w:val="superscript"/>
    </w:rPr>
  </w:style>
  <w:style w:type="paragraph" w:styleId="EndnoteText">
    <w:name w:val="endnote text"/>
    <w:link w:val="EndnoteTextChar"/>
    <w:uiPriority w:val="99"/>
    <w:semiHidden/>
    <w:unhideWhenUsed/>
    <w:rsid w:val="00A67605"/>
  </w:style>
  <w:style w:type="character" w:customStyle="1" w:styleId="EndnoteTextChar">
    <w:name w:val="Endnote Text Char"/>
    <w:link w:val="EndnoteText"/>
    <w:uiPriority w:val="99"/>
    <w:semiHidden/>
    <w:unhideWhenUsed/>
    <w:rsid w:val="00A67605"/>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2704</Words>
  <Characters>15417</Characters>
  <Application>Microsoft Office Word</Application>
  <DocSecurity>0</DocSecurity>
  <Lines>128</Lines>
  <Paragraphs>36</Paragraphs>
  <ScaleCrop>false</ScaleCrop>
  <Company>Grizli777</Company>
  <LinksUpToDate>false</LinksUpToDate>
  <CharactersWithSpaces>18085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2026-06-17T11:17:00Z</dcterms:created>
  <dcterms:modified xsi:type="dcterms:W3CDTF">2026-06-17T11:17:00Z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