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BDF" w:rsidRDefault="00871CAF">
      <w:pPr>
        <w:spacing w:before="200" w:after="60"/>
      </w:pPr>
      <w:r>
        <w:rPr>
          <w:b/>
          <w:bCs/>
          <w:color w:val="1B3A6B"/>
          <w:sz w:val="40"/>
          <w:szCs w:val="40"/>
        </w:rPr>
        <w:t>HEALTHBRIDGE OCCUPATIONAL HEALTH LTD</w:t>
      </w:r>
    </w:p>
    <w:p w:rsidR="006A6BDF" w:rsidRDefault="00871CAF">
      <w:pPr>
        <w:spacing w:after="80"/>
      </w:pPr>
      <w:r>
        <w:rPr>
          <w:b/>
          <w:bCs/>
          <w:color w:val="1B3A6B"/>
          <w:sz w:val="28"/>
          <w:szCs w:val="28"/>
        </w:rPr>
        <w:t>Medical Records Retention Policy</w:t>
      </w:r>
    </w:p>
    <w:p w:rsidR="006A6BDF" w:rsidRDefault="00871CAF">
      <w:pPr>
        <w:pBdr>
          <w:bottom w:val="thick" w:sz="12" w:space="3" w:color="1B3A6B"/>
        </w:pBdr>
        <w:spacing w:after="240"/>
      </w:pPr>
      <w:r>
        <w:rPr>
          <w:i/>
          <w:iCs/>
          <w:color w:val="6B7280"/>
          <w:sz w:val="19"/>
          <w:szCs w:val="19"/>
        </w:rPr>
        <w:t>GP-Led Occupational Health Services   |   Version 2.0   |   Effective 13 June 2026</w:t>
      </w:r>
    </w:p>
    <w:p w:rsidR="006A6BDF" w:rsidRDefault="006A6BDF">
      <w:pPr>
        <w:spacing w:before="80"/>
      </w:pPr>
    </w:p>
    <w:p w:rsidR="006A6BDF" w:rsidRDefault="00871CAF">
      <w:pPr>
        <w:spacing w:before="400" w:after="120"/>
      </w:pPr>
      <w:r>
        <w:rPr>
          <w:b/>
          <w:bCs/>
          <w:color w:val="1B3A6B"/>
          <w:sz w:val="28"/>
          <w:szCs w:val="28"/>
        </w:rPr>
        <w:t>1.  Purpose</w:t>
      </w:r>
    </w:p>
    <w:p w:rsidR="006A6BDF" w:rsidRDefault="006A6BDF">
      <w:pPr>
        <w:pBdr>
          <w:bottom w:val="single" w:sz="6" w:space="1" w:color="1B3A6B"/>
        </w:pBdr>
        <w:spacing w:before="60" w:after="200"/>
      </w:pPr>
    </w:p>
    <w:p w:rsidR="006A6BDF" w:rsidRDefault="00871CAF">
      <w:pPr>
        <w:spacing w:before="60" w:after="100"/>
      </w:pPr>
      <w:r>
        <w:rPr>
          <w:color w:val="1A1A2E"/>
        </w:rPr>
        <w:t>This policy sets out how HealthBridge Occupational Health Ltd retains, stores, and disposes of clinical and operational records. Its purpose is to ensure that records are kept for as long as they are legitimately needed — no longer and no shorter — and tha</w:t>
      </w:r>
      <w:r>
        <w:rPr>
          <w:color w:val="1A1A2E"/>
        </w:rPr>
        <w:t>t storage and disposal are carried out securely and in compliance with applicable law.</w:t>
      </w:r>
    </w:p>
    <w:p w:rsidR="006A6BDF" w:rsidRDefault="006A6BDF">
      <w:pPr>
        <w:spacing w:before="60"/>
      </w:pPr>
    </w:p>
    <w:p w:rsidR="006A6BDF" w:rsidRDefault="00871CAF">
      <w:pPr>
        <w:spacing w:before="60" w:after="100"/>
      </w:pPr>
      <w:r>
        <w:rPr>
          <w:color w:val="1A1A2E"/>
        </w:rPr>
        <w:t>This policy is grounded in:</w:t>
      </w:r>
    </w:p>
    <w:p w:rsidR="006A6BDF" w:rsidRDefault="00871CAF">
      <w:pPr>
        <w:pStyle w:val="ListParagraph"/>
        <w:numPr>
          <w:ilvl w:val="0"/>
          <w:numId w:val="2"/>
        </w:numPr>
        <w:spacing w:before="40" w:after="40"/>
      </w:pPr>
      <w:r>
        <w:t>UK GDPR Article 5(1)(e) — the storage limitation principle: personal data must not be kept longer than necessary for the purpose for which i</w:t>
      </w:r>
      <w:r>
        <w:t>t was collected</w:t>
      </w:r>
    </w:p>
    <w:p w:rsidR="006A6BDF" w:rsidRDefault="00871CAF">
      <w:pPr>
        <w:pStyle w:val="ListParagraph"/>
        <w:numPr>
          <w:ilvl w:val="0"/>
          <w:numId w:val="2"/>
        </w:numPr>
        <w:spacing w:before="40" w:after="40"/>
      </w:pPr>
      <w:r>
        <w:t>Data Protection Act 2018</w:t>
      </w:r>
    </w:p>
    <w:p w:rsidR="006A6BDF" w:rsidRDefault="00871CAF">
      <w:pPr>
        <w:pStyle w:val="ListParagraph"/>
        <w:numPr>
          <w:ilvl w:val="0"/>
          <w:numId w:val="2"/>
        </w:numPr>
        <w:spacing w:before="40" w:after="40"/>
      </w:pPr>
      <w:r>
        <w:t>GMC Good Medical Practice — professional obligations regarding record keeping</w:t>
      </w:r>
    </w:p>
    <w:p w:rsidR="006A6BDF" w:rsidRDefault="00871CAF">
      <w:pPr>
        <w:pStyle w:val="ListParagraph"/>
        <w:numPr>
          <w:ilvl w:val="0"/>
          <w:numId w:val="2"/>
        </w:numPr>
        <w:spacing w:before="40" w:after="40"/>
      </w:pPr>
      <w:r>
        <w:t>NHS England Records Management Code of Practice 2023 — the applicable retention guidance for clinical records in England</w:t>
      </w:r>
    </w:p>
    <w:p w:rsidR="006A6BDF" w:rsidRDefault="00871CAF">
      <w:pPr>
        <w:pStyle w:val="ListParagraph"/>
        <w:numPr>
          <w:ilvl w:val="0"/>
          <w:numId w:val="2"/>
        </w:numPr>
        <w:spacing w:before="40" w:after="40"/>
      </w:pPr>
      <w:r>
        <w:t>Limitation Act 1</w:t>
      </w:r>
      <w:r>
        <w:t>980 — governing the time limits for civil claims, which informs minimum retention periods for medico-legal purposes</w:t>
      </w:r>
    </w:p>
    <w:p w:rsidR="006A6BDF" w:rsidRDefault="00871CAF">
      <w:pPr>
        <w:pStyle w:val="ListParagraph"/>
        <w:numPr>
          <w:ilvl w:val="0"/>
          <w:numId w:val="2"/>
        </w:numPr>
        <w:spacing w:before="40" w:after="40"/>
      </w:pPr>
      <w:r>
        <w:t>HMRC requirements for financial records</w:t>
      </w:r>
    </w:p>
    <w:p w:rsidR="006A6BDF" w:rsidRDefault="006A6BDF">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A6BDF">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A6BDF" w:rsidRDefault="00871CAF">
            <w:r>
              <w:rPr>
                <w:i/>
                <w:iCs/>
                <w:color w:val="1B3A6B"/>
                <w:sz w:val="19"/>
                <w:szCs w:val="19"/>
              </w:rPr>
              <w:t>Note on the Faculty of Occupational Medicine (FOM) 40-year retention recommendation: FOM guidance r</w:t>
            </w:r>
            <w:r>
              <w:rPr>
                <w:i/>
                <w:iCs/>
                <w:color w:val="1B3A6B"/>
                <w:sz w:val="19"/>
                <w:szCs w:val="19"/>
              </w:rPr>
              <w:t>ecommends 40-year retention specifically for health surveillance records relating to hazardous substance exposures (e.g., asbestos, COSHH Schedule 1). HealthBridge does not conduct health surveillance or safety-critical assessments. The retention periods i</w:t>
            </w:r>
            <w:r>
              <w:rPr>
                <w:i/>
                <w:iCs/>
                <w:color w:val="1B3A6B"/>
                <w:sz w:val="19"/>
                <w:szCs w:val="19"/>
              </w:rPr>
              <w:t>n this policy reflect the applicable standards for a GP-led advisory OH service.</w:t>
            </w:r>
          </w:p>
        </w:tc>
      </w:tr>
    </w:tbl>
    <w:p w:rsidR="006A6BDF" w:rsidRDefault="006A6BDF">
      <w:pPr>
        <w:spacing w:before="80"/>
      </w:pPr>
    </w:p>
    <w:p w:rsidR="006A6BDF" w:rsidRDefault="00871CAF">
      <w:pPr>
        <w:spacing w:before="400" w:after="120"/>
      </w:pPr>
      <w:r>
        <w:rPr>
          <w:b/>
          <w:bCs/>
          <w:color w:val="1B3A6B"/>
          <w:sz w:val="28"/>
          <w:szCs w:val="28"/>
        </w:rPr>
        <w:t>2.  Scope</w:t>
      </w:r>
    </w:p>
    <w:p w:rsidR="006A6BDF" w:rsidRDefault="006A6BDF">
      <w:pPr>
        <w:pBdr>
          <w:bottom w:val="single" w:sz="6" w:space="1" w:color="1B3A6B"/>
        </w:pBdr>
        <w:spacing w:before="60" w:after="200"/>
      </w:pPr>
    </w:p>
    <w:p w:rsidR="006A6BDF" w:rsidRDefault="00871CAF">
      <w:pPr>
        <w:spacing w:before="60" w:after="100"/>
      </w:pPr>
      <w:r>
        <w:rPr>
          <w:color w:val="1A1A2E"/>
        </w:rPr>
        <w:t>This policy applies to all records created, received, or held by HealthBridge Occupational Health Ltd in the course of its clinical and operational activities, including:</w:t>
      </w:r>
    </w:p>
    <w:p w:rsidR="006A6BDF" w:rsidRDefault="00871CAF">
      <w:pPr>
        <w:pStyle w:val="ListParagraph"/>
        <w:numPr>
          <w:ilvl w:val="0"/>
          <w:numId w:val="2"/>
        </w:numPr>
        <w:spacing w:before="40" w:after="40"/>
      </w:pPr>
      <w:r>
        <w:t>Clinical assessment records and OH reports</w:t>
      </w:r>
    </w:p>
    <w:p w:rsidR="006A6BDF" w:rsidRDefault="00871CAF">
      <w:pPr>
        <w:pStyle w:val="ListParagraph"/>
        <w:numPr>
          <w:ilvl w:val="0"/>
          <w:numId w:val="2"/>
        </w:numPr>
        <w:spacing w:before="40" w:after="40"/>
      </w:pPr>
      <w:r>
        <w:t>Referral documentation received from emplo</w:t>
      </w:r>
      <w:r>
        <w:t>yers</w:t>
      </w:r>
    </w:p>
    <w:p w:rsidR="006A6BDF" w:rsidRDefault="00871CAF">
      <w:pPr>
        <w:pStyle w:val="ListParagraph"/>
        <w:numPr>
          <w:ilvl w:val="0"/>
          <w:numId w:val="2"/>
        </w:numPr>
        <w:spacing w:before="40" w:after="40"/>
      </w:pPr>
      <w:r>
        <w:t>Consent documentation and access-to-report records</w:t>
      </w:r>
    </w:p>
    <w:p w:rsidR="006A6BDF" w:rsidRDefault="00871CAF">
      <w:pPr>
        <w:pStyle w:val="ListParagraph"/>
        <w:numPr>
          <w:ilvl w:val="0"/>
          <w:numId w:val="2"/>
        </w:numPr>
        <w:spacing w:before="40" w:after="40"/>
      </w:pPr>
      <w:r>
        <w:t>Complaint records</w:t>
      </w:r>
    </w:p>
    <w:p w:rsidR="006A6BDF" w:rsidRDefault="00871CAF">
      <w:pPr>
        <w:pStyle w:val="ListParagraph"/>
        <w:numPr>
          <w:ilvl w:val="0"/>
          <w:numId w:val="2"/>
        </w:numPr>
        <w:spacing w:before="40" w:after="40"/>
      </w:pPr>
      <w:r>
        <w:t>Financial and invoicing records</w:t>
      </w:r>
    </w:p>
    <w:p w:rsidR="006A6BDF" w:rsidRDefault="00871CAF">
      <w:pPr>
        <w:pStyle w:val="ListParagraph"/>
        <w:numPr>
          <w:ilvl w:val="0"/>
          <w:numId w:val="2"/>
        </w:numPr>
        <w:spacing w:before="40" w:after="40"/>
      </w:pPr>
      <w:r>
        <w:t>Audit logs and governance records</w:t>
      </w:r>
    </w:p>
    <w:p w:rsidR="006A6BDF" w:rsidRDefault="00871CAF">
      <w:pPr>
        <w:pStyle w:val="ListParagraph"/>
        <w:numPr>
          <w:ilvl w:val="0"/>
          <w:numId w:val="2"/>
        </w:numPr>
        <w:spacing w:before="40" w:after="40"/>
      </w:pPr>
      <w:r>
        <w:t>Data breach records</w:t>
      </w:r>
    </w:p>
    <w:p w:rsidR="006A6BDF" w:rsidRDefault="006A6BDF">
      <w:pPr>
        <w:spacing w:before="60"/>
      </w:pPr>
    </w:p>
    <w:p w:rsidR="006A6BDF" w:rsidRDefault="00871CAF">
      <w:pPr>
        <w:spacing w:before="60" w:after="100"/>
      </w:pPr>
      <w:r>
        <w:rPr>
          <w:color w:val="1A1A2E"/>
        </w:rPr>
        <w:t>It applies to all formats — electronic, paper, and verbal records documented in writing — and to all contracted third parties who handle HealthBridge records under a Data Processing Agreement.</w:t>
      </w:r>
    </w:p>
    <w:p w:rsidR="006A6BDF" w:rsidRDefault="006A6BDF">
      <w:pPr>
        <w:spacing w:before="80"/>
      </w:pPr>
    </w:p>
    <w:p w:rsidR="006A6BDF" w:rsidRDefault="00871CAF">
      <w:pPr>
        <w:spacing w:before="400" w:after="120"/>
      </w:pPr>
      <w:r>
        <w:rPr>
          <w:b/>
          <w:bCs/>
          <w:color w:val="1B3A6B"/>
          <w:sz w:val="28"/>
          <w:szCs w:val="28"/>
        </w:rPr>
        <w:t>3.  Retention Schedule</w:t>
      </w:r>
    </w:p>
    <w:p w:rsidR="006A6BDF" w:rsidRDefault="006A6BDF">
      <w:pPr>
        <w:pBdr>
          <w:bottom w:val="single" w:sz="6" w:space="1" w:color="1B3A6B"/>
        </w:pBdr>
        <w:spacing w:before="60" w:after="200"/>
      </w:pPr>
    </w:p>
    <w:p w:rsidR="006A6BDF" w:rsidRDefault="00871CAF">
      <w:pPr>
        <w:spacing w:before="60" w:after="100"/>
      </w:pPr>
      <w:r>
        <w:rPr>
          <w:color w:val="1A1A2E"/>
        </w:rPr>
        <w:t>The following minimum retention period</w:t>
      </w:r>
      <w:r>
        <w:rPr>
          <w:color w:val="1A1A2E"/>
        </w:rPr>
        <w:t>s apply. 'From' dates are calculated from the triggering event in each case. Records must not be destroyed before the minimum period has elapsed, and must not be retained beyond the minimum period without documented justification.</w:t>
      </w:r>
    </w:p>
    <w:p w:rsidR="006A6BDF" w:rsidRDefault="006A6BD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1800"/>
        <w:gridCol w:w="2426"/>
        <w:gridCol w:w="2400"/>
      </w:tblGrid>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Record Type</w:t>
            </w:r>
          </w:p>
        </w:tc>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Minimum Retention Period</w:t>
            </w:r>
          </w:p>
        </w:tc>
        <w:tc>
          <w:tcPr>
            <w:tcW w:w="2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Legal / Guidance Basis</w:t>
            </w:r>
          </w:p>
        </w:t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Notes and Exceptions</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OH assessment records and clinical notes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8 years from date of last contact</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NHS England Records Management Code of Practice 2023; GMC Good Medical Practice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Legal hold applies where litigation is known or threatened (see Section 3.1). Records involving minors retained until the individual's 25th birthday, or 8 years from last contact, whichever is longer.</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OH reports (finalised, employer-released)</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8 years from date of report</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NHS England Records Management Code of Practice 2023; Limitation Act 1980</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 xml:space="preserve">HealthBridge retains its own copy of every report issued, regardless of the employer's retention practice. Employer's own retention obligations are their </w:t>
            </w:r>
            <w:r>
              <w:rPr>
                <w:sz w:val="19"/>
                <w:szCs w:val="19"/>
              </w:rPr>
              <w:t>separate responsibility.</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Referral documentation from employers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8 years from date of case closure</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Limitation Act 1980 (potential contract claims); UK GDPR Article 5(1)(e)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Retained with the associated clinical record.</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Consent documentation (assessment and report release)</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8 years from date of assessment</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UK GDPR Article 5(1)(e); GMC Confidentiality Guidance — consent must be demonstrable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Retained with the associated clinical record as evidence of the consent obtained at t</w:t>
            </w:r>
            <w:r>
              <w:rPr>
                <w:sz w:val="19"/>
                <w:szCs w:val="19"/>
              </w:rPr>
              <w:t>he time.</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Complaint records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8 years from date of complaint closure</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NHS England Records Management Code of Practice 2023; Limitation Act 1980</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Retained separately from clinical records. Retain longer where a complaint is linked to active or threatened litiga</w:t>
            </w:r>
            <w:r>
              <w:rPr>
                <w:sz w:val="19"/>
                <w:szCs w:val="19"/>
              </w:rPr>
              <w:t>tion.</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Financial and invoicing records (Zoho Books)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6 years from end of the relevant tax year</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HMRC: Finance Act 1998 / Companies Act 2006</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Standard accounting records requirement. Separate from clinical retention obligations.</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Data breach records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5 years minimum from date of breach</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ICO guidance on accountability under UK GDPR Article 5(2)</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Includes all breaches — whether or not ICO notification was required.</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 xml:space="preserve">Audit logs and </w:t>
            </w:r>
            <w:r>
              <w:rPr>
                <w:b/>
                <w:bCs/>
                <w:sz w:val="19"/>
                <w:szCs w:val="19"/>
              </w:rPr>
              <w:lastRenderedPageBreak/>
              <w:t>governance records (access logs, disposal certificates)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lastRenderedPageBreak/>
              <w:t xml:space="preserve">5 years from date </w:t>
            </w:r>
            <w:r>
              <w:rPr>
                <w:sz w:val="19"/>
                <w:szCs w:val="19"/>
              </w:rPr>
              <w:lastRenderedPageBreak/>
              <w:t>of</w:t>
            </w:r>
            <w:r>
              <w:rPr>
                <w:sz w:val="19"/>
                <w:szCs w:val="19"/>
              </w:rPr>
              <w:t xml:space="preserve"> creation</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lastRenderedPageBreak/>
              <w:t xml:space="preserve">UK GDPR Article 5(2) </w:t>
            </w:r>
            <w:r>
              <w:rPr>
                <w:sz w:val="19"/>
                <w:szCs w:val="19"/>
              </w:rPr>
              <w:lastRenderedPageBreak/>
              <w:t>accountability principle; ICO guidance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lastRenderedPageBreak/>
              <w:t xml:space="preserve">These are operational </w:t>
            </w:r>
            <w:r>
              <w:rPr>
                <w:sz w:val="19"/>
                <w:szCs w:val="19"/>
              </w:rPr>
              <w:lastRenderedPageBreak/>
              <w:t>governance records, not clinical records. Retained to demonstrate compliance.</w:t>
            </w:r>
          </w:p>
        </w:tc>
      </w:tr>
      <w:tr w:rsidR="006A6BD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lastRenderedPageBreak/>
              <w:t>Subject Access Request records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3 years from date of response</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ICO guidance on demonstrating compliance with data subject rights</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Includes the request, identity verification, and response provided.</w:t>
            </w:r>
          </w:p>
        </w:tc>
      </w:tr>
    </w:tbl>
    <w:p w:rsidR="006A6BDF" w:rsidRDefault="006A6BDF">
      <w:pPr>
        <w:spacing w:before="80"/>
      </w:pPr>
    </w:p>
    <w:p w:rsidR="006A6BDF" w:rsidRDefault="00871CAF">
      <w:pPr>
        <w:spacing w:before="280" w:after="100"/>
      </w:pPr>
      <w:r>
        <w:rPr>
          <w:b/>
          <w:bCs/>
          <w:color w:val="1B3A6B"/>
          <w:sz w:val="22"/>
          <w:szCs w:val="22"/>
        </w:rPr>
        <w:t>3.1  Legal Hold — Suspension of Disposal</w:t>
      </w:r>
    </w:p>
    <w:p w:rsidR="006A6BDF" w:rsidRDefault="00871CAF">
      <w:pPr>
        <w:spacing w:before="60" w:after="100"/>
      </w:pPr>
      <w:r>
        <w:rPr>
          <w:color w:val="1A1A2E"/>
        </w:rPr>
        <w:t>Where HealthBridge becomes aware of actual or threatened litigation, a regulatory investigation, a formal complaint, or an ICO inquiry, any records relevant to that matter are immediately placed on legal hold. Legal hold means:</w:t>
      </w:r>
    </w:p>
    <w:p w:rsidR="006A6BDF" w:rsidRDefault="00871CAF">
      <w:pPr>
        <w:pStyle w:val="ListParagraph"/>
        <w:numPr>
          <w:ilvl w:val="0"/>
          <w:numId w:val="2"/>
        </w:numPr>
        <w:spacing w:before="40" w:after="40"/>
      </w:pPr>
      <w:r>
        <w:t xml:space="preserve">The normal retention period </w:t>
      </w:r>
      <w:r>
        <w:t>is suspended — records are not destroyed until the matter is fully resolved and any applicable limitation period has expired.</w:t>
      </w:r>
    </w:p>
    <w:p w:rsidR="006A6BDF" w:rsidRDefault="00871CAF">
      <w:pPr>
        <w:pStyle w:val="ListParagraph"/>
        <w:numPr>
          <w:ilvl w:val="0"/>
          <w:numId w:val="2"/>
        </w:numPr>
        <w:spacing w:before="40" w:after="40"/>
      </w:pPr>
      <w:r>
        <w:t>MPS is notified and consulted on record preservation requirements.</w:t>
      </w:r>
    </w:p>
    <w:p w:rsidR="006A6BDF" w:rsidRDefault="00871CAF">
      <w:pPr>
        <w:pStyle w:val="ListParagraph"/>
        <w:numPr>
          <w:ilvl w:val="0"/>
          <w:numId w:val="2"/>
        </w:numPr>
        <w:spacing w:before="40" w:after="40"/>
      </w:pPr>
      <w:r>
        <w:t>The Clinical Lead documents the legal hold, the records it appl</w:t>
      </w:r>
      <w:r>
        <w:t>ies to, and the date it was applied.</w:t>
      </w:r>
    </w:p>
    <w:p w:rsidR="006A6BDF" w:rsidRDefault="00871CAF">
      <w:pPr>
        <w:pStyle w:val="ListParagraph"/>
        <w:numPr>
          <w:ilvl w:val="0"/>
          <w:numId w:val="2"/>
        </w:numPr>
        <w:spacing w:before="40" w:after="40"/>
      </w:pPr>
      <w:r>
        <w:t>Legal hold is lifted only when the matter is concluded and the Clinical Lead is satisfied that no further action is foreseeable.</w:t>
      </w:r>
    </w:p>
    <w:p w:rsidR="006A6BDF" w:rsidRDefault="006A6BDF">
      <w:pPr>
        <w:spacing w:before="80"/>
      </w:pPr>
    </w:p>
    <w:p w:rsidR="006A6BDF" w:rsidRDefault="00871CAF">
      <w:pPr>
        <w:spacing w:before="280" w:after="100"/>
      </w:pPr>
      <w:r>
        <w:rPr>
          <w:b/>
          <w:bCs/>
          <w:color w:val="1B3A6B"/>
          <w:sz w:val="22"/>
          <w:szCs w:val="22"/>
        </w:rPr>
        <w:t>3.2  Records Involving Children and Young People</w:t>
      </w:r>
    </w:p>
    <w:p w:rsidR="006A6BDF" w:rsidRDefault="00871CAF">
      <w:pPr>
        <w:spacing w:before="60" w:after="100"/>
      </w:pPr>
      <w:r>
        <w:rPr>
          <w:color w:val="1A1A2E"/>
        </w:rPr>
        <w:t>Where an OH assessment involves a person</w:t>
      </w:r>
      <w:r>
        <w:rPr>
          <w:color w:val="1A1A2E"/>
        </w:rPr>
        <w:t xml:space="preserve"> who was under 18 at the time of assessment, the record is retained until the later of: (a) the individual's 25th birthday; or (b) 8 years from the date of last contact. This reflects the extended limitation period for personal injury claims by minors.</w:t>
      </w:r>
    </w:p>
    <w:p w:rsidR="006A6BDF" w:rsidRDefault="006A6BDF">
      <w:pPr>
        <w:spacing w:before="80"/>
      </w:pPr>
    </w:p>
    <w:p w:rsidR="006A6BDF" w:rsidRDefault="00871CAF">
      <w:pPr>
        <w:spacing w:before="400" w:after="120"/>
      </w:pPr>
      <w:r>
        <w:rPr>
          <w:b/>
          <w:bCs/>
          <w:color w:val="1B3A6B"/>
          <w:sz w:val="28"/>
          <w:szCs w:val="28"/>
        </w:rPr>
        <w:t>4.</w:t>
      </w:r>
      <w:r>
        <w:rPr>
          <w:b/>
          <w:bCs/>
          <w:color w:val="1B3A6B"/>
          <w:sz w:val="28"/>
          <w:szCs w:val="28"/>
        </w:rPr>
        <w:t xml:space="preserve">  Storage and Security</w:t>
      </w:r>
    </w:p>
    <w:p w:rsidR="006A6BDF" w:rsidRDefault="006A6BDF">
      <w:pPr>
        <w:pBdr>
          <w:bottom w:val="single" w:sz="6" w:space="1" w:color="1B3A6B"/>
        </w:pBdr>
        <w:spacing w:before="60" w:after="200"/>
      </w:pPr>
    </w:p>
    <w:p w:rsidR="006A6BDF" w:rsidRDefault="00871CAF">
      <w:pPr>
        <w:spacing w:before="280" w:after="100"/>
      </w:pPr>
      <w:r>
        <w:rPr>
          <w:b/>
          <w:bCs/>
          <w:color w:val="1B3A6B"/>
          <w:sz w:val="22"/>
          <w:szCs w:val="22"/>
        </w:rPr>
        <w:t>4.1  Electronic Records</w:t>
      </w:r>
    </w:p>
    <w:p w:rsidR="006A6BDF" w:rsidRDefault="00871CAF">
      <w:pPr>
        <w:spacing w:before="60" w:after="100"/>
      </w:pPr>
      <w:r>
        <w:rPr>
          <w:color w:val="1A1A2E"/>
        </w:rPr>
        <w:t>All electronic records are stored and transmitted in accordance with the following standards:</w:t>
      </w:r>
    </w:p>
    <w:p w:rsidR="006A6BDF" w:rsidRDefault="006A6BD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6426"/>
      </w:tblGrid>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Control</w:t>
            </w:r>
          </w:p>
        </w:tc>
        <w:tc>
          <w:tcPr>
            <w:tcW w:w="6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Standard Applied</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Encryption at rest</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AES-256 encryption (e.g., device-level encryption via BitLocker for Windows or FileVault for macOS). All devices storing clinical data must have full-disk encryption enabled.</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Encryption in transit</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TLS 1.2 or higher for all data transmission. Encrypted email used for all communications containing personal or clinical data. Standard unencrypted email not used for clinical content.</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Access control</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As a sole-practitioner service, the Clinical Lead is th</w:t>
            </w:r>
            <w:r>
              <w:rPr>
                <w:sz w:val="19"/>
                <w:szCs w:val="19"/>
              </w:rPr>
              <w:t>e sole data custodian. Any contracted third party with access to records must operate under a signed Data Processing Agreement and access only the minimum data necessary for their task.</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Multi-factor authentication (MFA)</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 xml:space="preserve">MFA is enabled on all accounts and </w:t>
            </w:r>
            <w:r>
              <w:rPr>
                <w:sz w:val="19"/>
                <w:szCs w:val="19"/>
              </w:rPr>
              <w:t>platforms holding personal or special category data. MFA must not be disabled.</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Device security</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 xml:space="preserve">All devices used for clinical work are password-protected with auto-lock </w:t>
            </w:r>
            <w:r>
              <w:rPr>
                <w:sz w:val="19"/>
                <w:szCs w:val="19"/>
              </w:rPr>
              <w:lastRenderedPageBreak/>
              <w:t>at 15 minutes of inactivity. Operating systems and software are kept up to date with se</w:t>
            </w:r>
            <w:r>
              <w:rPr>
                <w:sz w:val="19"/>
                <w:szCs w:val="19"/>
              </w:rPr>
              <w:t>curity patches applied promptly.</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lastRenderedPageBreak/>
              <w:t>Cloud storage</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Cloud platforms used to store clinical records must be UK GDPR compliant. Data storage within the UK or EEA is preferred. Third-country transfers require appropriate safeguards under UK GDPR Chapter V. Providers are assessed for compliance before use.</w:t>
            </w:r>
          </w:p>
        </w:tc>
      </w:tr>
      <w:tr w:rsidR="006A6BDF">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Audit trail</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Access to clinical records is logged where the platform supports this (date, user, action). Logs are reviewed at monthly self-audit and retained for 5 years as part of governance records.</w:t>
            </w:r>
          </w:p>
        </w:tc>
      </w:tr>
    </w:tbl>
    <w:p w:rsidR="006A6BDF" w:rsidRDefault="006A6BDF">
      <w:pPr>
        <w:spacing w:before="80"/>
      </w:pPr>
    </w:p>
    <w:p w:rsidR="006A6BDF" w:rsidRDefault="00871CAF">
      <w:pPr>
        <w:spacing w:before="280" w:after="100"/>
      </w:pPr>
      <w:r>
        <w:rPr>
          <w:b/>
          <w:bCs/>
          <w:color w:val="1B3A6B"/>
          <w:sz w:val="22"/>
          <w:szCs w:val="22"/>
        </w:rPr>
        <w:t>4.2  Paper Records</w:t>
      </w:r>
    </w:p>
    <w:p w:rsidR="006A6BDF" w:rsidRDefault="00871CAF">
      <w:pPr>
        <w:spacing w:before="60" w:after="100"/>
      </w:pPr>
      <w:r>
        <w:rPr>
          <w:color w:val="1A1A2E"/>
        </w:rPr>
        <w:t xml:space="preserve">HealthBridge's default position is </w:t>
      </w:r>
      <w:r>
        <w:rPr>
          <w:color w:val="1A1A2E"/>
        </w:rPr>
        <w:t>to operate as a paperless clinical service. Where paper records exist (for example, paper consent forms signed at request of an employee), they are:</w:t>
      </w:r>
    </w:p>
    <w:p w:rsidR="006A6BDF" w:rsidRDefault="00871CAF">
      <w:pPr>
        <w:pStyle w:val="ListParagraph"/>
        <w:numPr>
          <w:ilvl w:val="0"/>
          <w:numId w:val="2"/>
        </w:numPr>
        <w:spacing w:before="40" w:after="40"/>
      </w:pPr>
      <w:r>
        <w:t>Stored in a locked, secure location with restricted physical access</w:t>
      </w:r>
    </w:p>
    <w:p w:rsidR="006A6BDF" w:rsidRDefault="00871CAF">
      <w:pPr>
        <w:pStyle w:val="ListParagraph"/>
        <w:numPr>
          <w:ilvl w:val="0"/>
          <w:numId w:val="2"/>
        </w:numPr>
        <w:spacing w:before="40" w:after="40"/>
      </w:pPr>
      <w:r>
        <w:t xml:space="preserve">Scanned to an encrypted digital system </w:t>
      </w:r>
      <w:r>
        <w:t>promptly — the paper original is retained with the digital record for the full retention period; paper originals are not destroyed after scanning</w:t>
      </w:r>
    </w:p>
    <w:p w:rsidR="006A6BDF" w:rsidRDefault="00871CAF">
      <w:pPr>
        <w:pStyle w:val="ListParagraph"/>
        <w:numPr>
          <w:ilvl w:val="0"/>
          <w:numId w:val="2"/>
        </w:numPr>
        <w:spacing w:before="40" w:after="40"/>
      </w:pPr>
      <w:r>
        <w:t>Subject to the same retention schedule as equivalent electronic records</w:t>
      </w:r>
    </w:p>
    <w:p w:rsidR="006A6BDF" w:rsidRDefault="006A6BDF">
      <w:pPr>
        <w:spacing w:before="80"/>
      </w:pPr>
    </w:p>
    <w:p w:rsidR="006A6BDF" w:rsidRDefault="00871CAF">
      <w:pPr>
        <w:spacing w:before="400" w:after="120"/>
      </w:pPr>
      <w:r>
        <w:rPr>
          <w:b/>
          <w:bCs/>
          <w:color w:val="1B3A6B"/>
          <w:sz w:val="28"/>
          <w:szCs w:val="28"/>
        </w:rPr>
        <w:t>5.  Secure Disposal</w:t>
      </w:r>
    </w:p>
    <w:p w:rsidR="006A6BDF" w:rsidRDefault="006A6BDF">
      <w:pPr>
        <w:pBdr>
          <w:bottom w:val="single" w:sz="6" w:space="1" w:color="1B3A6B"/>
        </w:pBdr>
        <w:spacing w:before="60" w:after="200"/>
      </w:pPr>
    </w:p>
    <w:p w:rsidR="006A6BDF" w:rsidRDefault="00871CAF">
      <w:pPr>
        <w:spacing w:before="60" w:after="100"/>
      </w:pPr>
      <w:r>
        <w:rPr>
          <w:color w:val="1A1A2E"/>
        </w:rPr>
        <w:t>At the end of the applicable retention period — and confirmed that no legal hold applies — records are disposed of securely:</w:t>
      </w:r>
    </w:p>
    <w:p w:rsidR="006A6BDF" w:rsidRDefault="006A6BD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00"/>
        <w:gridCol w:w="4226"/>
        <w:gridCol w:w="2800"/>
      </w:tblGrid>
      <w:tr w:rsidR="006A6BDF">
        <w:tblPrEx>
          <w:tblCellMar>
            <w:top w:w="0" w:type="dxa"/>
            <w:bottom w:w="0" w:type="dxa"/>
          </w:tblCellMar>
        </w:tblPrEx>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Medium</w:t>
            </w:r>
          </w:p>
        </w:tc>
        <w:tc>
          <w:tcPr>
            <w:tcW w:w="4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Disposal Method</w:t>
            </w:r>
          </w:p>
        </w:tc>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Verification</w:t>
            </w:r>
          </w:p>
        </w:tc>
      </w:tr>
      <w:tr w:rsidR="006A6BDF">
        <w:tblPrEx>
          <w:tblCellMar>
            <w:top w:w="0" w:type="dxa"/>
            <w:bottom w:w="0" w:type="dxa"/>
          </w:tblCellMar>
        </w:tblPrEx>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Electronic records</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 xml:space="preserve">Secure deletion using overwriting or cryptographic erasure appropriate to </w:t>
            </w:r>
            <w:r>
              <w:rPr>
                <w:sz w:val="19"/>
                <w:szCs w:val="19"/>
              </w:rPr>
              <w:t>the storage medium. For cloud-hosted data, secure deletion is confirmed with the cloud provider. NCSC guidance on secure sanitisation is followed (NCSC Secure Sanitisation of Storage Media guidance).</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Disposal logged in the Disposal Register with: date, record type, deletion method, and confirmation. Retained as a governance record.</w:t>
            </w:r>
          </w:p>
        </w:tc>
      </w:tr>
      <w:tr w:rsidR="006A6BDF">
        <w:tblPrEx>
          <w:tblCellMar>
            <w:top w:w="0" w:type="dxa"/>
            <w:bottom w:w="0" w:type="dxa"/>
          </w:tblCellMar>
        </w:tblPrEx>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Paper records</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Cross-cut shredding to produce particles no larger than 6mm x 55mm (equivalent to DIN 66399 Level P-4 or ab</w:t>
            </w:r>
            <w:r>
              <w:rPr>
                <w:sz w:val="19"/>
                <w:szCs w:val="19"/>
              </w:rPr>
              <w:t>ove). For high-volume disposal, a confidential waste contractor is used and a certificate of destruction obtained.</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Certificate of destruction retained where a confidential waste contractor is used. All disposals logged in the Disposal Register.</w:t>
            </w:r>
          </w:p>
        </w:tc>
      </w:tr>
      <w:tr w:rsidR="006A6BDF">
        <w:tblPrEx>
          <w:tblCellMar>
            <w:top w:w="0" w:type="dxa"/>
            <w:bottom w:w="0" w:type="dxa"/>
          </w:tblCellMar>
        </w:tblPrEx>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Device dis</w:t>
            </w:r>
            <w:r>
              <w:rPr>
                <w:b/>
                <w:bCs/>
                <w:sz w:val="19"/>
                <w:szCs w:val="19"/>
              </w:rPr>
              <w:t>posal or repurposing</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Any device that has stored clinical data is securely wiped before disposal, repurposing, or return to a manufacturer/supplier. Where physical destruction is required, this is confirmed with a certificate.</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Logged in Disposal Register wi</w:t>
            </w:r>
            <w:r>
              <w:rPr>
                <w:sz w:val="19"/>
                <w:szCs w:val="19"/>
              </w:rPr>
              <w:t>th device description and method.</w:t>
            </w:r>
          </w:p>
        </w:tc>
      </w:tr>
    </w:tbl>
    <w:p w:rsidR="006A6BDF" w:rsidRDefault="006A6BDF">
      <w:pPr>
        <w:spacing w:before="80"/>
      </w:pPr>
    </w:p>
    <w:p w:rsidR="006A6BDF" w:rsidRDefault="00871CAF">
      <w:pPr>
        <w:spacing w:before="60" w:after="100"/>
      </w:pPr>
      <w:r>
        <w:rPr>
          <w:color w:val="1A1A2E"/>
        </w:rPr>
        <w:t>The Disposal Register is maintained by the Clinical Lead and reviewed at annual governance review. It is retained as a governance record for 5 years.</w:t>
      </w:r>
    </w:p>
    <w:p w:rsidR="006A6BDF" w:rsidRDefault="006A6BDF">
      <w:pPr>
        <w:spacing w:before="8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A6BDF">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A6BDF" w:rsidRDefault="00871CAF">
            <w:r>
              <w:rPr>
                <w:i/>
                <w:iCs/>
                <w:color w:val="1B3A6B"/>
                <w:sz w:val="19"/>
                <w:szCs w:val="19"/>
              </w:rPr>
              <w:t>Records must never be disposed of while a legal hold is in place, during the currency of an active complaint, or while the record may be relevant to any ongoing regulatory inquiry. When in doubt, retain.</w:t>
            </w:r>
          </w:p>
        </w:tc>
      </w:tr>
    </w:tbl>
    <w:p w:rsidR="006A6BDF" w:rsidRDefault="006A6BDF">
      <w:pPr>
        <w:spacing w:before="80"/>
      </w:pPr>
    </w:p>
    <w:p w:rsidR="006A6BDF" w:rsidRDefault="00871CAF">
      <w:pPr>
        <w:spacing w:before="400" w:after="120"/>
      </w:pPr>
      <w:r>
        <w:rPr>
          <w:b/>
          <w:bCs/>
          <w:color w:val="1B3A6B"/>
          <w:sz w:val="28"/>
          <w:szCs w:val="28"/>
        </w:rPr>
        <w:t>6.  Subject Access Requests</w:t>
      </w:r>
    </w:p>
    <w:p w:rsidR="006A6BDF" w:rsidRDefault="006A6BDF">
      <w:pPr>
        <w:pBdr>
          <w:bottom w:val="single" w:sz="6" w:space="1" w:color="1B3A6B"/>
        </w:pBdr>
        <w:spacing w:before="60" w:after="200"/>
      </w:pPr>
    </w:p>
    <w:p w:rsidR="006A6BDF" w:rsidRDefault="00871CAF">
      <w:pPr>
        <w:spacing w:before="60" w:after="100"/>
      </w:pPr>
      <w:r>
        <w:rPr>
          <w:color w:val="1A1A2E"/>
        </w:rPr>
        <w:t>Data subjects (employ</w:t>
      </w:r>
      <w:r>
        <w:rPr>
          <w:color w:val="1A1A2E"/>
        </w:rPr>
        <w:t>ees or other individuals whose personal data is held by HealthBridge) have the right to request access to their personal data under UK GDPR Article 15. The following process applies:</w:t>
      </w:r>
    </w:p>
    <w:p w:rsidR="006A6BDF" w:rsidRDefault="006A6BD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200"/>
        <w:gridCol w:w="6826"/>
      </w:tblGrid>
      <w:tr w:rsidR="006A6BDF">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Stage</w:t>
            </w:r>
          </w:p>
        </w:tc>
        <w:tc>
          <w:tcPr>
            <w:tcW w:w="6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Action</w:t>
            </w:r>
          </w:p>
        </w:tc>
      </w:tr>
      <w:tr w:rsidR="006A6BDF">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1. Receipt</w:t>
            </w:r>
          </w:p>
        </w:tc>
        <w:tc>
          <w:tcPr>
            <w:tcW w:w="6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SAR logged in the SAR Register with: date received, requester identity, scope of request. Acknowledgement sent within 5 working days. The 30-calendar-day response clock starts from the date of receipt.</w:t>
            </w:r>
          </w:p>
        </w:tc>
      </w:tr>
      <w:tr w:rsidR="006A6BDF">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2. Identity Verification</w:t>
            </w:r>
          </w:p>
        </w:tc>
        <w:tc>
          <w:tcPr>
            <w:tcW w:w="6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The identity of the requester is verified before data is released. For existing patients, verification may be by confirmation of known account details. For new requesters, appropriate ID may be requested. The Clinical Lead exercises judgement — excessive I</w:t>
            </w:r>
            <w:r>
              <w:rPr>
                <w:sz w:val="19"/>
                <w:szCs w:val="19"/>
              </w:rPr>
              <w:t>D requirements should not be used as a barrier to legitimate access.</w:t>
            </w:r>
          </w:p>
        </w:tc>
      </w:tr>
      <w:tr w:rsidR="006A6BDF">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3. Review and Redaction</w:t>
            </w:r>
          </w:p>
        </w:tc>
        <w:tc>
          <w:tcPr>
            <w:tcW w:w="6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The Clinical Lead reviews the records in scope. Third-party data (i.e., information relating to identifiable third parties, e.g., named employer contacts) is reda</w:t>
            </w:r>
            <w:r>
              <w:rPr>
                <w:sz w:val="19"/>
                <w:szCs w:val="19"/>
              </w:rPr>
              <w:t>cted in accordance with ICO guidance before release.</w:t>
            </w:r>
          </w:p>
        </w:tc>
      </w:tr>
      <w:tr w:rsidR="006A6BDF">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4. Delivery</w:t>
            </w:r>
          </w:p>
        </w:tc>
        <w:tc>
          <w:tcPr>
            <w:tcW w:w="6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Records are provided by encrypted email or other secure method. No fee is charged unless the request is manifestly unfounded or excessive. Where a fee is charged, the requester is notified b</w:t>
            </w:r>
            <w:r>
              <w:rPr>
                <w:sz w:val="19"/>
                <w:szCs w:val="19"/>
              </w:rPr>
              <w:t>efore processing begins.</w:t>
            </w:r>
          </w:p>
        </w:tc>
      </w:tr>
      <w:tr w:rsidR="006A6BDF">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5. Record</w:t>
            </w:r>
          </w:p>
        </w:tc>
        <w:tc>
          <w:tcPr>
            <w:tcW w:w="6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The SAR, the records provided, and the date of response are logged. SAR records are retained for 3 years.</w:t>
            </w:r>
          </w:p>
        </w:tc>
      </w:tr>
    </w:tbl>
    <w:p w:rsidR="006A6BDF" w:rsidRDefault="006A6BDF">
      <w:pPr>
        <w:spacing w:before="80"/>
      </w:pPr>
    </w:p>
    <w:p w:rsidR="006A6BDF" w:rsidRDefault="00871CAF">
      <w:pPr>
        <w:spacing w:before="280" w:after="100"/>
      </w:pPr>
      <w:r>
        <w:rPr>
          <w:b/>
          <w:bCs/>
          <w:color w:val="1B3A6B"/>
          <w:sz w:val="22"/>
          <w:szCs w:val="22"/>
        </w:rPr>
        <w:t>6.1  Other Data Subject Rights</w:t>
      </w:r>
    </w:p>
    <w:p w:rsidR="006A6BDF" w:rsidRDefault="00871CAF">
      <w:pPr>
        <w:spacing w:before="60" w:after="100"/>
      </w:pPr>
      <w:r>
        <w:rPr>
          <w:color w:val="1A1A2E"/>
        </w:rPr>
        <w:t>In addition to the right of access, data subjects may exercise the following rights under UK GDPR:</w:t>
      </w:r>
    </w:p>
    <w:p w:rsidR="006A6BDF" w:rsidRDefault="00871CAF">
      <w:pPr>
        <w:pStyle w:val="ListParagraph"/>
        <w:numPr>
          <w:ilvl w:val="0"/>
          <w:numId w:val="2"/>
        </w:numPr>
        <w:spacing w:before="40" w:after="40"/>
      </w:pPr>
      <w:r>
        <w:t>Rectification (Article 16) — inaccuracies in personal data corrected within 14 calendar days. Where a clinical opinion is disputed rather than a factual inac</w:t>
      </w:r>
      <w:r>
        <w:t>curacy, the Complaints Policy process applies.</w:t>
      </w:r>
    </w:p>
    <w:p w:rsidR="006A6BDF" w:rsidRDefault="00871CAF">
      <w:pPr>
        <w:pStyle w:val="ListParagraph"/>
        <w:numPr>
          <w:ilvl w:val="0"/>
          <w:numId w:val="2"/>
        </w:numPr>
        <w:spacing w:before="40" w:after="40"/>
      </w:pPr>
      <w:r>
        <w:t>Erasure (Article 17) — requests assessed against retention obligations. Records within the minimum retention period cannot be erased where a legal obligation to retain them exists. The data subject is informed</w:t>
      </w:r>
      <w:r>
        <w:t xml:space="preserve"> of any exemption applied.</w:t>
      </w:r>
    </w:p>
    <w:p w:rsidR="006A6BDF" w:rsidRDefault="00871CAF">
      <w:pPr>
        <w:pStyle w:val="ListParagraph"/>
        <w:numPr>
          <w:ilvl w:val="0"/>
          <w:numId w:val="2"/>
        </w:numPr>
        <w:spacing w:before="40" w:after="40"/>
      </w:pPr>
      <w:r>
        <w:t>Restriction of processing (Article 18) — where processing is disputed, records flagged and not further processed pending resolution.</w:t>
      </w:r>
    </w:p>
    <w:p w:rsidR="006A6BDF" w:rsidRDefault="00871CAF">
      <w:pPr>
        <w:pStyle w:val="ListParagraph"/>
        <w:numPr>
          <w:ilvl w:val="0"/>
          <w:numId w:val="2"/>
        </w:numPr>
        <w:spacing w:before="40" w:after="40"/>
      </w:pPr>
      <w:r>
        <w:t>Right to object (Article 21) — assessed on merits; processing ceases unless compelling legitimate grounds are demonstrated.</w:t>
      </w:r>
    </w:p>
    <w:p w:rsidR="006A6BDF" w:rsidRDefault="006A6BDF">
      <w:pPr>
        <w:spacing w:before="60"/>
      </w:pPr>
    </w:p>
    <w:p w:rsidR="006A6BDF" w:rsidRDefault="00871CAF">
      <w:pPr>
        <w:spacing w:before="60" w:after="100"/>
      </w:pPr>
      <w:r>
        <w:rPr>
          <w:color w:val="1A1A2E"/>
        </w:rPr>
        <w:t>All data subject rights requests are directed to: contact@healthbridge.org.uk. Unresolved disputes may be escalated to the Informat</w:t>
      </w:r>
      <w:r>
        <w:rPr>
          <w:color w:val="1A1A2E"/>
        </w:rPr>
        <w:t>ion Commissioner's Office (www.ico.org.uk).</w:t>
      </w:r>
    </w:p>
    <w:p w:rsidR="006A6BDF" w:rsidRDefault="006A6BDF">
      <w:pPr>
        <w:spacing w:before="80"/>
      </w:pPr>
    </w:p>
    <w:p w:rsidR="006A6BDF" w:rsidRDefault="00871CAF">
      <w:pPr>
        <w:spacing w:before="400" w:after="120"/>
      </w:pPr>
      <w:r>
        <w:rPr>
          <w:b/>
          <w:bCs/>
          <w:color w:val="1B3A6B"/>
          <w:sz w:val="28"/>
          <w:szCs w:val="28"/>
        </w:rPr>
        <w:t>7.  Accountability</w:t>
      </w:r>
    </w:p>
    <w:p w:rsidR="006A6BDF" w:rsidRDefault="006A6BDF">
      <w:pPr>
        <w:pBdr>
          <w:bottom w:val="single" w:sz="6" w:space="1" w:color="1B3A6B"/>
        </w:pBdr>
        <w:spacing w:before="60" w:after="200"/>
      </w:pPr>
    </w:p>
    <w:p w:rsidR="006A6BDF" w:rsidRDefault="00871CAF">
      <w:pPr>
        <w:spacing w:before="60" w:after="100"/>
      </w:pPr>
      <w:r>
        <w:rPr>
          <w:color w:val="1A1A2E"/>
        </w:rPr>
        <w:t>As a sole-practitioner service, all records management responsibilities are held by the Clinical Lead. There is no separate IT Manager, Data Protection Officer, or administrative custodian un</w:t>
      </w:r>
      <w:r>
        <w:rPr>
          <w:color w:val="1A1A2E"/>
        </w:rPr>
        <w:t>less a contracted third party is specifically engaged and operating under a Data Processing Agreement.</w:t>
      </w:r>
    </w:p>
    <w:p w:rsidR="006A6BDF" w:rsidRDefault="006A6BD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Responsibility</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What This Involves</w:t>
            </w:r>
          </w:p>
        </w:tc>
      </w:tr>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Records management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Maintaining the retention schedule; applying legal holds; overseeing secure storage of all clinical and operational records.</w:t>
            </w:r>
          </w:p>
        </w:tc>
      </w:tr>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Disposal oversight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Confirming records have reached the end of their retention period before disposal; logging all disposals in the Disposal Register; obtaining destruction certificates where applicable.</w:t>
            </w:r>
          </w:p>
        </w:tc>
      </w:tr>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Data Controller obligations</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ICO registration maintained; Records of Pro</w:t>
            </w:r>
            <w:r>
              <w:rPr>
                <w:sz w:val="19"/>
                <w:szCs w:val="19"/>
              </w:rPr>
              <w:t>cessing Activities (ROPA) maintained and updated; data breach assessment and ICO notification within 72 hours where required.</w:t>
            </w:r>
          </w:p>
        </w:tc>
      </w:tr>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Subject Access Requests</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Logging, verifying, reviewing, redacting, and responding to all SARs within 30 calendar days.</w:t>
            </w:r>
          </w:p>
        </w:tc>
      </w:tr>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Annual sel</w:t>
            </w:r>
            <w:r>
              <w:rPr>
                <w:b/>
                <w:bCs/>
                <w:sz w:val="19"/>
                <w:szCs w:val="19"/>
              </w:rPr>
              <w:t>f-audit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Reviewing a minimum 10% sample of records for compliance with this policy (retention periods applied correctly, no records outstanding for disposal, storage security maintained). Findings documented.</w:t>
            </w:r>
          </w:p>
        </w:tc>
      </w:tr>
      <w:tr w:rsidR="006A6BD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b/>
                <w:bCs/>
                <w:sz w:val="19"/>
                <w:szCs w:val="19"/>
              </w:rPr>
              <w:t>Third-party oversight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Ensuring any contracted t</w:t>
            </w:r>
            <w:r>
              <w:rPr>
                <w:sz w:val="19"/>
                <w:szCs w:val="19"/>
              </w:rPr>
              <w:t>hird party handling HealthBridge records is operating within a current, signed Data Processing Agreement and handling records in compliance with this policy.</w:t>
            </w:r>
          </w:p>
        </w:tc>
      </w:tr>
    </w:tbl>
    <w:p w:rsidR="006A6BDF" w:rsidRDefault="006A6BDF">
      <w:pPr>
        <w:spacing w:before="80"/>
      </w:pPr>
    </w:p>
    <w:p w:rsidR="006A6BDF" w:rsidRDefault="00871CAF">
      <w:pPr>
        <w:spacing w:before="400" w:after="120"/>
      </w:pPr>
      <w:r>
        <w:rPr>
          <w:b/>
          <w:bCs/>
          <w:color w:val="1B3A6B"/>
          <w:sz w:val="28"/>
          <w:szCs w:val="28"/>
        </w:rPr>
        <w:t>8.  Policy Review</w:t>
      </w:r>
    </w:p>
    <w:p w:rsidR="006A6BDF" w:rsidRDefault="006A6BDF">
      <w:pPr>
        <w:pBdr>
          <w:bottom w:val="single" w:sz="6" w:space="1" w:color="1B3A6B"/>
        </w:pBdr>
        <w:spacing w:before="60" w:after="200"/>
      </w:pPr>
    </w:p>
    <w:p w:rsidR="006A6BDF" w:rsidRDefault="00871CAF">
      <w:pPr>
        <w:pStyle w:val="ListParagraph"/>
        <w:numPr>
          <w:ilvl w:val="0"/>
          <w:numId w:val="2"/>
        </w:numPr>
        <w:spacing w:before="40" w:after="40"/>
      </w:pPr>
      <w:r>
        <w:t>Formal annual review — next scheduled: 13 June 2027.</w:t>
      </w:r>
    </w:p>
    <w:p w:rsidR="006A6BDF" w:rsidRDefault="00871CAF">
      <w:pPr>
        <w:pStyle w:val="ListParagraph"/>
        <w:numPr>
          <w:ilvl w:val="0"/>
          <w:numId w:val="2"/>
        </w:numPr>
        <w:spacing w:before="40" w:after="40"/>
      </w:pPr>
      <w:r>
        <w:t>Ad-hoc review following: updates to the NHS England Records Management Code of Practice; new ICO guidance or enforcement decisions; material changes to the Limitation Act or relevant case law; any breach or near-miss that identifies a retention gap.</w:t>
      </w:r>
    </w:p>
    <w:p w:rsidR="006A6BDF" w:rsidRDefault="00871CAF">
      <w:pPr>
        <w:pStyle w:val="ListParagraph"/>
        <w:numPr>
          <w:ilvl w:val="0"/>
          <w:numId w:val="2"/>
        </w:numPr>
        <w:spacing w:before="40" w:after="40"/>
      </w:pPr>
      <w:r>
        <w:t>This p</w:t>
      </w:r>
      <w:r>
        <w:t>olicy is read in conjunction with the Confidentiality Policy, the Consent Policy, and the Clinical Governance Policy.</w:t>
      </w:r>
    </w:p>
    <w:p w:rsidR="006A6BDF" w:rsidRDefault="006A6BDF">
      <w:pPr>
        <w:spacing w:before="80"/>
      </w:pPr>
    </w:p>
    <w:p w:rsidR="006A6BDF" w:rsidRDefault="00871CAF">
      <w:pPr>
        <w:spacing w:before="400" w:after="120"/>
      </w:pPr>
      <w:r>
        <w:rPr>
          <w:b/>
          <w:bCs/>
          <w:color w:val="1B3A6B"/>
          <w:sz w:val="28"/>
          <w:szCs w:val="28"/>
        </w:rPr>
        <w:t>9.  Version Control</w:t>
      </w:r>
    </w:p>
    <w:p w:rsidR="006A6BDF" w:rsidRDefault="006A6BDF">
      <w:pPr>
        <w:pBdr>
          <w:bottom w:val="single" w:sz="6" w:space="1" w:color="1B3A6B"/>
        </w:pBdr>
        <w:spacing w:before="60" w:after="200"/>
      </w:pPr>
    </w:p>
    <w:p w:rsidR="006A6BDF" w:rsidRDefault="006A6BD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6A6BD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A6BDF" w:rsidRDefault="00871CAF">
            <w:r>
              <w:rPr>
                <w:b/>
                <w:bCs/>
                <w:color w:val="FFFFFF"/>
                <w:sz w:val="19"/>
                <w:szCs w:val="19"/>
              </w:rPr>
              <w:t>Approved By</w:t>
            </w:r>
          </w:p>
        </w:tc>
      </w:tr>
      <w:tr w:rsidR="006A6BD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Dr. James Stanley</w:t>
            </w:r>
          </w:p>
        </w:tc>
      </w:tr>
      <w:tr w:rsidR="006A6BD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Comprehensive review: corrected retention period for OH reports from 40 years (applicable to health surveillance/hazardous exposure records only — not HealthBridge's scope) to 8 years minimum aligned with NHS England Records Management Code of Practice 202</w:t>
            </w:r>
            <w:r>
              <w:rPr>
                <w:sz w:val="19"/>
                <w:szCs w:val="19"/>
              </w:rPr>
              <w:t xml:space="preserve">3; corrected 'NHS Digital Code' reference (NHS Digital merged into NHS England 2023); removed US DoD 5220.22-M deletion standard (replaced with NCSC guidance); </w:t>
            </w:r>
            <w:r>
              <w:rPr>
                <w:sz w:val="19"/>
                <w:szCs w:val="19"/>
              </w:rPr>
              <w:lastRenderedPageBreak/>
              <w:t>removed phantom IT Manager, DPO, and HR roles; removed non-existent secure portal; corrected con</w:t>
            </w:r>
            <w:r>
              <w:rPr>
                <w:sz w:val="19"/>
                <w:szCs w:val="19"/>
              </w:rPr>
              <w:t>tact email error (healthbridge.co.uk corrected to healthbridge.org.uk); added legal hold provisions; added child/minor retention extension; expanded disposal table with verification requirements; comprehensive SAR workflow updated to reflect sole-practitio</w:t>
            </w:r>
            <w:r>
              <w:rPr>
                <w:sz w:val="19"/>
                <w:szCs w:val="19"/>
              </w:rPr>
              <w:t>ner service; storage security table expanded; full accountability framework updated.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lastRenderedPageBreak/>
              <w:t>Dr. James Stanley</w:t>
            </w:r>
          </w:p>
        </w:tc>
      </w:tr>
      <w:tr w:rsidR="006A6BD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871CAF">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6A6BDF"/>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A6BDF" w:rsidRDefault="006A6BDF"/>
        </w:tc>
      </w:tr>
    </w:tbl>
    <w:p w:rsidR="006A6BDF" w:rsidRDefault="006A6BDF">
      <w:pPr>
        <w:spacing w:before="160"/>
      </w:pPr>
    </w:p>
    <w:p w:rsidR="006A6BDF" w:rsidRDefault="00871CAF">
      <w:pPr>
        <w:spacing w:before="60" w:after="100"/>
      </w:pPr>
      <w:r>
        <w:rPr>
          <w:b/>
          <w:bCs/>
          <w:color w:val="1A1A2E"/>
        </w:rPr>
        <w:t>Approved by: Dr. James Stanley, Clinical Lead</w:t>
      </w:r>
    </w:p>
    <w:p w:rsidR="006A6BDF" w:rsidRDefault="00871CAF">
      <w:pPr>
        <w:spacing w:before="60" w:after="100"/>
      </w:pPr>
      <w:r>
        <w:rPr>
          <w:color w:val="1A1A2E"/>
        </w:rPr>
        <w:t>GMC Registration No: 7285162</w:t>
      </w:r>
    </w:p>
    <w:p w:rsidR="006A6BDF" w:rsidRDefault="00871CAF">
      <w:pPr>
        <w:spacing w:before="60" w:after="100"/>
      </w:pPr>
      <w:r>
        <w:rPr>
          <w:color w:val="1A1A2E"/>
        </w:rPr>
        <w:t>Contact: contact@healthbridge.org.uk</w:t>
      </w:r>
    </w:p>
    <w:p w:rsidR="006A6BDF" w:rsidRDefault="006A6BDF">
      <w:pPr>
        <w:spacing w:before="60"/>
      </w:pPr>
    </w:p>
    <w:p w:rsidR="006A6BDF" w:rsidRDefault="00871CAF">
      <w:pPr>
        <w:spacing w:before="60" w:after="100"/>
      </w:pPr>
      <w:r>
        <w:rPr>
          <w:i/>
          <w:iCs/>
          <w:color w:val="6B7280"/>
        </w:rPr>
        <w:t>HealthBridge Occupational Health Ltd  |  Company No: 16615396</w:t>
      </w:r>
    </w:p>
    <w:p w:rsidR="006A6BDF" w:rsidRDefault="00871CAF">
      <w:pPr>
        <w:spacing w:before="60" w:after="100"/>
      </w:pPr>
      <w:r>
        <w:rPr>
          <w:i/>
          <w:iCs/>
          <w:color w:val="6B7280"/>
        </w:rPr>
        <w:t>Registered Address: 50 Hadow Way, Gloucester, GL2 4YJ</w:t>
      </w:r>
    </w:p>
    <w:p w:rsidR="006A6BDF" w:rsidRDefault="00871CAF">
      <w:pPr>
        <w:spacing w:before="60" w:after="100"/>
      </w:pPr>
      <w:r>
        <w:rPr>
          <w:i/>
          <w:iCs/>
          <w:color w:val="6B7280"/>
        </w:rPr>
        <w:t>© HealthBridge Occupational Health Ltd. Unauthorised distribution prohibited.</w:t>
      </w:r>
    </w:p>
    <w:sectPr w:rsidR="006A6BDF" w:rsidSect="006A6BDF">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BDF" w:rsidRDefault="006A6BDF" w:rsidP="006A6BDF">
      <w:r>
        <w:separator/>
      </w:r>
    </w:p>
  </w:endnote>
  <w:endnote w:type="continuationSeparator" w:id="0">
    <w:p w:rsidR="006A6BDF" w:rsidRDefault="006A6BDF" w:rsidP="006A6BD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DF" w:rsidRDefault="00871CAF">
    <w:pPr>
      <w:pBdr>
        <w:top w:val="single" w:sz="4" w:space="2" w:color="1B3A6B"/>
      </w:pBdr>
      <w:tabs>
        <w:tab w:val="right" w:pos="9026"/>
      </w:tabs>
      <w:spacing w:before="120"/>
    </w:pPr>
    <w:r>
      <w:rPr>
        <w:color w:val="6B7280"/>
        <w:sz w:val="16"/>
        <w:szCs w:val="16"/>
      </w:rPr>
      <w:t>HealthBridge Occupational Health Ltd  |  Co. No: 16615396  |  50 Hadow Way, Gloucester, GL2 4YJ</w:t>
    </w:r>
    <w:r>
      <w:rPr>
        <w:color w:val="6B7280"/>
        <w:sz w:val="16"/>
        <w:szCs w:val="16"/>
      </w:rPr>
      <w:tab/>
      <w:t xml:space="preserve">Page </w:t>
    </w:r>
    <w:r w:rsidR="006A6BDF">
      <w:rPr>
        <w:color w:val="6B7280"/>
        <w:sz w:val="16"/>
        <w:szCs w:val="16"/>
      </w:rPr>
      <w:fldChar w:fldCharType="begin"/>
    </w:r>
    <w:r>
      <w:rPr>
        <w:color w:val="6B7280"/>
        <w:sz w:val="16"/>
        <w:szCs w:val="16"/>
      </w:rPr>
      <w:instrText>PAGE</w:instrText>
    </w:r>
    <w:r w:rsidR="00E57521">
      <w:rPr>
        <w:color w:val="6B7280"/>
        <w:sz w:val="16"/>
        <w:szCs w:val="16"/>
      </w:rPr>
      <w:fldChar w:fldCharType="separate"/>
    </w:r>
    <w:r w:rsidR="00E57521">
      <w:rPr>
        <w:noProof/>
        <w:color w:val="6B7280"/>
        <w:sz w:val="16"/>
        <w:szCs w:val="16"/>
      </w:rPr>
      <w:t>2</w:t>
    </w:r>
    <w:r w:rsidR="006A6BDF">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BDF" w:rsidRDefault="006A6BDF" w:rsidP="006A6BDF">
      <w:r>
        <w:separator/>
      </w:r>
    </w:p>
  </w:footnote>
  <w:footnote w:type="continuationSeparator" w:id="0">
    <w:p w:rsidR="006A6BDF" w:rsidRDefault="006A6BDF" w:rsidP="006A6B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DF" w:rsidRDefault="00871CAF">
    <w:pPr>
      <w:tabs>
        <w:tab w:val="right" w:pos="9026"/>
      </w:tabs>
      <w:spacing w:after="100"/>
    </w:pPr>
    <w:r>
      <w:rPr>
        <w:color w:val="6B7280"/>
        <w:sz w:val="16"/>
        <w:szCs w:val="16"/>
      </w:rPr>
      <w:t>Version 2.0  |  Effective: 13/06/2026  |  Owner: Dr. James Stanley  |  GMC: 7285162</w:t>
    </w:r>
    <w:r>
      <w:rPr>
        <w:color w:val="6B7280"/>
        <w:sz w:val="16"/>
        <w:szCs w:val="16"/>
      </w:rPr>
      <w:tab/>
      <w:t>Next Review: 13/06/2027</w:t>
    </w:r>
  </w:p>
  <w:p w:rsidR="006A6BDF" w:rsidRDefault="006A6BDF">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C110F"/>
    <w:multiLevelType w:val="hybridMultilevel"/>
    <w:tmpl w:val="FB28BB22"/>
    <w:lvl w:ilvl="0" w:tplc="8434380A">
      <w:start w:val="1"/>
      <w:numFmt w:val="bullet"/>
      <w:lvlText w:val="●"/>
      <w:lvlJc w:val="left"/>
      <w:pPr>
        <w:ind w:left="720" w:hanging="360"/>
      </w:pPr>
    </w:lvl>
    <w:lvl w:ilvl="1" w:tplc="59C2C6AE">
      <w:start w:val="1"/>
      <w:numFmt w:val="bullet"/>
      <w:lvlText w:val="○"/>
      <w:lvlJc w:val="left"/>
      <w:pPr>
        <w:ind w:left="1440" w:hanging="360"/>
      </w:pPr>
    </w:lvl>
    <w:lvl w:ilvl="2" w:tplc="9956ED5A">
      <w:start w:val="1"/>
      <w:numFmt w:val="bullet"/>
      <w:lvlText w:val="■"/>
      <w:lvlJc w:val="left"/>
      <w:pPr>
        <w:ind w:left="2160" w:hanging="360"/>
      </w:pPr>
    </w:lvl>
    <w:lvl w:ilvl="3" w:tplc="22A6C73A">
      <w:start w:val="1"/>
      <w:numFmt w:val="bullet"/>
      <w:lvlText w:val="●"/>
      <w:lvlJc w:val="left"/>
      <w:pPr>
        <w:ind w:left="2880" w:hanging="360"/>
      </w:pPr>
    </w:lvl>
    <w:lvl w:ilvl="4" w:tplc="A6C8DCEE">
      <w:start w:val="1"/>
      <w:numFmt w:val="bullet"/>
      <w:lvlText w:val="○"/>
      <w:lvlJc w:val="left"/>
      <w:pPr>
        <w:ind w:left="3600" w:hanging="360"/>
      </w:pPr>
    </w:lvl>
    <w:lvl w:ilvl="5" w:tplc="225A4102">
      <w:start w:val="1"/>
      <w:numFmt w:val="bullet"/>
      <w:lvlText w:val="■"/>
      <w:lvlJc w:val="left"/>
      <w:pPr>
        <w:ind w:left="4320" w:hanging="360"/>
      </w:pPr>
    </w:lvl>
    <w:lvl w:ilvl="6" w:tplc="65969896">
      <w:start w:val="1"/>
      <w:numFmt w:val="bullet"/>
      <w:lvlText w:val="●"/>
      <w:lvlJc w:val="left"/>
      <w:pPr>
        <w:ind w:left="5040" w:hanging="360"/>
      </w:pPr>
    </w:lvl>
    <w:lvl w:ilvl="7" w:tplc="3C1A1D7E">
      <w:start w:val="1"/>
      <w:numFmt w:val="bullet"/>
      <w:lvlText w:val="●"/>
      <w:lvlJc w:val="left"/>
      <w:pPr>
        <w:ind w:left="5760" w:hanging="360"/>
      </w:pPr>
    </w:lvl>
    <w:lvl w:ilvl="8" w:tplc="F60CE2CE">
      <w:start w:val="1"/>
      <w:numFmt w:val="bullet"/>
      <w:lvlText w:val="●"/>
      <w:lvlJc w:val="left"/>
      <w:pPr>
        <w:ind w:left="6480" w:hanging="360"/>
      </w:pPr>
    </w:lvl>
  </w:abstractNum>
  <w:abstractNum w:abstractNumId="1">
    <w:nsid w:val="512F437A"/>
    <w:multiLevelType w:val="hybridMultilevel"/>
    <w:tmpl w:val="C9A8BB2E"/>
    <w:lvl w:ilvl="0" w:tplc="6BBEBA96">
      <w:start w:val="1"/>
      <w:numFmt w:val="bullet"/>
      <w:lvlText w:val="•"/>
      <w:lvlJc w:val="left"/>
      <w:pPr>
        <w:ind w:left="540" w:hanging="360"/>
      </w:pPr>
    </w:lvl>
    <w:lvl w:ilvl="1" w:tplc="ACF235C4">
      <w:numFmt w:val="decimal"/>
      <w:lvlText w:val=""/>
      <w:lvlJc w:val="left"/>
    </w:lvl>
    <w:lvl w:ilvl="2" w:tplc="291ECA2E">
      <w:numFmt w:val="decimal"/>
      <w:lvlText w:val=""/>
      <w:lvlJc w:val="left"/>
    </w:lvl>
    <w:lvl w:ilvl="3" w:tplc="F7D4202A">
      <w:numFmt w:val="decimal"/>
      <w:lvlText w:val=""/>
      <w:lvlJc w:val="left"/>
    </w:lvl>
    <w:lvl w:ilvl="4" w:tplc="74369EE4">
      <w:numFmt w:val="decimal"/>
      <w:lvlText w:val=""/>
      <w:lvlJc w:val="left"/>
    </w:lvl>
    <w:lvl w:ilvl="5" w:tplc="33943E64">
      <w:numFmt w:val="decimal"/>
      <w:lvlText w:val=""/>
      <w:lvlJc w:val="left"/>
    </w:lvl>
    <w:lvl w:ilvl="6" w:tplc="0A4A17AE">
      <w:numFmt w:val="decimal"/>
      <w:lvlText w:val=""/>
      <w:lvlJc w:val="left"/>
    </w:lvl>
    <w:lvl w:ilvl="7" w:tplc="B510DB98">
      <w:numFmt w:val="decimal"/>
      <w:lvlText w:val=""/>
      <w:lvlJc w:val="left"/>
    </w:lvl>
    <w:lvl w:ilvl="8" w:tplc="FDC8AB26">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6A6BDF"/>
    <w:rsid w:val="006A6BDF"/>
    <w:rsid w:val="00871CAF"/>
    <w:rsid w:val="00E5752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6A6BDF"/>
    <w:pPr>
      <w:outlineLvl w:val="0"/>
    </w:pPr>
    <w:rPr>
      <w:color w:val="2E74B5"/>
      <w:sz w:val="32"/>
      <w:szCs w:val="32"/>
    </w:rPr>
  </w:style>
  <w:style w:type="paragraph" w:styleId="Heading2">
    <w:name w:val="heading 2"/>
    <w:qFormat/>
    <w:rsid w:val="006A6BDF"/>
    <w:pPr>
      <w:outlineLvl w:val="1"/>
    </w:pPr>
    <w:rPr>
      <w:color w:val="2E74B5"/>
      <w:sz w:val="26"/>
      <w:szCs w:val="26"/>
    </w:rPr>
  </w:style>
  <w:style w:type="paragraph" w:styleId="Heading3">
    <w:name w:val="heading 3"/>
    <w:qFormat/>
    <w:rsid w:val="006A6BDF"/>
    <w:pPr>
      <w:outlineLvl w:val="2"/>
    </w:pPr>
    <w:rPr>
      <w:color w:val="1F4D78"/>
      <w:sz w:val="24"/>
      <w:szCs w:val="24"/>
    </w:rPr>
  </w:style>
  <w:style w:type="paragraph" w:styleId="Heading4">
    <w:name w:val="heading 4"/>
    <w:qFormat/>
    <w:rsid w:val="006A6BDF"/>
    <w:pPr>
      <w:outlineLvl w:val="3"/>
    </w:pPr>
    <w:rPr>
      <w:i/>
      <w:iCs/>
      <w:color w:val="2E74B5"/>
    </w:rPr>
  </w:style>
  <w:style w:type="paragraph" w:styleId="Heading5">
    <w:name w:val="heading 5"/>
    <w:qFormat/>
    <w:rsid w:val="006A6BDF"/>
    <w:pPr>
      <w:outlineLvl w:val="4"/>
    </w:pPr>
    <w:rPr>
      <w:color w:val="2E74B5"/>
    </w:rPr>
  </w:style>
  <w:style w:type="paragraph" w:styleId="Heading6">
    <w:name w:val="heading 6"/>
    <w:qFormat/>
    <w:rsid w:val="006A6BDF"/>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6A6BDF"/>
    <w:rPr>
      <w:sz w:val="56"/>
      <w:szCs w:val="56"/>
    </w:rPr>
  </w:style>
  <w:style w:type="paragraph" w:customStyle="1" w:styleId="Strong1">
    <w:name w:val="Strong1"/>
    <w:qFormat/>
    <w:rsid w:val="006A6BDF"/>
    <w:rPr>
      <w:b/>
      <w:bCs/>
    </w:rPr>
  </w:style>
  <w:style w:type="paragraph" w:styleId="ListParagraph">
    <w:name w:val="List Paragraph"/>
    <w:qFormat/>
    <w:rsid w:val="006A6BDF"/>
  </w:style>
  <w:style w:type="character" w:styleId="Hyperlink">
    <w:name w:val="Hyperlink"/>
    <w:uiPriority w:val="99"/>
    <w:unhideWhenUsed/>
    <w:rsid w:val="006A6BDF"/>
    <w:rPr>
      <w:color w:val="0563C1"/>
      <w:u w:val="single"/>
    </w:rPr>
  </w:style>
  <w:style w:type="character" w:styleId="FootnoteReference">
    <w:name w:val="footnote reference"/>
    <w:uiPriority w:val="99"/>
    <w:semiHidden/>
    <w:unhideWhenUsed/>
    <w:rsid w:val="006A6BDF"/>
    <w:rPr>
      <w:vertAlign w:val="superscript"/>
    </w:rPr>
  </w:style>
  <w:style w:type="paragraph" w:styleId="FootnoteText">
    <w:name w:val="footnote text"/>
    <w:link w:val="FootnoteTextChar"/>
    <w:uiPriority w:val="99"/>
    <w:semiHidden/>
    <w:unhideWhenUsed/>
    <w:rsid w:val="006A6BDF"/>
  </w:style>
  <w:style w:type="character" w:customStyle="1" w:styleId="FootnoteTextChar">
    <w:name w:val="Footnote Text Char"/>
    <w:link w:val="FootnoteText"/>
    <w:uiPriority w:val="99"/>
    <w:semiHidden/>
    <w:unhideWhenUsed/>
    <w:rsid w:val="006A6BDF"/>
    <w:rPr>
      <w:sz w:val="20"/>
      <w:szCs w:val="20"/>
    </w:rPr>
  </w:style>
  <w:style w:type="character" w:styleId="EndnoteReference">
    <w:name w:val="endnote reference"/>
    <w:uiPriority w:val="99"/>
    <w:semiHidden/>
    <w:unhideWhenUsed/>
    <w:rsid w:val="006A6BDF"/>
    <w:rPr>
      <w:vertAlign w:val="superscript"/>
    </w:rPr>
  </w:style>
  <w:style w:type="paragraph" w:styleId="EndnoteText">
    <w:name w:val="endnote text"/>
    <w:link w:val="EndnoteTextChar"/>
    <w:uiPriority w:val="99"/>
    <w:semiHidden/>
    <w:unhideWhenUsed/>
    <w:rsid w:val="006A6BDF"/>
  </w:style>
  <w:style w:type="character" w:customStyle="1" w:styleId="EndnoteTextChar">
    <w:name w:val="Endnote Text Char"/>
    <w:link w:val="EndnoteText"/>
    <w:uiPriority w:val="99"/>
    <w:semiHidden/>
    <w:unhideWhenUsed/>
    <w:rsid w:val="006A6BDF"/>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2282</Words>
  <Characters>13014</Characters>
  <Application>Microsoft Office Word</Application>
  <DocSecurity>0</DocSecurity>
  <Lines>108</Lines>
  <Paragraphs>30</Paragraphs>
  <ScaleCrop>false</ScaleCrop>
  <Company>Grizli777</Company>
  <LinksUpToDate>false</LinksUpToDate>
  <CharactersWithSpaces>15266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2026-06-17T11:27:00Z</dcterms:created>
  <dcterms:modified xsi:type="dcterms:W3CDTF">2026-06-17T11:27:00Z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