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sz w:val="26"/>
          <w:szCs w:val="26"/>
        </w:rPr>
      </w:pPr>
      <w:r w:rsidDel="00000000" w:rsidR="00000000" w:rsidRPr="00000000">
        <w:rPr>
          <w:rFonts w:ascii="Arial" w:cs="Arial" w:eastAsia="Arial" w:hAnsi="Arial"/>
          <w:b w:val="1"/>
          <w:sz w:val="28"/>
          <w:szCs w:val="28"/>
          <w:rtl w:val="0"/>
        </w:rPr>
        <w:t xml:space="preserve">SVSTI’s – Self-Monitoring Policy </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color w:val="212121"/>
          <w:sz w:val="24"/>
          <w:szCs w:val="24"/>
        </w:rPr>
      </w:pPr>
      <w:r w:rsidDel="00000000" w:rsidR="00000000" w:rsidRPr="00000000">
        <w:rPr>
          <w:rFonts w:ascii="Arial" w:cs="Arial" w:eastAsia="Arial" w:hAnsi="Arial"/>
          <w:sz w:val="24"/>
          <w:szCs w:val="24"/>
          <w:rtl w:val="0"/>
        </w:rPr>
        <w:t xml:space="preserve">Silicon Valley Surgi-Tech Institute makes every effort to comply with the current policies and procedures enacted and required by the California Bureau for Private Postsecondary Education (BPPE). SVSTI’s </w:t>
      </w:r>
      <w:r w:rsidDel="00000000" w:rsidR="00000000" w:rsidRPr="00000000">
        <w:rPr>
          <w:rFonts w:ascii="Arial" w:cs="Arial" w:eastAsia="Arial" w:hAnsi="Arial"/>
          <w:color w:val="212121"/>
          <w:sz w:val="24"/>
          <w:szCs w:val="24"/>
          <w:rtl w:val="0"/>
        </w:rPr>
        <w:t xml:space="preserve">Policy for Self Monitoring and Compliance with the</w:t>
      </w:r>
      <w:r w:rsidDel="00000000" w:rsidR="00000000" w:rsidRPr="00000000">
        <w:rPr>
          <w:rFonts w:ascii="Arial" w:cs="Arial" w:eastAsia="Arial" w:hAnsi="Arial"/>
          <w:sz w:val="24"/>
          <w:szCs w:val="24"/>
          <w:rtl w:val="0"/>
        </w:rPr>
        <w:t xml:space="preserve"> </w:t>
      </w:r>
      <w:hyperlink r:id="rId6">
        <w:r w:rsidDel="00000000" w:rsidR="00000000" w:rsidRPr="00000000">
          <w:rPr>
            <w:rFonts w:ascii="Arial" w:cs="Arial" w:eastAsia="Arial" w:hAnsi="Arial"/>
            <w:color w:val="001393"/>
            <w:sz w:val="24"/>
            <w:szCs w:val="24"/>
            <w:u w:val="single"/>
            <w:rtl w:val="0"/>
          </w:rPr>
          <w:t xml:space="preserve">BPPE Regulations</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12121"/>
          <w:sz w:val="24"/>
          <w:szCs w:val="24"/>
          <w:rtl w:val="0"/>
        </w:rPr>
        <w:t xml:space="preserve"> (This link will open a new website outside of SVSTI on the State of California BPPE website.)</w:t>
      </w:r>
    </w:p>
    <w:p w:rsidR="00000000" w:rsidDel="00000000" w:rsidP="00000000" w:rsidRDefault="00000000" w:rsidRPr="00000000" w14:paraId="00000004">
      <w:pPr>
        <w:shd w:fill="ffffff" w:val="clear"/>
        <w:spacing w:line="360" w:lineRule="auto"/>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SVSTI continuously gathers information about the effectiveness of its academic programs, the progress of students toward educational and personal goals, and the achievements and perspectives of graduates. </w:t>
      </w:r>
    </w:p>
    <w:p w:rsidR="00000000" w:rsidDel="00000000" w:rsidP="00000000" w:rsidRDefault="00000000" w:rsidRPr="00000000" w14:paraId="00000005">
      <w:pPr>
        <w:tabs>
          <w:tab w:val="left" w:leader="none" w:pos="5910"/>
        </w:tabs>
        <w:spacing w:line="360" w:lineRule="auto"/>
        <w:rPr>
          <w:rFonts w:ascii="Arial" w:cs="Arial" w:eastAsia="Arial" w:hAnsi="Arial"/>
          <w:sz w:val="24"/>
          <w:szCs w:val="24"/>
        </w:rPr>
      </w:pPr>
      <w:bookmarkStart w:colFirst="0" w:colLast="0" w:name="_3dy6vkm" w:id="0"/>
      <w:bookmarkEnd w:id="0"/>
      <w:r w:rsidDel="00000000" w:rsidR="00000000" w:rsidRPr="00000000">
        <w:rPr>
          <w:rFonts w:ascii="Arial" w:cs="Arial" w:eastAsia="Arial" w:hAnsi="Arial"/>
          <w:sz w:val="24"/>
          <w:szCs w:val="24"/>
          <w:rtl w:val="0"/>
        </w:rPr>
        <w:t xml:space="preserve">The Silicon Valley Surgi-Tech Institute Program Effectiveness Plan (PEP) is the evaluation tool used for internal quality assessment. The SVSTI PEP evaluates the Surgical Technology &amp; Sterile Processing Programs by establishing and documenting specific goals, collecting outcome data relevant to its goals, and setting strategies to improve program performance. </w:t>
      </w:r>
    </w:p>
    <w:p w:rsidR="00000000" w:rsidDel="00000000" w:rsidP="00000000" w:rsidRDefault="00000000" w:rsidRPr="00000000" w14:paraId="00000006">
      <w:pPr>
        <w:tabs>
          <w:tab w:val="left" w:leader="none" w:pos="5910"/>
        </w:tabs>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SVSTI PEP will fulfill several purposes, including:</w:t>
      </w:r>
    </w:p>
    <w:p w:rsidR="00000000" w:rsidDel="00000000" w:rsidP="00000000" w:rsidRDefault="00000000" w:rsidRPr="00000000" w14:paraId="00000007">
      <w:pPr>
        <w:tabs>
          <w:tab w:val="left" w:leader="none" w:pos="5910"/>
        </w:tabs>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Assisting the Academic Programs in achieving internal effectiveness through established goals for both short- and long-term successes.  Further, criteria for measuring the accomplishment of these goals is defined, allowing the Programs to focus its objectives and activities on the critical processes needed for effectiveness. SVSTI’s Academic Programs goals and criteria are used to unify administrative and educational outcomes, which help achieve a high degree of commitment and student success.</w:t>
      </w:r>
    </w:p>
    <w:p w:rsidR="00000000" w:rsidDel="00000000" w:rsidP="00000000" w:rsidRDefault="00000000" w:rsidRPr="00000000" w14:paraId="00000008">
      <w:pPr>
        <w:tabs>
          <w:tab w:val="left" w:leader="none" w:pos="5910"/>
        </w:tabs>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At minimum annually, SVSTI assesses its Programs’ progress and the need for change and continuously reviews the process for timely changes to the Program.  SVSTI makes timely changes based upon valid information received to achieve even greater effectiveness.</w:t>
      </w:r>
    </w:p>
    <w:p w:rsidR="00000000" w:rsidDel="00000000" w:rsidP="00000000" w:rsidRDefault="00000000" w:rsidRPr="00000000" w14:paraId="00000009">
      <w:pPr>
        <w:tabs>
          <w:tab w:val="left" w:leader="none" w:pos="5910"/>
        </w:tabs>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Communicating key information at minimum annually regarding the Program’s goals, its degree of effectiveness, and how it plans to enhance overall quality to the public, which includes graduates, employers, and community leaders.  SVSTI’s Performance Fact Sheet, which depicts important elements of the program’s operation, communicates clearly  to the public how well the program is meeting the needs of students.</w:t>
      </w:r>
    </w:p>
    <w:p w:rsidR="00000000" w:rsidDel="00000000" w:rsidP="00000000" w:rsidRDefault="00000000" w:rsidRPr="00000000" w14:paraId="0000000A">
      <w:pPr>
        <w:tabs>
          <w:tab w:val="left" w:leader="none" w:pos="5910"/>
        </w:tabs>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SVSTI measures how it’s PEP meets the expectations and requirements of its approving or accrediting organizations, (ABHES, ARC/STSA, CAAHEP, and BPPE) to demonstrate regulatory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compliance. SVSTI defines the Surgical Technology and Sterile Processing Program goals and educational processes in accordance with its accrediting agencies’ measurement of overall effectiveness and the quality of programs and services provided.</w:t>
      </w:r>
    </w:p>
    <w:p w:rsidR="00000000" w:rsidDel="00000000" w:rsidP="00000000" w:rsidRDefault="00000000" w:rsidRPr="00000000" w14:paraId="0000000B">
      <w:pPr>
        <w:shd w:fill="ffffff" w:val="clea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hd w:fill="ffffff" w:val="clear"/>
        <w:spacing w:line="360" w:lineRule="auto"/>
        <w:rPr>
          <w:rFonts w:ascii="Arial" w:cs="Arial" w:eastAsia="Arial" w:hAnsi="Arial"/>
          <w:sz w:val="24"/>
          <w:szCs w:val="24"/>
        </w:rPr>
      </w:pPr>
      <w:r w:rsidDel="00000000" w:rsidR="00000000" w:rsidRPr="00000000">
        <w:rPr>
          <w:rFonts w:ascii="Arial" w:cs="Arial" w:eastAsia="Arial" w:hAnsi="Arial"/>
          <w:color w:val="212121"/>
          <w:sz w:val="24"/>
          <w:szCs w:val="24"/>
          <w:rtl w:val="0"/>
        </w:rPr>
        <w:t xml:space="preserve">The Self Monitoring information is used to monitor program effectiveness, to recognize educational trends and opportunities, and to develop a sound, factual basis for academic planning. Each graduate is expected to participate in SVSTI’s assessment efforts. Academic programs use various assessment methods. Student participation in these activities may be a completion requirement for some programs. </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color w:val="212121"/>
          <w:sz w:val="24"/>
          <w:szCs w:val="24"/>
        </w:rPr>
      </w:pPr>
      <w:r w:rsidDel="00000000" w:rsidR="00000000" w:rsidRPr="00000000">
        <w:rPr>
          <w:rFonts w:ascii="Arial" w:cs="Arial" w:eastAsia="Arial" w:hAnsi="Arial"/>
          <w:sz w:val="24"/>
          <w:szCs w:val="24"/>
          <w:rtl w:val="0"/>
        </w:rPr>
        <w:t xml:space="preserve">The Chief Academic Director regularly reviews pertinent BPPE laws and regulations that affect the operations of the school. These include the California Private Postsecondary Education Act of 2009, SB Bill 1192, Student Tuition Recovery Fund, Title 5. Division 7.5 California Code of Regulations, and Disciplinary Guidelines. Copies of these documents are maintained in the Director’s office. SVSTI informs students, staff, and faculty of these policies and procedures. At least once per year, the Chief Academic Director meets with Program Advisory Committee Members and Faculty to review Program Outcomes and proposed improvements.</w:t>
      </w:r>
      <w:r w:rsidDel="00000000" w:rsidR="00000000" w:rsidRPr="00000000">
        <w:rPr>
          <w:rFonts w:ascii="Arial" w:cs="Arial" w:eastAsia="Arial" w:hAnsi="Arial"/>
          <w:color w:val="212121"/>
          <w:sz w:val="24"/>
          <w:szCs w:val="24"/>
          <w:rtl w:val="0"/>
        </w:rPr>
        <w:t xml:space="preserve">It shall be the policy of SVSTI to comply with all applicable standards, regulations, rules and laws promulgated by local, state and federal regulators.</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