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0" distT="0" distL="0" distR="0">
            <wp:extent cx="981075" cy="847725"/>
            <wp:effectExtent b="0" l="0" r="0" t="0"/>
            <wp:docPr descr="Logo&#10;&#10;Description automatically generated" id="1" name="image1.jpg"/>
            <a:graphic>
              <a:graphicData uri="http://schemas.openxmlformats.org/drawingml/2006/picture">
                <pic:pic>
                  <pic:nvPicPr>
                    <pic:cNvPr descr="Logo&#10;&#10;Description automatically generated" id="0" name="image1.jpg"/>
                    <pic:cNvPicPr preferRelativeResize="0"/>
                  </pic:nvPicPr>
                  <pic:blipFill>
                    <a:blip r:embed="rId6"/>
                    <a:srcRect b="0" l="0" r="0" t="0"/>
                    <a:stretch>
                      <a:fillRect/>
                    </a:stretch>
                  </pic:blipFill>
                  <pic:spPr>
                    <a:xfrm>
                      <a:off x="0" y="0"/>
                      <a:ext cx="981075" cy="8477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jc w:val="center"/>
        <w:rPr>
          <w:rFonts w:ascii="Calibri" w:cs="Calibri" w:eastAsia="Calibri" w:hAnsi="Calibri"/>
          <w:b w:val="1"/>
          <w:bCs w:val="1"/>
          <w:sz w:val="30"/>
          <w:szCs w:val="30"/>
          <w:u w:val="single"/>
        </w:rPr>
      </w:pPr>
      <w:r w:rsidDel="00000000" w:rsidR="00000000" w:rsidRPr="00000000">
        <w:rPr>
          <w:rFonts w:ascii="Calibri" w:cs="Calibri" w:eastAsia="Calibri" w:hAnsi="Calibri"/>
          <w:b w:val="1"/>
          <w:bCs w:val="1"/>
          <w:sz w:val="30"/>
          <w:szCs w:val="30"/>
          <w:u w:val="single"/>
          <w:rtl w:val="0"/>
        </w:rPr>
        <w:t xml:space="preserve">Limited English Proficiency (LEP) </w:t>
      </w:r>
    </w:p>
    <w:p w:rsidR="00000000" w:rsidDel="00000000" w:rsidP="00000000" w:rsidRDefault="00000000" w:rsidRPr="00000000" w14:paraId="00000003">
      <w:pPr>
        <w:spacing w:after="240" w:before="240"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Policy and procedures for communication with persons with limited English Proficiency: Silicon Valley Surgi-Tech Institute will take reasonable steps to ensure that persons with Limited English Proficiency (LEP) have meaningful access and an equal opportunity to participate in our services. Applicants with Limited English Proficiency (LEP) should be referred to </w:t>
      </w:r>
      <w:hyperlink r:id="rId7">
        <w:r w:rsidDel="00000000" w:rsidR="00000000" w:rsidRPr="00000000">
          <w:rPr>
            <w:rFonts w:ascii="Calibri" w:cs="Calibri" w:eastAsia="Calibri" w:hAnsi="Calibri"/>
            <w:color w:val="1155cc"/>
            <w:sz w:val="26"/>
            <w:szCs w:val="26"/>
            <w:u w:val="single"/>
            <w:rtl w:val="0"/>
          </w:rPr>
          <w:t xml:space="preserve">https://www.santaclaraadulted.org/esl/</w:t>
        </w:r>
      </w:hyperlink>
      <w:r w:rsidDel="00000000" w:rsidR="00000000" w:rsidRPr="00000000">
        <w:rPr>
          <w:rFonts w:ascii="Calibri" w:cs="Calibri" w:eastAsia="Calibri" w:hAnsi="Calibri"/>
          <w:sz w:val="26"/>
          <w:szCs w:val="26"/>
          <w:rtl w:val="0"/>
        </w:rPr>
        <w:t xml:space="preserve"> for the opportunity to complete courses directed for English as a Second Language learners. They are encouraged to return when they have increased their English skills.</w:t>
      </w:r>
    </w:p>
    <w:p w:rsidR="00000000" w:rsidDel="00000000" w:rsidP="00000000" w:rsidRDefault="00000000" w:rsidRPr="00000000" w14:paraId="00000004">
      <w:pPr>
        <w:spacing w:after="240" w:before="240" w:lineRule="auto"/>
        <w:jc w:val="center"/>
        <w:rPr>
          <w:rFonts w:ascii="Calibri" w:cs="Calibri" w:eastAsia="Calibri" w:hAnsi="Calibri"/>
          <w:b w:val="1"/>
          <w:bCs w:val="1"/>
          <w:sz w:val="30"/>
          <w:szCs w:val="30"/>
          <w:u w:val="single"/>
        </w:rPr>
      </w:pPr>
      <w:r w:rsidDel="00000000" w:rsidR="00000000" w:rsidRPr="00000000">
        <w:rPr>
          <w:rFonts w:ascii="Calibri" w:cs="Calibri" w:eastAsia="Calibri" w:hAnsi="Calibri"/>
          <w:b w:val="1"/>
          <w:bCs w:val="1"/>
          <w:sz w:val="30"/>
          <w:szCs w:val="30"/>
          <w:u w:val="single"/>
          <w:rtl w:val="0"/>
        </w:rPr>
        <w:t xml:space="preserve">WIOA Title-I</w:t>
      </w:r>
    </w:p>
    <w:p w:rsidR="00000000" w:rsidDel="00000000" w:rsidP="00000000" w:rsidRDefault="00000000" w:rsidRPr="00000000" w14:paraId="00000005">
      <w:pPr>
        <w:spacing w:after="240" w:before="240" w:lineRule="auto"/>
        <w:jc w:val="left"/>
        <w:rPr>
          <w:rFonts w:ascii="Calibri" w:cs="Calibri" w:eastAsia="Calibri" w:hAnsi="Calibri"/>
          <w:sz w:val="24"/>
          <w:szCs w:val="24"/>
        </w:rPr>
      </w:pPr>
      <w:r w:rsidDel="00000000" w:rsidR="00000000" w:rsidRPr="00000000">
        <w:rPr>
          <w:rFonts w:ascii="Calibri" w:cs="Calibri" w:eastAsia="Calibri" w:hAnsi="Calibri"/>
          <w:sz w:val="26"/>
          <w:szCs w:val="26"/>
          <w:rtl w:val="0"/>
        </w:rPr>
        <w:t xml:space="preserve">The U.S. Department of Labor regulations implementing the nondiscrimination and equal opportunity provisions of Section 188 of the Workforce Innovation and Opportunity Act (WIOA). Signed by President Obama on July 22, 2014, WIOA superseded the Workforce Investment Act of 1998 (WIOA) as the department’s primary mechanism for providing financial assistance for a comprehensive system of job training and placement services for adults and eligible youth. Section 188 of WIOA prohibits the exclusion of an individual from participation in, denial of the benefits of, discrimination in, or denial of employment in the administration of or in whole or in part under Title I of WIOA because of race, color, religion, sex, national origin, age, disability, ot political affiliation or belief, or, for beneficiaries, applicants, and participants only, on the basis of citizenship status, or participation in a program or activity that receives financial assistance under Title I of WIOA. </w:t>
      </w:r>
      <w:hyperlink r:id="rId8">
        <w:r w:rsidDel="00000000" w:rsidR="00000000" w:rsidRPr="00000000">
          <w:rPr>
            <w:rFonts w:ascii="Calibri" w:cs="Calibri" w:eastAsia="Calibri" w:hAnsi="Calibri"/>
            <w:color w:val="1155cc"/>
            <w:sz w:val="26"/>
            <w:szCs w:val="26"/>
            <w:u w:val="single"/>
            <w:rtl w:val="0"/>
          </w:rPr>
          <w:t xml:space="preserve">https://www.federalregister.gov/documents/2016/12/02/2016-27737/implementation-of-the-nondiscrimination-and-equal-opportunity-provisions-of-the-workforce-innovation</w:t>
        </w:r>
      </w:hyperlink>
      <w:r w:rsidDel="00000000" w:rsidR="00000000" w:rsidRPr="00000000">
        <w:rPr>
          <w:rtl w:val="0"/>
        </w:rPr>
      </w:r>
    </w:p>
    <w:p w:rsidR="00000000" w:rsidDel="00000000" w:rsidP="00000000" w:rsidRDefault="00000000" w:rsidRPr="00000000" w14:paraId="00000006">
      <w:pPr>
        <w:spacing w:after="240" w:before="240" w:lineRule="auto"/>
        <w:jc w:val="center"/>
        <w:rPr>
          <w:rFonts w:ascii="Calibri" w:cs="Calibri" w:eastAsia="Calibri" w:hAnsi="Calibri"/>
          <w:b w:val="1"/>
          <w:bCs w:val="1"/>
          <w:sz w:val="30"/>
          <w:szCs w:val="30"/>
          <w:u w:val="single"/>
        </w:rPr>
      </w:pPr>
      <w:r w:rsidDel="00000000" w:rsidR="00000000" w:rsidRPr="00000000">
        <w:rPr>
          <w:rFonts w:ascii="Calibri" w:cs="Calibri" w:eastAsia="Calibri" w:hAnsi="Calibri"/>
          <w:b w:val="1"/>
          <w:bCs w:val="1"/>
          <w:sz w:val="30"/>
          <w:szCs w:val="30"/>
          <w:u w:val="single"/>
          <w:rtl w:val="0"/>
        </w:rPr>
        <w:t xml:space="preserve">TTY/TDD Communications Services for Individuals with Hearing or Speech Impairments</w:t>
      </w:r>
    </w:p>
    <w:p w:rsidR="00000000" w:rsidDel="00000000" w:rsidP="00000000" w:rsidRDefault="00000000" w:rsidRPr="00000000" w14:paraId="00000007">
      <w:pPr>
        <w:spacing w:after="240" w:before="240" w:lineRule="auto"/>
        <w:jc w:val="left"/>
        <w:rPr>
          <w:rFonts w:ascii="Calibri" w:cs="Calibri" w:eastAsia="Calibri" w:hAnsi="Calibri"/>
          <w:sz w:val="24"/>
          <w:szCs w:val="24"/>
        </w:rPr>
      </w:pPr>
      <w:r w:rsidDel="00000000" w:rsidR="00000000" w:rsidRPr="00000000">
        <w:rPr>
          <w:rFonts w:ascii="Calibri" w:cs="Calibri" w:eastAsia="Calibri" w:hAnsi="Calibri"/>
          <w:sz w:val="26"/>
          <w:szCs w:val="26"/>
          <w:rtl w:val="0"/>
        </w:rPr>
        <w:t xml:space="preserve">TTY/TDD Text Telephone for communication with individuals who are deaf or hard of hearing or have speech impairments. 408-777-5625. </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santaclaraadulted.org/esl/" TargetMode="External"/><Relationship Id="rId8" Type="http://schemas.openxmlformats.org/officeDocument/2006/relationships/hyperlink" Target="https://www.federalregister.gov/documents/2016/12/02/2016-27737/implementation-of-the-nondiscrimination-and-equal-opportunity-provisions-of-the-workforce-innov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