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9646A8" w14:textId="77777777" w:rsidR="00240520" w:rsidRPr="008B4B86" w:rsidRDefault="00240520" w:rsidP="00240520">
      <w:pPr>
        <w:rPr>
          <w:b/>
          <w:bCs/>
          <w:sz w:val="28"/>
          <w:szCs w:val="28"/>
        </w:rPr>
      </w:pPr>
      <w:r w:rsidRPr="008B4B86">
        <w:rPr>
          <w:b/>
          <w:bCs/>
          <w:sz w:val="28"/>
          <w:szCs w:val="28"/>
        </w:rPr>
        <w:t>MINERVA GOVERNANCE PAPERS</w:t>
      </w:r>
    </w:p>
    <w:p w14:paraId="40216C07" w14:textId="77777777" w:rsidR="00240520" w:rsidRPr="008B4B86" w:rsidRDefault="00240520" w:rsidP="00240520">
      <w:pPr>
        <w:rPr>
          <w:b/>
          <w:bCs/>
        </w:rPr>
      </w:pPr>
      <w:r w:rsidRPr="008B4B86">
        <w:rPr>
          <w:b/>
          <w:bCs/>
        </w:rPr>
        <w:t>Research Series on Academic Governance, Institutional Intelligence, and Higher Education Innovation</w:t>
      </w:r>
    </w:p>
    <w:p w14:paraId="5D3A2FF1" w14:textId="77777777" w:rsidR="00240520" w:rsidRPr="008B4B86" w:rsidRDefault="00240520" w:rsidP="00240520">
      <w:r>
        <w:pict w14:anchorId="5C173E02">
          <v:rect id="_x0000_i1025" style="width:0;height:1.5pt" o:hralign="center" o:hrstd="t" o:hr="t" fillcolor="#a0a0a0" stroked="f"/>
        </w:pict>
      </w:r>
    </w:p>
    <w:p w14:paraId="1C4E23DE" w14:textId="77777777" w:rsidR="00240520" w:rsidRPr="008B4B86" w:rsidRDefault="00240520" w:rsidP="00240520">
      <w:pPr>
        <w:rPr>
          <w:b/>
          <w:bCs/>
          <w:sz w:val="23"/>
          <w:szCs w:val="23"/>
        </w:rPr>
      </w:pPr>
      <w:r w:rsidRPr="008B4B86">
        <w:rPr>
          <w:b/>
          <w:bCs/>
          <w:sz w:val="23"/>
          <w:szCs w:val="23"/>
        </w:rPr>
        <w:t>Paper No. 3</w:t>
      </w:r>
    </w:p>
    <w:p w14:paraId="7CC2C407" w14:textId="77777777" w:rsidR="00240520" w:rsidRPr="008B4B86" w:rsidRDefault="00240520" w:rsidP="00240520">
      <w:pPr>
        <w:rPr>
          <w:b/>
          <w:bCs/>
          <w:sz w:val="23"/>
          <w:szCs w:val="23"/>
        </w:rPr>
      </w:pPr>
      <w:r w:rsidRPr="008B4B86">
        <w:rPr>
          <w:b/>
          <w:bCs/>
          <w:sz w:val="23"/>
          <w:szCs w:val="23"/>
        </w:rPr>
        <w:t>From Academic Execution Admissibility to Canonical Academic Governance Architecture</w:t>
      </w:r>
    </w:p>
    <w:p w14:paraId="56E72C37" w14:textId="77777777" w:rsidR="00240520" w:rsidRPr="008B4B86" w:rsidRDefault="00240520" w:rsidP="00240520">
      <w:pPr>
        <w:rPr>
          <w:b/>
          <w:bCs/>
          <w:sz w:val="23"/>
          <w:szCs w:val="23"/>
        </w:rPr>
      </w:pPr>
      <w:r w:rsidRPr="008B4B86">
        <w:rPr>
          <w:b/>
          <w:bCs/>
          <w:sz w:val="23"/>
          <w:szCs w:val="23"/>
        </w:rPr>
        <w:t>How Governance Became the Foundation of Institutional Intelligence</w:t>
      </w:r>
    </w:p>
    <w:p w14:paraId="7D981491" w14:textId="77777777" w:rsidR="00240520" w:rsidRPr="008B4B86" w:rsidRDefault="00240520" w:rsidP="00240520">
      <w:pPr>
        <w:rPr>
          <w:b/>
          <w:bCs/>
          <w:sz w:val="23"/>
          <w:szCs w:val="23"/>
        </w:rPr>
      </w:pPr>
      <w:r w:rsidRPr="008B4B86">
        <w:rPr>
          <w:b/>
          <w:bCs/>
          <w:i/>
          <w:iCs/>
          <w:sz w:val="23"/>
          <w:szCs w:val="23"/>
        </w:rPr>
        <w:t>A Framework for Governing Curriculum, Assessment, Evidence, Accreditation, Artificial Intelligence, and Executive Decision-Making Across the Academic Enterprise</w:t>
      </w:r>
    </w:p>
    <w:p w14:paraId="6E2C9115" w14:textId="77777777" w:rsidR="00C65F0B" w:rsidRDefault="00C65F0B" w:rsidP="00240520">
      <w:pPr>
        <w:rPr>
          <w:sz w:val="22"/>
          <w:szCs w:val="22"/>
        </w:rPr>
      </w:pPr>
    </w:p>
    <w:p w14:paraId="6A26230F" w14:textId="4D1752D2" w:rsidR="00C65F0B" w:rsidRPr="00C65F0B" w:rsidRDefault="00C65F0B" w:rsidP="00240520">
      <w:pPr>
        <w:rPr>
          <w:i/>
          <w:iCs/>
          <w:sz w:val="20"/>
          <w:szCs w:val="20"/>
        </w:rPr>
      </w:pPr>
      <w:r w:rsidRPr="00C65F0B">
        <w:rPr>
          <w:i/>
          <w:iCs/>
          <w:sz w:val="20"/>
          <w:szCs w:val="20"/>
        </w:rPr>
        <w:t>Research in Progress</w:t>
      </w:r>
    </w:p>
    <w:p w14:paraId="4E59EFAB" w14:textId="3EC6C2A6" w:rsidR="00240520" w:rsidRPr="008B4B86" w:rsidRDefault="00240520" w:rsidP="00240520">
      <w:pPr>
        <w:rPr>
          <w:sz w:val="22"/>
          <w:szCs w:val="22"/>
        </w:rPr>
      </w:pPr>
      <w:r>
        <w:rPr>
          <w:sz w:val="22"/>
          <w:szCs w:val="22"/>
        </w:rPr>
        <w:pict w14:anchorId="02B2C393">
          <v:rect id="_x0000_i1026" style="width:0;height:1.5pt" o:hralign="center" o:hrstd="t" o:hr="t" fillcolor="#a0a0a0" stroked="f"/>
        </w:pict>
      </w:r>
    </w:p>
    <w:p w14:paraId="6B4C49A9" w14:textId="77777777" w:rsidR="00240520" w:rsidRPr="008B4B86" w:rsidRDefault="00240520" w:rsidP="00240520">
      <w:pPr>
        <w:rPr>
          <w:sz w:val="22"/>
          <w:szCs w:val="22"/>
        </w:rPr>
      </w:pPr>
      <w:r w:rsidRPr="008B4B86">
        <w:rPr>
          <w:b/>
          <w:bCs/>
          <w:sz w:val="22"/>
          <w:szCs w:val="22"/>
        </w:rPr>
        <w:t>Melissa A. Traino, MA</w:t>
      </w:r>
      <w:r w:rsidRPr="008B4B86">
        <w:rPr>
          <w:sz w:val="22"/>
          <w:szCs w:val="22"/>
        </w:rPr>
        <w:br/>
        <w:t>Founder &amp; Chief Architect</w:t>
      </w:r>
      <w:r w:rsidRPr="008B4B86">
        <w:rPr>
          <w:sz w:val="22"/>
          <w:szCs w:val="22"/>
        </w:rPr>
        <w:br/>
      </w:r>
      <w:r w:rsidRPr="008B4B86">
        <w:rPr>
          <w:b/>
          <w:bCs/>
          <w:sz w:val="22"/>
          <w:szCs w:val="22"/>
        </w:rPr>
        <w:t>Minerva Governance</w:t>
      </w:r>
    </w:p>
    <w:p w14:paraId="68B2D0BA" w14:textId="77777777" w:rsidR="00240520" w:rsidRPr="008B4B86" w:rsidRDefault="00240520" w:rsidP="00240520">
      <w:pPr>
        <w:rPr>
          <w:sz w:val="22"/>
          <w:szCs w:val="22"/>
        </w:rPr>
      </w:pPr>
      <w:r>
        <w:rPr>
          <w:sz w:val="22"/>
          <w:szCs w:val="22"/>
        </w:rPr>
        <w:pict w14:anchorId="1F0580A6">
          <v:rect id="_x0000_i1027" style="width:0;height:1.5pt" o:hralign="center" o:hrstd="t" o:hr="t" fillcolor="#a0a0a0" stroked="f"/>
        </w:pict>
      </w:r>
    </w:p>
    <w:p w14:paraId="2EFE64FC" w14:textId="77777777" w:rsidR="00240520" w:rsidRPr="008B4B86" w:rsidRDefault="00240520" w:rsidP="00240520">
      <w:pPr>
        <w:rPr>
          <w:sz w:val="22"/>
          <w:szCs w:val="22"/>
        </w:rPr>
      </w:pPr>
      <w:r w:rsidRPr="008B4B86">
        <w:rPr>
          <w:b/>
          <w:bCs/>
          <w:sz w:val="22"/>
          <w:szCs w:val="22"/>
        </w:rPr>
        <w:t>Patent Pending</w:t>
      </w:r>
    </w:p>
    <w:p w14:paraId="7074E339" w14:textId="77777777" w:rsidR="00240520" w:rsidRPr="008B4B86" w:rsidRDefault="00240520" w:rsidP="00240520">
      <w:pPr>
        <w:rPr>
          <w:sz w:val="22"/>
          <w:szCs w:val="22"/>
        </w:rPr>
      </w:pPr>
      <w:r w:rsidRPr="008B4B86">
        <w:rPr>
          <w:i/>
          <w:iCs/>
          <w:sz w:val="22"/>
          <w:szCs w:val="22"/>
        </w:rPr>
        <w:t>System and Method for Governance-Based Academic Execution Admissibility and Assessment Evidence Generation</w:t>
      </w:r>
      <w:r w:rsidRPr="008B4B86">
        <w:rPr>
          <w:sz w:val="22"/>
          <w:szCs w:val="22"/>
        </w:rPr>
        <w:br/>
        <w:t xml:space="preserve">U.S. Provisional Patent Application No. </w:t>
      </w:r>
      <w:r w:rsidRPr="008B4B86">
        <w:rPr>
          <w:b/>
          <w:bCs/>
          <w:sz w:val="22"/>
          <w:szCs w:val="22"/>
        </w:rPr>
        <w:t>64/047,022</w:t>
      </w:r>
    </w:p>
    <w:p w14:paraId="4F3DED14" w14:textId="77777777" w:rsidR="00240520" w:rsidRPr="008B4B86" w:rsidRDefault="00240520" w:rsidP="00240520">
      <w:pPr>
        <w:rPr>
          <w:sz w:val="22"/>
          <w:szCs w:val="22"/>
        </w:rPr>
      </w:pPr>
      <w:r>
        <w:rPr>
          <w:sz w:val="22"/>
          <w:szCs w:val="22"/>
        </w:rPr>
        <w:pict w14:anchorId="31251429">
          <v:rect id="_x0000_i1028" style="width:0;height:1.5pt" o:hralign="center" o:hrstd="t" o:hr="t" fillcolor="#a0a0a0" stroked="f"/>
        </w:pict>
      </w:r>
    </w:p>
    <w:p w14:paraId="15BCFD59" w14:textId="77777777" w:rsidR="00240520" w:rsidRPr="008B4B86" w:rsidRDefault="00240520" w:rsidP="00240520">
      <w:pPr>
        <w:rPr>
          <w:sz w:val="22"/>
          <w:szCs w:val="22"/>
        </w:rPr>
      </w:pPr>
      <w:r w:rsidRPr="008B4B86">
        <w:rPr>
          <w:b/>
          <w:bCs/>
          <w:sz w:val="22"/>
          <w:szCs w:val="22"/>
        </w:rPr>
        <w:t>July 2026</w:t>
      </w:r>
    </w:p>
    <w:p w14:paraId="0E4FF416" w14:textId="77777777" w:rsidR="00240520" w:rsidRPr="008B4B86" w:rsidRDefault="00240520" w:rsidP="00240520">
      <w:pPr>
        <w:rPr>
          <w:sz w:val="22"/>
          <w:szCs w:val="22"/>
        </w:rPr>
      </w:pPr>
      <w:r w:rsidRPr="008B4B86">
        <w:rPr>
          <w:sz w:val="22"/>
          <w:szCs w:val="22"/>
        </w:rPr>
        <w:t>Boca Raton, Florida, USA</w:t>
      </w:r>
    </w:p>
    <w:p w14:paraId="2C539EAD" w14:textId="77777777" w:rsidR="00240520" w:rsidRPr="008B4B86" w:rsidRDefault="00240520" w:rsidP="00240520">
      <w:r>
        <w:rPr>
          <w:sz w:val="22"/>
          <w:szCs w:val="22"/>
        </w:rPr>
        <w:pict w14:anchorId="768327AE">
          <v:rect id="_x0000_i1029" style="width:0;height:1.5pt" o:hralign="center" o:hrstd="t" o:hr="t" fillcolor="#a0a0a0" stroked="f"/>
        </w:pict>
      </w:r>
    </w:p>
    <w:p w14:paraId="1EFB0C8B" w14:textId="77777777" w:rsidR="00240520" w:rsidRDefault="00240520" w:rsidP="00240520"/>
    <w:p w14:paraId="201D0518" w14:textId="77777777" w:rsidR="00240520" w:rsidRDefault="00240520" w:rsidP="00240520"/>
    <w:p w14:paraId="14591FF8" w14:textId="77777777" w:rsidR="00240520" w:rsidRDefault="00240520" w:rsidP="00240520"/>
    <w:p w14:paraId="3A2C340D" w14:textId="77777777" w:rsidR="00240520" w:rsidRDefault="00240520" w:rsidP="00240520"/>
    <w:p w14:paraId="4CD5B116" w14:textId="77777777" w:rsidR="00240520" w:rsidRDefault="00240520" w:rsidP="00240520"/>
    <w:p w14:paraId="3CF77514" w14:textId="77777777" w:rsidR="00240520" w:rsidRDefault="00240520" w:rsidP="00240520"/>
    <w:p w14:paraId="7C53632B" w14:textId="77777777" w:rsidR="00240520" w:rsidRDefault="00240520" w:rsidP="00240520"/>
    <w:p w14:paraId="26105FD5" w14:textId="77777777" w:rsidR="00240520" w:rsidRDefault="00240520" w:rsidP="00240520"/>
    <w:p w14:paraId="5D3947EB" w14:textId="77777777" w:rsidR="00240520" w:rsidRDefault="00240520" w:rsidP="00240520"/>
    <w:p w14:paraId="7988DE88" w14:textId="77777777" w:rsidR="00240520" w:rsidRDefault="00240520" w:rsidP="00240520"/>
    <w:p w14:paraId="12CDF148" w14:textId="77777777" w:rsidR="00240520" w:rsidRDefault="00240520" w:rsidP="00240520"/>
    <w:p w14:paraId="1AC41B5B" w14:textId="77777777" w:rsidR="00240520" w:rsidRDefault="00240520" w:rsidP="00240520">
      <w:pPr>
        <w:rPr>
          <w:b/>
          <w:bCs/>
        </w:rPr>
      </w:pPr>
    </w:p>
    <w:p w14:paraId="4CE05022" w14:textId="77777777" w:rsidR="00240520" w:rsidRDefault="00240520" w:rsidP="00240520">
      <w:pPr>
        <w:rPr>
          <w:b/>
          <w:bCs/>
        </w:rPr>
      </w:pPr>
    </w:p>
    <w:p w14:paraId="01AE23F6" w14:textId="705A223C" w:rsidR="00240520" w:rsidRPr="00735FB7" w:rsidRDefault="00240520" w:rsidP="00240520">
      <w:pPr>
        <w:rPr>
          <w:b/>
          <w:bCs/>
        </w:rPr>
      </w:pPr>
      <w:r w:rsidRPr="00735FB7">
        <w:rPr>
          <w:b/>
          <w:bCs/>
        </w:rPr>
        <w:t>Publication Notice</w:t>
      </w:r>
      <w:r>
        <w:rPr>
          <w:b/>
          <w:bCs/>
        </w:rPr>
        <w:t xml:space="preserve">    </w:t>
      </w:r>
    </w:p>
    <w:p w14:paraId="10A64ED1" w14:textId="77777777" w:rsidR="00240520" w:rsidRPr="00240520" w:rsidRDefault="00240520" w:rsidP="00240520">
      <w:pPr>
        <w:rPr>
          <w:sz w:val="22"/>
          <w:szCs w:val="22"/>
        </w:rPr>
      </w:pPr>
      <w:r w:rsidRPr="00240520">
        <w:rPr>
          <w:sz w:val="22"/>
          <w:szCs w:val="22"/>
        </w:rPr>
        <w:t>The ideas presented in this publication represent an evolving framework for academic governance developed through ongoing research, professional practice, and architectural design. The Canonical Academic Governance Architecture (CAGA) proposed herein is intended to stimulate scholarly discussion, institutional exploration, and practical application across higher education.</w:t>
      </w:r>
    </w:p>
    <w:p w14:paraId="572A4F1D" w14:textId="77777777" w:rsidR="00240520" w:rsidRPr="00240520" w:rsidRDefault="00240520" w:rsidP="00240520">
      <w:pPr>
        <w:rPr>
          <w:sz w:val="22"/>
          <w:szCs w:val="22"/>
        </w:rPr>
      </w:pPr>
      <w:r w:rsidRPr="00240520">
        <w:rPr>
          <w:sz w:val="22"/>
          <w:szCs w:val="22"/>
        </w:rPr>
        <w:t>Portions of the governance architecture described in this publication are associated with pending intellectual property. The inclusion of patent-pending material is intended to document the evolution of the framework and does not limit scholarly discussion or citation of the concepts presented.</w:t>
      </w:r>
    </w:p>
    <w:p w14:paraId="0D29FC4E" w14:textId="77777777" w:rsidR="00240520" w:rsidRPr="00240520" w:rsidRDefault="00240520" w:rsidP="00240520">
      <w:pPr>
        <w:rPr>
          <w:sz w:val="22"/>
          <w:szCs w:val="22"/>
        </w:rPr>
      </w:pPr>
      <w:r w:rsidRPr="00240520">
        <w:rPr>
          <w:sz w:val="22"/>
          <w:szCs w:val="22"/>
        </w:rPr>
        <w:t>The views expressed are those of the author and do not necessarily represent those of any institution, accrediting body, or organization.</w:t>
      </w:r>
    </w:p>
    <w:p w14:paraId="1EC0FDFA" w14:textId="77777777" w:rsidR="00240520" w:rsidRDefault="00240520" w:rsidP="00240520"/>
    <w:p w14:paraId="6CDC17CA" w14:textId="77777777" w:rsidR="00240520" w:rsidRDefault="00240520" w:rsidP="00240520"/>
    <w:p w14:paraId="52899485" w14:textId="77777777" w:rsidR="00240520" w:rsidRDefault="00240520" w:rsidP="00240520"/>
    <w:p w14:paraId="0313A124" w14:textId="77777777" w:rsidR="00240520" w:rsidRDefault="00240520" w:rsidP="00240520"/>
    <w:p w14:paraId="231987FE" w14:textId="77777777" w:rsidR="00240520" w:rsidRDefault="00240520" w:rsidP="00240520"/>
    <w:p w14:paraId="2582F1AC" w14:textId="77777777" w:rsidR="00240520" w:rsidRDefault="00240520" w:rsidP="00240520"/>
    <w:p w14:paraId="2B7E0829" w14:textId="77777777" w:rsidR="00240520" w:rsidRDefault="00240520" w:rsidP="00240520"/>
    <w:p w14:paraId="1D0BDAF9" w14:textId="77777777" w:rsidR="00240520" w:rsidRDefault="00240520" w:rsidP="00240520"/>
    <w:p w14:paraId="6ADC4045" w14:textId="77777777" w:rsidR="00240520" w:rsidRDefault="00240520" w:rsidP="00240520"/>
    <w:p w14:paraId="1E9A91A7" w14:textId="77777777" w:rsidR="00240520" w:rsidRDefault="00240520" w:rsidP="00240520"/>
    <w:p w14:paraId="2AD26D70" w14:textId="77777777" w:rsidR="00240520" w:rsidRDefault="00240520" w:rsidP="00240520"/>
    <w:p w14:paraId="65BD3D3F" w14:textId="77777777" w:rsidR="00240520" w:rsidRDefault="00240520" w:rsidP="00240520"/>
    <w:p w14:paraId="27E398BE" w14:textId="77777777" w:rsidR="00240520" w:rsidRDefault="00240520" w:rsidP="00240520"/>
    <w:p w14:paraId="6167785A" w14:textId="77777777" w:rsidR="00240520" w:rsidRDefault="00240520" w:rsidP="00240520"/>
    <w:p w14:paraId="598111E6" w14:textId="77777777" w:rsidR="00240520" w:rsidRDefault="00240520" w:rsidP="00240520"/>
    <w:p w14:paraId="47989266" w14:textId="77777777" w:rsidR="00240520" w:rsidRDefault="00240520" w:rsidP="00240520"/>
    <w:p w14:paraId="433537D5" w14:textId="77777777" w:rsidR="00240520" w:rsidRDefault="00240520" w:rsidP="00240520"/>
    <w:p w14:paraId="6BABCBFB" w14:textId="77777777" w:rsidR="00240520" w:rsidRDefault="00240520" w:rsidP="00240520"/>
    <w:p w14:paraId="32ABCC66" w14:textId="77777777" w:rsidR="00240520" w:rsidRDefault="00240520" w:rsidP="00240520"/>
    <w:p w14:paraId="3B38FD55" w14:textId="77777777" w:rsidR="00240520" w:rsidRDefault="00240520" w:rsidP="00240520"/>
    <w:p w14:paraId="145B89E9" w14:textId="77777777" w:rsidR="00240520" w:rsidRDefault="00240520" w:rsidP="00240520"/>
    <w:p w14:paraId="16C675EE" w14:textId="77777777" w:rsidR="00240520" w:rsidRDefault="00240520" w:rsidP="00240520"/>
    <w:p w14:paraId="56A6ED79" w14:textId="77777777" w:rsidR="00240520" w:rsidRPr="0058200B" w:rsidRDefault="00240520" w:rsidP="00240520">
      <w:pPr>
        <w:rPr>
          <w:sz w:val="28"/>
          <w:szCs w:val="28"/>
        </w:rPr>
      </w:pPr>
    </w:p>
    <w:p w14:paraId="5CF115C5" w14:textId="77777777" w:rsidR="00240520" w:rsidRPr="000226BF" w:rsidRDefault="00240520" w:rsidP="00240520">
      <w:pPr>
        <w:rPr>
          <w:i/>
          <w:iCs/>
          <w:sz w:val="28"/>
          <w:szCs w:val="28"/>
        </w:rPr>
      </w:pPr>
      <w:r w:rsidRPr="000226BF">
        <w:rPr>
          <w:i/>
          <w:iCs/>
          <w:sz w:val="28"/>
          <w:szCs w:val="28"/>
        </w:rPr>
        <w:t xml:space="preserve">Institutions do not become intelligent because they collect more data. </w:t>
      </w:r>
    </w:p>
    <w:p w14:paraId="27DD061A" w14:textId="77777777" w:rsidR="00240520" w:rsidRDefault="00240520" w:rsidP="00240520">
      <w:pPr>
        <w:rPr>
          <w:i/>
          <w:iCs/>
          <w:sz w:val="28"/>
          <w:szCs w:val="28"/>
        </w:rPr>
      </w:pPr>
      <w:r w:rsidRPr="000226BF">
        <w:rPr>
          <w:i/>
          <w:iCs/>
          <w:sz w:val="28"/>
          <w:szCs w:val="28"/>
        </w:rPr>
        <w:t>Institutions become intelligent because they govern the creation, validation, interpretation, and continuous improvement of academic evidence.</w:t>
      </w:r>
    </w:p>
    <w:p w14:paraId="653FDD9F" w14:textId="77777777" w:rsidR="00240520" w:rsidRPr="000226BF" w:rsidRDefault="00240520" w:rsidP="00240520">
      <w:pPr>
        <w:rPr>
          <w:i/>
          <w:iCs/>
        </w:rPr>
      </w:pPr>
    </w:p>
    <w:p w14:paraId="5E261638" w14:textId="77777777" w:rsidR="00240520" w:rsidRPr="00F404E5" w:rsidRDefault="00240520" w:rsidP="00240520">
      <w:r w:rsidRPr="00F404E5">
        <w:t xml:space="preserve">— </w:t>
      </w:r>
      <w:r w:rsidRPr="00F404E5">
        <w:rPr>
          <w:i/>
          <w:iCs/>
        </w:rPr>
        <w:t>Melissa A. Traino</w:t>
      </w:r>
      <w:r w:rsidRPr="00F404E5">
        <w:br/>
        <w:t>Founder &amp; Chief Architect, Minerva Governance</w:t>
      </w:r>
    </w:p>
    <w:p w14:paraId="762F4D0A" w14:textId="77777777" w:rsidR="00240520" w:rsidRDefault="00240520" w:rsidP="00240520"/>
    <w:p w14:paraId="0FAB6BA7" w14:textId="77777777" w:rsidR="00240520" w:rsidRDefault="00240520" w:rsidP="00240520"/>
    <w:p w14:paraId="73684EAA" w14:textId="77777777" w:rsidR="00240520" w:rsidRDefault="00240520" w:rsidP="00240520">
      <w:pPr>
        <w:rPr>
          <w:sz w:val="20"/>
          <w:szCs w:val="20"/>
        </w:rPr>
      </w:pPr>
    </w:p>
    <w:p w14:paraId="4015F619" w14:textId="77777777" w:rsidR="00240520" w:rsidRDefault="00240520" w:rsidP="00240520">
      <w:pPr>
        <w:rPr>
          <w:sz w:val="20"/>
          <w:szCs w:val="20"/>
        </w:rPr>
      </w:pPr>
    </w:p>
    <w:p w14:paraId="7584715B" w14:textId="77777777" w:rsidR="00240520" w:rsidRDefault="00240520" w:rsidP="00240520">
      <w:pPr>
        <w:rPr>
          <w:sz w:val="20"/>
          <w:szCs w:val="20"/>
        </w:rPr>
      </w:pPr>
    </w:p>
    <w:p w14:paraId="428555EA" w14:textId="77777777" w:rsidR="00240520" w:rsidRDefault="00240520" w:rsidP="00240520">
      <w:pPr>
        <w:rPr>
          <w:sz w:val="20"/>
          <w:szCs w:val="20"/>
        </w:rPr>
      </w:pPr>
    </w:p>
    <w:p w14:paraId="2FB07F43" w14:textId="77777777" w:rsidR="00240520" w:rsidRDefault="00240520" w:rsidP="00240520">
      <w:pPr>
        <w:rPr>
          <w:sz w:val="20"/>
          <w:szCs w:val="20"/>
        </w:rPr>
      </w:pPr>
    </w:p>
    <w:p w14:paraId="55C4A1B7" w14:textId="77777777" w:rsidR="00240520" w:rsidRDefault="00240520" w:rsidP="00240520">
      <w:pPr>
        <w:rPr>
          <w:sz w:val="20"/>
          <w:szCs w:val="20"/>
        </w:rPr>
      </w:pPr>
    </w:p>
    <w:p w14:paraId="1377FCCF" w14:textId="77777777" w:rsidR="00240520" w:rsidRDefault="00240520" w:rsidP="00240520">
      <w:pPr>
        <w:rPr>
          <w:sz w:val="20"/>
          <w:szCs w:val="20"/>
        </w:rPr>
      </w:pPr>
    </w:p>
    <w:p w14:paraId="039ED2F6" w14:textId="77777777" w:rsidR="00240520" w:rsidRDefault="00240520" w:rsidP="00240520">
      <w:pPr>
        <w:rPr>
          <w:sz w:val="20"/>
          <w:szCs w:val="20"/>
        </w:rPr>
      </w:pPr>
    </w:p>
    <w:p w14:paraId="7F0FDCF0" w14:textId="77777777" w:rsidR="00240520" w:rsidRDefault="00240520" w:rsidP="00240520">
      <w:pPr>
        <w:rPr>
          <w:sz w:val="20"/>
          <w:szCs w:val="20"/>
        </w:rPr>
      </w:pPr>
    </w:p>
    <w:p w14:paraId="1E9BDE86" w14:textId="77777777" w:rsidR="00240520" w:rsidRDefault="00240520" w:rsidP="00240520">
      <w:pPr>
        <w:rPr>
          <w:sz w:val="20"/>
          <w:szCs w:val="20"/>
        </w:rPr>
      </w:pPr>
    </w:p>
    <w:p w14:paraId="5CB46D8E" w14:textId="77777777" w:rsidR="00240520" w:rsidRDefault="00240520" w:rsidP="00240520">
      <w:pPr>
        <w:rPr>
          <w:sz w:val="20"/>
          <w:szCs w:val="20"/>
        </w:rPr>
      </w:pPr>
    </w:p>
    <w:p w14:paraId="10DBC73E" w14:textId="77777777" w:rsidR="00240520" w:rsidRDefault="00240520" w:rsidP="00240520">
      <w:pPr>
        <w:rPr>
          <w:sz w:val="20"/>
          <w:szCs w:val="20"/>
        </w:rPr>
      </w:pPr>
    </w:p>
    <w:p w14:paraId="5A774327" w14:textId="77777777" w:rsidR="00240520" w:rsidRDefault="00240520" w:rsidP="00240520">
      <w:pPr>
        <w:rPr>
          <w:sz w:val="20"/>
          <w:szCs w:val="20"/>
        </w:rPr>
      </w:pPr>
    </w:p>
    <w:p w14:paraId="2C5820C3" w14:textId="77777777" w:rsidR="00240520" w:rsidRDefault="00240520" w:rsidP="00240520">
      <w:pPr>
        <w:rPr>
          <w:sz w:val="20"/>
          <w:szCs w:val="20"/>
        </w:rPr>
      </w:pPr>
    </w:p>
    <w:p w14:paraId="4BED9A67" w14:textId="77777777" w:rsidR="00240520" w:rsidRDefault="00240520" w:rsidP="00240520">
      <w:pPr>
        <w:rPr>
          <w:sz w:val="22"/>
          <w:szCs w:val="22"/>
        </w:rPr>
      </w:pPr>
    </w:p>
    <w:p w14:paraId="754938C8" w14:textId="77777777" w:rsidR="00240520" w:rsidRDefault="00240520" w:rsidP="00240520">
      <w:pPr>
        <w:rPr>
          <w:sz w:val="22"/>
          <w:szCs w:val="22"/>
        </w:rPr>
      </w:pPr>
    </w:p>
    <w:p w14:paraId="151448EB" w14:textId="77777777" w:rsidR="00240520" w:rsidRPr="00F404E5" w:rsidRDefault="00240520" w:rsidP="00240520">
      <w:pPr>
        <w:rPr>
          <w:b/>
          <w:bCs/>
          <w:sz w:val="28"/>
          <w:szCs w:val="28"/>
        </w:rPr>
      </w:pPr>
    </w:p>
    <w:p w14:paraId="463E2761" w14:textId="77777777" w:rsidR="00240520" w:rsidRPr="00F404E5" w:rsidRDefault="00240520" w:rsidP="00240520">
      <w:pPr>
        <w:rPr>
          <w:b/>
          <w:bCs/>
          <w:sz w:val="22"/>
          <w:szCs w:val="22"/>
        </w:rPr>
      </w:pPr>
      <w:r w:rsidRPr="00F404E5">
        <w:rPr>
          <w:b/>
          <w:bCs/>
          <w:sz w:val="22"/>
          <w:szCs w:val="22"/>
        </w:rPr>
        <w:lastRenderedPageBreak/>
        <w:t>Executive Summary</w:t>
      </w:r>
    </w:p>
    <w:p w14:paraId="59797D11" w14:textId="77777777" w:rsidR="00240520" w:rsidRPr="00F404E5" w:rsidRDefault="00240520" w:rsidP="00240520">
      <w:pPr>
        <w:rPr>
          <w:sz w:val="22"/>
          <w:szCs w:val="22"/>
        </w:rPr>
      </w:pPr>
      <w:r w:rsidRPr="00F404E5">
        <w:rPr>
          <w:sz w:val="22"/>
          <w:szCs w:val="22"/>
        </w:rPr>
        <w:t>Higher education has become one of the most operationally complex sectors in modern society. Institutions are expected to demonstrate educational quality, regulatory compliance, financial stewardship, student success, workforce relevance, academic integrity, public accountability, and, increasingly, the responsible integration of artificial intelligence into teaching, learning, and institutional operations. Fulfilling these expectations requires universities to coordinate thousands of interconnected academic decisions across curriculum design, assessment, faculty governance, accreditation, institutional research, strategic planning, and executive leadership.</w:t>
      </w:r>
    </w:p>
    <w:p w14:paraId="24BFE44C" w14:textId="77777777" w:rsidR="00240520" w:rsidRPr="00F404E5" w:rsidRDefault="00240520" w:rsidP="00240520">
      <w:pPr>
        <w:rPr>
          <w:sz w:val="22"/>
          <w:szCs w:val="22"/>
        </w:rPr>
      </w:pPr>
      <w:r w:rsidRPr="00F404E5">
        <w:rPr>
          <w:sz w:val="22"/>
          <w:szCs w:val="22"/>
        </w:rPr>
        <w:t>Over the past two decades, colleges and universities have invested extensively in learning management systems, student information systems, assessment platforms, accreditation management software, institutional analytics, predictive technologies, and AI-enabled educational tools. Collectively, these investments have transformed the volume and accessibility of academic information available to institutional leaders.</w:t>
      </w:r>
    </w:p>
    <w:p w14:paraId="70A5F965" w14:textId="77777777" w:rsidR="00240520" w:rsidRPr="00F404E5" w:rsidRDefault="00240520" w:rsidP="00240520">
      <w:pPr>
        <w:rPr>
          <w:sz w:val="22"/>
          <w:szCs w:val="22"/>
        </w:rPr>
      </w:pPr>
      <w:r w:rsidRPr="00F404E5">
        <w:rPr>
          <w:sz w:val="22"/>
          <w:szCs w:val="22"/>
        </w:rPr>
        <w:t>Yet despite these advancements, one fundamental challenge remains largely unresolved.</w:t>
      </w:r>
    </w:p>
    <w:p w14:paraId="2A5D83F7" w14:textId="77777777" w:rsidR="00240520" w:rsidRPr="00F404E5" w:rsidRDefault="00240520" w:rsidP="00240520">
      <w:pPr>
        <w:rPr>
          <w:sz w:val="22"/>
          <w:szCs w:val="22"/>
        </w:rPr>
      </w:pPr>
      <w:r w:rsidRPr="00F404E5">
        <w:rPr>
          <w:b/>
          <w:bCs/>
          <w:sz w:val="22"/>
          <w:szCs w:val="22"/>
        </w:rPr>
        <w:t>How can an institution demonstrate that the evidence informing its academic decisions is itself trustworthy?</w:t>
      </w:r>
    </w:p>
    <w:p w14:paraId="609C6056" w14:textId="77777777" w:rsidR="00240520" w:rsidRPr="00F404E5" w:rsidRDefault="00240520" w:rsidP="00240520">
      <w:pPr>
        <w:rPr>
          <w:sz w:val="22"/>
          <w:szCs w:val="22"/>
        </w:rPr>
      </w:pPr>
      <w:r w:rsidRPr="00F404E5">
        <w:rPr>
          <w:sz w:val="22"/>
          <w:szCs w:val="22"/>
        </w:rPr>
        <w:t>The challenge confronting higher education is no longer the availability of information. Rather, it is the absence of a comprehensive governance architecture that establishes how academic evidence is conceived, designed, authorized, executed, validated, interpreted, and continuously improved across the academic enterprise.</w:t>
      </w:r>
    </w:p>
    <w:p w14:paraId="6A28B9A0" w14:textId="77777777" w:rsidR="00240520" w:rsidRPr="00F404E5" w:rsidRDefault="00240520" w:rsidP="00240520">
      <w:pPr>
        <w:rPr>
          <w:sz w:val="22"/>
          <w:szCs w:val="22"/>
        </w:rPr>
      </w:pPr>
      <w:r w:rsidRPr="00F404E5">
        <w:rPr>
          <w:sz w:val="22"/>
          <w:szCs w:val="22"/>
        </w:rPr>
        <w:t>Without such an architecture, institutions often rely upon disconnected technologies, independent governance processes, fragmented accreditation activities, and isolated assessment practices that collectively generate significant volumes of information but do not necessarily produce coherent, traceable, or academically defensible institutional evidence. Data alone does not create confidence. Evidence alone does not establish trust. Trust emerges when academic activities are governed through transparent, consistent, and accountable processes.</w:t>
      </w:r>
    </w:p>
    <w:p w14:paraId="37662F07" w14:textId="77777777" w:rsidR="00240520" w:rsidRPr="00F404E5" w:rsidRDefault="00240520" w:rsidP="00240520">
      <w:pPr>
        <w:rPr>
          <w:sz w:val="22"/>
          <w:szCs w:val="22"/>
        </w:rPr>
      </w:pPr>
      <w:r w:rsidRPr="00F404E5">
        <w:rPr>
          <w:sz w:val="22"/>
          <w:szCs w:val="22"/>
        </w:rPr>
        <w:t>This paper argues that governance should no longer be viewed solely as an administrative obligation or compliance function. Rather, governance should be recognized as the foundational architecture through which institutions establish the integrity of academic decision-making. Governance precedes execution, defines accountability, documents traceability, authorizes action, validates evidence, and enables continuous institutional learning. When governance becomes the organizing principle of the academic enterprise, institutional decisions become more transparent, evidence becomes more defensible, and continuous improvement becomes demonstrable rather than aspirational.</w:t>
      </w:r>
    </w:p>
    <w:p w14:paraId="6626FBB4" w14:textId="77777777" w:rsidR="00240520" w:rsidRPr="00F404E5" w:rsidRDefault="00240520" w:rsidP="00240520">
      <w:pPr>
        <w:rPr>
          <w:sz w:val="22"/>
          <w:szCs w:val="22"/>
        </w:rPr>
      </w:pPr>
      <w:r w:rsidRPr="00F404E5">
        <w:rPr>
          <w:sz w:val="22"/>
          <w:szCs w:val="22"/>
        </w:rPr>
        <w:t xml:space="preserve">This publication documents the conceptual evolution of the </w:t>
      </w:r>
      <w:r w:rsidRPr="00F404E5">
        <w:rPr>
          <w:b/>
          <w:bCs/>
          <w:sz w:val="22"/>
          <w:szCs w:val="22"/>
        </w:rPr>
        <w:t>Academic Execution Admissibility (AEA)</w:t>
      </w:r>
      <w:r w:rsidRPr="00F404E5">
        <w:rPr>
          <w:sz w:val="22"/>
          <w:szCs w:val="22"/>
        </w:rPr>
        <w:t xml:space="preserve"> framework into the broader </w:t>
      </w:r>
      <w:r w:rsidRPr="00F404E5">
        <w:rPr>
          <w:b/>
          <w:bCs/>
          <w:sz w:val="22"/>
          <w:szCs w:val="22"/>
        </w:rPr>
        <w:t>Canonical Academic Governance Architecture (CAGA)</w:t>
      </w:r>
      <w:r w:rsidRPr="00F404E5">
        <w:rPr>
          <w:sz w:val="22"/>
          <w:szCs w:val="22"/>
        </w:rPr>
        <w:t xml:space="preserve">. Earlier research introduced Academic Execution Admissibility as the principle that academic activities should proceed only after appropriate governance processes have established institutional alignment, policy compliance, evidence requirements, and authorized execution. The central proposition of AEA was straightforward yet consequential: </w:t>
      </w:r>
      <w:r w:rsidRPr="00F404E5">
        <w:rPr>
          <w:b/>
          <w:bCs/>
          <w:sz w:val="22"/>
          <w:szCs w:val="22"/>
        </w:rPr>
        <w:t>execution alone does not establish academic validity; validity is produced through governance.</w:t>
      </w:r>
    </w:p>
    <w:p w14:paraId="00931245" w14:textId="77777777" w:rsidR="00240520" w:rsidRPr="00F404E5" w:rsidRDefault="00240520" w:rsidP="00240520">
      <w:pPr>
        <w:rPr>
          <w:sz w:val="22"/>
          <w:szCs w:val="22"/>
        </w:rPr>
      </w:pPr>
      <w:r w:rsidRPr="00F404E5">
        <w:rPr>
          <w:sz w:val="22"/>
          <w:szCs w:val="22"/>
        </w:rPr>
        <w:t>As the AEA framework matured through continued research and practical application, however, it revealed a broader institutional reality. Academic execution represents only one component of a much larger governance ecosystem. Curriculum development, learning outcome design, assessment construction, faculty review, accreditation reporting, institutional analytics, artificial intelligence, student success initiatives, and executive decision-making all depend upon the same underlying governance principles. The challenge facing higher education, therefore, extends beyond governing individual academic activities. It requires governing the architecture that connects them.</w:t>
      </w:r>
    </w:p>
    <w:p w14:paraId="2530876F" w14:textId="77777777" w:rsidR="00240520" w:rsidRPr="00F404E5" w:rsidRDefault="00240520" w:rsidP="00240520">
      <w:pPr>
        <w:rPr>
          <w:sz w:val="22"/>
          <w:szCs w:val="22"/>
        </w:rPr>
      </w:pPr>
      <w:r w:rsidRPr="00F404E5">
        <w:rPr>
          <w:sz w:val="22"/>
          <w:szCs w:val="22"/>
        </w:rPr>
        <w:lastRenderedPageBreak/>
        <w:t xml:space="preserve">This realization led to the development of the </w:t>
      </w:r>
      <w:r w:rsidRPr="00F404E5">
        <w:rPr>
          <w:b/>
          <w:bCs/>
          <w:sz w:val="22"/>
          <w:szCs w:val="22"/>
        </w:rPr>
        <w:t>Canonical Academic Governance Architecture (CAGA)</w:t>
      </w:r>
      <w:r w:rsidRPr="00F404E5">
        <w:rPr>
          <w:sz w:val="22"/>
          <w:szCs w:val="22"/>
        </w:rPr>
        <w:t>—a governance architecture designed to organize, connect, and continuously improve the diverse academic systems upon which institutional effectiveness depends.</w:t>
      </w:r>
    </w:p>
    <w:p w14:paraId="51C860CD" w14:textId="77777777" w:rsidR="00240520" w:rsidRPr="00F404E5" w:rsidRDefault="00240520" w:rsidP="00240520">
      <w:pPr>
        <w:rPr>
          <w:sz w:val="22"/>
          <w:szCs w:val="22"/>
        </w:rPr>
      </w:pPr>
      <w:r w:rsidRPr="00F404E5">
        <w:rPr>
          <w:sz w:val="22"/>
          <w:szCs w:val="22"/>
        </w:rPr>
        <w:t>Unlike traditional governance models that focus primarily on oversight or compliance, CAGA proposes that governance functions as the operating architecture of the academic enterprise. Rather than treating curriculum, assessment, accreditation, institutional research, analytics, faculty governance, student success, and emerging technologies as independent institutional functions, CAGA positions these domains as interconnected components within a single governance ecosystem whose collective purpose is the production of coherent, trustworthy, and defensible institutional evidence.</w:t>
      </w:r>
    </w:p>
    <w:p w14:paraId="0F3675A6" w14:textId="77777777" w:rsidR="00240520" w:rsidRPr="00F404E5" w:rsidRDefault="00240520" w:rsidP="00240520">
      <w:pPr>
        <w:rPr>
          <w:sz w:val="22"/>
          <w:szCs w:val="22"/>
        </w:rPr>
      </w:pPr>
      <w:r w:rsidRPr="00F404E5">
        <w:rPr>
          <w:sz w:val="22"/>
          <w:szCs w:val="22"/>
        </w:rPr>
        <w:t>Accordingly, CAGA introduces eight interdependent architectural domains:</w:t>
      </w:r>
    </w:p>
    <w:p w14:paraId="374C22F1" w14:textId="77777777" w:rsidR="00240520" w:rsidRPr="00F404E5" w:rsidRDefault="00240520" w:rsidP="00240520">
      <w:pPr>
        <w:numPr>
          <w:ilvl w:val="0"/>
          <w:numId w:val="1"/>
        </w:numPr>
        <w:rPr>
          <w:sz w:val="22"/>
          <w:szCs w:val="22"/>
        </w:rPr>
      </w:pPr>
      <w:r w:rsidRPr="00F404E5">
        <w:rPr>
          <w:sz w:val="22"/>
          <w:szCs w:val="22"/>
        </w:rPr>
        <w:t xml:space="preserve">Governance Architecture </w:t>
      </w:r>
    </w:p>
    <w:p w14:paraId="7EE555E2" w14:textId="77777777" w:rsidR="00240520" w:rsidRPr="00F404E5" w:rsidRDefault="00240520" w:rsidP="00240520">
      <w:pPr>
        <w:numPr>
          <w:ilvl w:val="0"/>
          <w:numId w:val="1"/>
        </w:numPr>
        <w:rPr>
          <w:sz w:val="22"/>
          <w:szCs w:val="22"/>
        </w:rPr>
      </w:pPr>
      <w:r w:rsidRPr="00F404E5">
        <w:rPr>
          <w:sz w:val="22"/>
          <w:szCs w:val="22"/>
        </w:rPr>
        <w:t xml:space="preserve">Design Traceability </w:t>
      </w:r>
    </w:p>
    <w:p w14:paraId="3F1CB33E" w14:textId="77777777" w:rsidR="00240520" w:rsidRPr="00F404E5" w:rsidRDefault="00240520" w:rsidP="00240520">
      <w:pPr>
        <w:numPr>
          <w:ilvl w:val="0"/>
          <w:numId w:val="1"/>
        </w:numPr>
        <w:rPr>
          <w:sz w:val="22"/>
          <w:szCs w:val="22"/>
        </w:rPr>
      </w:pPr>
      <w:r w:rsidRPr="00F404E5">
        <w:rPr>
          <w:sz w:val="22"/>
          <w:szCs w:val="22"/>
        </w:rPr>
        <w:t xml:space="preserve">Academic Execution Admissibility </w:t>
      </w:r>
    </w:p>
    <w:p w14:paraId="4B1519FB" w14:textId="77777777" w:rsidR="00240520" w:rsidRPr="00F404E5" w:rsidRDefault="00240520" w:rsidP="00240520">
      <w:pPr>
        <w:numPr>
          <w:ilvl w:val="0"/>
          <w:numId w:val="1"/>
        </w:numPr>
        <w:rPr>
          <w:sz w:val="22"/>
          <w:szCs w:val="22"/>
        </w:rPr>
      </w:pPr>
      <w:r w:rsidRPr="00F404E5">
        <w:rPr>
          <w:sz w:val="22"/>
          <w:szCs w:val="22"/>
        </w:rPr>
        <w:t xml:space="preserve">Evidence Integrity </w:t>
      </w:r>
    </w:p>
    <w:p w14:paraId="03927E77" w14:textId="77777777" w:rsidR="00240520" w:rsidRPr="00F404E5" w:rsidRDefault="00240520" w:rsidP="00240520">
      <w:pPr>
        <w:numPr>
          <w:ilvl w:val="0"/>
          <w:numId w:val="1"/>
        </w:numPr>
        <w:rPr>
          <w:sz w:val="22"/>
          <w:szCs w:val="22"/>
        </w:rPr>
      </w:pPr>
      <w:r w:rsidRPr="00F404E5">
        <w:rPr>
          <w:sz w:val="22"/>
          <w:szCs w:val="22"/>
        </w:rPr>
        <w:t xml:space="preserve">Institutional Analytics </w:t>
      </w:r>
    </w:p>
    <w:p w14:paraId="260A4B43" w14:textId="77777777" w:rsidR="00240520" w:rsidRPr="00F404E5" w:rsidRDefault="00240520" w:rsidP="00240520">
      <w:pPr>
        <w:numPr>
          <w:ilvl w:val="0"/>
          <w:numId w:val="1"/>
        </w:numPr>
        <w:rPr>
          <w:sz w:val="22"/>
          <w:szCs w:val="22"/>
        </w:rPr>
      </w:pPr>
      <w:r w:rsidRPr="00F404E5">
        <w:rPr>
          <w:sz w:val="22"/>
          <w:szCs w:val="22"/>
        </w:rPr>
        <w:t xml:space="preserve">Student Success Intelligence </w:t>
      </w:r>
    </w:p>
    <w:p w14:paraId="73F60D5F" w14:textId="77777777" w:rsidR="00240520" w:rsidRPr="00F404E5" w:rsidRDefault="00240520" w:rsidP="00240520">
      <w:pPr>
        <w:numPr>
          <w:ilvl w:val="0"/>
          <w:numId w:val="1"/>
        </w:numPr>
        <w:rPr>
          <w:sz w:val="22"/>
          <w:szCs w:val="22"/>
        </w:rPr>
      </w:pPr>
      <w:r w:rsidRPr="00F404E5">
        <w:rPr>
          <w:sz w:val="22"/>
          <w:szCs w:val="22"/>
        </w:rPr>
        <w:t xml:space="preserve">Continuous Improvement </w:t>
      </w:r>
    </w:p>
    <w:p w14:paraId="416BF304" w14:textId="77777777" w:rsidR="00240520" w:rsidRPr="00F404E5" w:rsidRDefault="00240520" w:rsidP="00240520">
      <w:pPr>
        <w:numPr>
          <w:ilvl w:val="0"/>
          <w:numId w:val="1"/>
        </w:numPr>
        <w:rPr>
          <w:sz w:val="22"/>
          <w:szCs w:val="22"/>
        </w:rPr>
      </w:pPr>
      <w:r w:rsidRPr="00F404E5">
        <w:rPr>
          <w:sz w:val="22"/>
          <w:szCs w:val="22"/>
        </w:rPr>
        <w:t xml:space="preserve">Institutional Intelligence </w:t>
      </w:r>
    </w:p>
    <w:p w14:paraId="6556C3E2" w14:textId="77777777" w:rsidR="00240520" w:rsidRPr="00F404E5" w:rsidRDefault="00240520" w:rsidP="00240520">
      <w:pPr>
        <w:rPr>
          <w:sz w:val="22"/>
          <w:szCs w:val="22"/>
        </w:rPr>
      </w:pPr>
      <w:r w:rsidRPr="00F404E5">
        <w:rPr>
          <w:sz w:val="22"/>
          <w:szCs w:val="22"/>
        </w:rPr>
        <w:t xml:space="preserve">Each architectural domain depends upon the integrity of those preceding it. Governance establishes institutional expectations and accountability. Design traceability documents the relationship between institutional intent and academic implementation. Academic Execution Admissibility authorizes academic action within established governance constraints. Evidence Integrity validates the resulting academic artifacts. Institutional Analytics transform validated evidence into meaningful organizational insight. Student Success Intelligence enables timely academic intervention and learner support. Continuous Improvement incorporates institutional learning into future decision-making. Collectively, these domains culminate in </w:t>
      </w:r>
      <w:r w:rsidRPr="00F404E5">
        <w:rPr>
          <w:b/>
          <w:bCs/>
          <w:sz w:val="22"/>
          <w:szCs w:val="22"/>
        </w:rPr>
        <w:t>Institutional Intelligence</w:t>
      </w:r>
      <w:r w:rsidRPr="00F404E5">
        <w:rPr>
          <w:sz w:val="22"/>
          <w:szCs w:val="22"/>
        </w:rPr>
        <w:t>—the capacity of an institution to generate trustworthy knowledge about its own academic performance and to act upon that knowledge with confidence.</w:t>
      </w:r>
    </w:p>
    <w:p w14:paraId="4CA5905D" w14:textId="77777777" w:rsidR="00240520" w:rsidRPr="00F404E5" w:rsidRDefault="00240520" w:rsidP="00240520">
      <w:pPr>
        <w:rPr>
          <w:sz w:val="22"/>
          <w:szCs w:val="22"/>
        </w:rPr>
      </w:pPr>
      <w:r w:rsidRPr="00F404E5">
        <w:rPr>
          <w:sz w:val="22"/>
          <w:szCs w:val="22"/>
        </w:rPr>
        <w:t xml:space="preserve">Importantly, CAGA does not seek to standardize how institutions teach, design curricula, assess learning, pursue accreditation, or implement technology. Nor does it replace existing governance structures, educational methodologies, accreditation standards, or enterprise technologies. Instead, it proposes a </w:t>
      </w:r>
      <w:r w:rsidRPr="00F404E5">
        <w:rPr>
          <w:b/>
          <w:bCs/>
          <w:sz w:val="22"/>
          <w:szCs w:val="22"/>
        </w:rPr>
        <w:t>platform-agnostic, methodology-agnostic, and accreditation-inclusive governance architecture</w:t>
      </w:r>
      <w:r w:rsidRPr="00F404E5">
        <w:rPr>
          <w:sz w:val="22"/>
          <w:szCs w:val="22"/>
        </w:rPr>
        <w:t xml:space="preserve"> capable of integrating these diverse institutional activities into a coherent system of governance that strengthens institutional accountability while preserving institutional autonomy.</w:t>
      </w:r>
    </w:p>
    <w:p w14:paraId="06A022C5" w14:textId="77777777" w:rsidR="00240520" w:rsidRPr="00F404E5" w:rsidRDefault="00240520" w:rsidP="00240520">
      <w:pPr>
        <w:rPr>
          <w:sz w:val="22"/>
          <w:szCs w:val="22"/>
        </w:rPr>
      </w:pPr>
      <w:r w:rsidRPr="00F404E5">
        <w:rPr>
          <w:sz w:val="22"/>
          <w:szCs w:val="22"/>
        </w:rPr>
        <w:t>Whether an institution employs ADDIE, Understanding by Design, Bloom's Taxonomy, Quality Matters, Universal Design for Learning, institution-specific instructional models, or emerging AI-assisted methodologies, CAGA governs the relationships among these approaches rather than prescribing one over another. Similarly, whether institutions operate under regional, national, or programmatic accreditation standards, the governance architecture remains adaptable while preserving the traceability, accountability, and evidentiary integrity required for institutional confidence.</w:t>
      </w:r>
    </w:p>
    <w:p w14:paraId="48629105" w14:textId="77777777" w:rsidR="00240520" w:rsidRPr="00F404E5" w:rsidRDefault="00240520" w:rsidP="00240520">
      <w:pPr>
        <w:rPr>
          <w:sz w:val="22"/>
          <w:szCs w:val="22"/>
        </w:rPr>
      </w:pPr>
      <w:r w:rsidRPr="00F404E5">
        <w:rPr>
          <w:sz w:val="22"/>
          <w:szCs w:val="22"/>
        </w:rPr>
        <w:t xml:space="preserve">The emergence of artificial intelligence further underscores the importance of governance architecture. As AI increasingly participates in curriculum development, assessment generation, predictive analytics, adaptive learning environments, and executive decision support, the central question is no longer whether academic work can be </w:t>
      </w:r>
      <w:r w:rsidRPr="00F404E5">
        <w:rPr>
          <w:sz w:val="22"/>
          <w:szCs w:val="22"/>
        </w:rPr>
        <w:lastRenderedPageBreak/>
        <w:t>automated. Rather, it is whether institutions can demonstrate that AI-assisted academic work remains governed, transparent, accountable, and educationally defensible. CAGA provides an architectural framework through which technological innovation may be integrated without compromising academic integrity, institutional autonomy, or public trust.</w:t>
      </w:r>
    </w:p>
    <w:p w14:paraId="0862422A" w14:textId="77777777" w:rsidR="00240520" w:rsidRPr="00F404E5" w:rsidRDefault="00240520" w:rsidP="00240520">
      <w:pPr>
        <w:rPr>
          <w:sz w:val="22"/>
          <w:szCs w:val="22"/>
        </w:rPr>
      </w:pPr>
      <w:r w:rsidRPr="00F404E5">
        <w:rPr>
          <w:sz w:val="22"/>
          <w:szCs w:val="22"/>
        </w:rPr>
        <w:t xml:space="preserve">The purpose of this publication is therefore twofold. First, it documents the intellectual progression from Academic Execution Admissibility toward a comprehensive governance architecture capable of supporting the entire academic enterprise. Second, it establishes the conceptual bridge to the forthcoming </w:t>
      </w:r>
      <w:r w:rsidRPr="00F404E5">
        <w:rPr>
          <w:b/>
          <w:bCs/>
          <w:sz w:val="22"/>
          <w:szCs w:val="22"/>
        </w:rPr>
        <w:t>Canonical Academic Governance Architecture</w:t>
      </w:r>
      <w:r w:rsidRPr="00F404E5">
        <w:rPr>
          <w:sz w:val="22"/>
          <w:szCs w:val="22"/>
        </w:rPr>
        <w:t xml:space="preserve"> publication, in which CAGA is presented in its entirety as a proposed framework for understanding, governing, and continuously improving the systems through which higher education creates trustworthy institutional evidence.</w:t>
      </w:r>
    </w:p>
    <w:p w14:paraId="3C90F477" w14:textId="77777777" w:rsidR="00240520" w:rsidRPr="00F404E5" w:rsidRDefault="00240520" w:rsidP="00240520">
      <w:pPr>
        <w:rPr>
          <w:sz w:val="22"/>
          <w:szCs w:val="22"/>
        </w:rPr>
      </w:pPr>
      <w:r w:rsidRPr="00F404E5">
        <w:rPr>
          <w:sz w:val="22"/>
          <w:szCs w:val="22"/>
        </w:rPr>
        <w:t>This publication does not propose another assessment model, accreditation framework, educational methodology, or software platform. It proposes a governance architecture for the academic enterprise itself. In doing so, it marks the conceptual transition from governing individual academic activities toward governing the systems through which institutions create, validate, connect, interpret, and continuously improve academic evidence.</w:t>
      </w:r>
    </w:p>
    <w:p w14:paraId="1FFF3D58" w14:textId="77777777" w:rsidR="00240520" w:rsidRPr="00F404E5" w:rsidRDefault="00240520" w:rsidP="00240520">
      <w:pPr>
        <w:rPr>
          <w:sz w:val="22"/>
          <w:szCs w:val="22"/>
        </w:rPr>
      </w:pPr>
      <w:r w:rsidRPr="00F404E5">
        <w:rPr>
          <w:sz w:val="22"/>
          <w:szCs w:val="22"/>
        </w:rPr>
        <w:t>Ultimately, this paper advances a central proposition:</w:t>
      </w:r>
    </w:p>
    <w:p w14:paraId="1DE110B8" w14:textId="77777777" w:rsidR="00240520" w:rsidRPr="00F404E5" w:rsidRDefault="00240520" w:rsidP="00240520">
      <w:pPr>
        <w:rPr>
          <w:sz w:val="22"/>
          <w:szCs w:val="22"/>
        </w:rPr>
      </w:pPr>
      <w:r w:rsidRPr="00F404E5">
        <w:rPr>
          <w:b/>
          <w:bCs/>
          <w:sz w:val="22"/>
          <w:szCs w:val="22"/>
        </w:rPr>
        <w:t>Institutions do not become more intelligent because they collect more data. They become more intelligent because they govern the creation, validation, interpretation, and continuous improvement of academic evidence. Governance, therefore, is not simply an administrative responsibility. It is the operating architecture through which higher education generates trustworthy institutional intelligence.</w:t>
      </w:r>
    </w:p>
    <w:p w14:paraId="08C41BF8" w14:textId="77777777" w:rsidR="00112F20" w:rsidRDefault="00112F20"/>
    <w:sectPr w:rsidR="00112F20" w:rsidSect="0024052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B20F5"/>
    <w:multiLevelType w:val="multilevel"/>
    <w:tmpl w:val="19DA4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615206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20"/>
    <w:rsid w:val="00112F20"/>
    <w:rsid w:val="00240520"/>
    <w:rsid w:val="00272974"/>
    <w:rsid w:val="007021E8"/>
    <w:rsid w:val="009F5351"/>
    <w:rsid w:val="00C65F0B"/>
    <w:rsid w:val="00D624CE"/>
    <w:rsid w:val="00D7381E"/>
    <w:rsid w:val="00E550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6FE188"/>
  <w15:chartTrackingRefBased/>
  <w15:docId w15:val="{83723703-725A-4E33-ACA3-3858234DA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0520"/>
  </w:style>
  <w:style w:type="paragraph" w:styleId="Heading1">
    <w:name w:val="heading 1"/>
    <w:basedOn w:val="Normal"/>
    <w:next w:val="Normal"/>
    <w:link w:val="Heading1Char"/>
    <w:uiPriority w:val="9"/>
    <w:qFormat/>
    <w:rsid w:val="002405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405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4052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4052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4052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405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05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05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05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052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405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4052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4052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4052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405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05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05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0520"/>
    <w:rPr>
      <w:rFonts w:eastAsiaTheme="majorEastAsia" w:cstheme="majorBidi"/>
      <w:color w:val="272727" w:themeColor="text1" w:themeTint="D8"/>
    </w:rPr>
  </w:style>
  <w:style w:type="paragraph" w:styleId="Title">
    <w:name w:val="Title"/>
    <w:basedOn w:val="Normal"/>
    <w:next w:val="Normal"/>
    <w:link w:val="TitleChar"/>
    <w:uiPriority w:val="10"/>
    <w:qFormat/>
    <w:rsid w:val="002405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5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05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05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0520"/>
    <w:pPr>
      <w:spacing w:before="160"/>
      <w:jc w:val="center"/>
    </w:pPr>
    <w:rPr>
      <w:i/>
      <w:iCs/>
      <w:color w:val="404040" w:themeColor="text1" w:themeTint="BF"/>
    </w:rPr>
  </w:style>
  <w:style w:type="character" w:customStyle="1" w:styleId="QuoteChar">
    <w:name w:val="Quote Char"/>
    <w:basedOn w:val="DefaultParagraphFont"/>
    <w:link w:val="Quote"/>
    <w:uiPriority w:val="29"/>
    <w:rsid w:val="00240520"/>
    <w:rPr>
      <w:i/>
      <w:iCs/>
      <w:color w:val="404040" w:themeColor="text1" w:themeTint="BF"/>
    </w:rPr>
  </w:style>
  <w:style w:type="paragraph" w:styleId="ListParagraph">
    <w:name w:val="List Paragraph"/>
    <w:basedOn w:val="Normal"/>
    <w:uiPriority w:val="34"/>
    <w:qFormat/>
    <w:rsid w:val="00240520"/>
    <w:pPr>
      <w:ind w:left="720"/>
      <w:contextualSpacing/>
    </w:pPr>
  </w:style>
  <w:style w:type="character" w:styleId="IntenseEmphasis">
    <w:name w:val="Intense Emphasis"/>
    <w:basedOn w:val="DefaultParagraphFont"/>
    <w:uiPriority w:val="21"/>
    <w:qFormat/>
    <w:rsid w:val="00240520"/>
    <w:rPr>
      <w:i/>
      <w:iCs/>
      <w:color w:val="2F5496" w:themeColor="accent1" w:themeShade="BF"/>
    </w:rPr>
  </w:style>
  <w:style w:type="paragraph" w:styleId="IntenseQuote">
    <w:name w:val="Intense Quote"/>
    <w:basedOn w:val="Normal"/>
    <w:next w:val="Normal"/>
    <w:link w:val="IntenseQuoteChar"/>
    <w:uiPriority w:val="30"/>
    <w:qFormat/>
    <w:rsid w:val="002405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40520"/>
    <w:rPr>
      <w:i/>
      <w:iCs/>
      <w:color w:val="2F5496" w:themeColor="accent1" w:themeShade="BF"/>
    </w:rPr>
  </w:style>
  <w:style w:type="character" w:styleId="IntenseReference">
    <w:name w:val="Intense Reference"/>
    <w:basedOn w:val="DefaultParagraphFont"/>
    <w:uiPriority w:val="32"/>
    <w:qFormat/>
    <w:rsid w:val="0024052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1701</Words>
  <Characters>9696</Characters>
  <Application>Microsoft Office Word</Application>
  <DocSecurity>0</DocSecurity>
  <Lines>80</Lines>
  <Paragraphs>22</Paragraphs>
  <ScaleCrop>false</ScaleCrop>
  <Company/>
  <LinksUpToDate>false</LinksUpToDate>
  <CharactersWithSpaces>11375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Traino</dc:creator>
  <cp:keywords/>
  <dc:description/>
  <cp:lastModifiedBy>Melissa Traino</cp:lastModifiedBy>
  <cp:revision>2</cp:revision>
  <dcterms:created xsi:type="dcterms:W3CDTF">2026-07-10T20:04:00Z</dcterms:created>
  <dcterms:modified xsi:type="dcterms:W3CDTF">2026-07-10T20:19:00Z</dcterms:modified>
</cp:coreProperties>
</file>