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3FFBF" w14:textId="4E0AAAC5" w:rsidR="00000000" w:rsidRDefault="00000000">
      <w:pPr>
        <w:spacing w:after="240" w:line="240" w:lineRule="auto"/>
        <w:jc w:val="center"/>
        <w:rPr>
          <w:rFonts w:ascii="Aptos" w:hAnsi="Aptos"/>
          <w:color w:val="000000"/>
          <w:sz w:val="36"/>
          <w:szCs w:val="36"/>
        </w:rPr>
      </w:pPr>
      <w:r w:rsidRPr="00B85771">
        <w:rPr>
          <w:b/>
          <w:color w:val="000000"/>
          <w:sz w:val="44"/>
          <w:szCs w:val="44"/>
        </w:rPr>
        <w:t>JAK Inhibitors</w:t>
      </w:r>
    </w:p>
    <w:tbl>
      <w:tblPr>
        <w:tblW w:w="10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2268"/>
        <w:gridCol w:w="1512"/>
        <w:gridCol w:w="2268"/>
        <w:gridCol w:w="2808"/>
      </w:tblGrid>
      <w:tr w:rsidR="00345AB8" w:rsidRPr="00201F2D" w14:paraId="3C856CB9" w14:textId="77777777"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3D08D79" w14:textId="6A0DBB8D" w:rsidR="00000000" w:rsidRPr="00201F2D" w:rsidRDefault="00000000" w:rsidP="00033CDC">
            <w:pPr>
              <w:spacing w:after="0" w:line="240" w:lineRule="auto"/>
              <w:rPr>
                <w:b/>
                <w:bCs/>
              </w:rPr>
            </w:pPr>
            <w:r w:rsidRPr="00F66D4D">
              <w:rPr>
                <w:b/>
                <w:color w:val="000000"/>
                <w:sz w:val="20"/>
                <w:szCs w:val="20"/>
              </w:rPr>
              <w:t>Generic Name (Brand Example)</w:t>
            </w:r>
          </w:p>
        </w:tc>
        <w:tc>
          <w:tcPr>
            <w:tcW w:w="105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2D04415" w14:textId="514F406F" w:rsidR="00000000" w:rsidRPr="00201F2D" w:rsidRDefault="00000000" w:rsidP="00033CDC">
            <w:pPr>
              <w:spacing w:after="0" w:line="240" w:lineRule="auto"/>
              <w:rPr>
                <w:b/>
                <w:bCs/>
              </w:rPr>
            </w:pPr>
            <w:r w:rsidRPr="00F66D4D">
              <w:rPr>
                <w:b/>
                <w:color w:val="000000"/>
                <w:sz w:val="20"/>
                <w:szCs w:val="20"/>
              </w:rPr>
              <w:t>Target Receptors / Selectivity</w:t>
            </w:r>
          </w:p>
        </w:tc>
        <w:tc>
          <w:tcPr>
            <w:tcW w:w="70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AD0AD7A" w14:textId="5D2467BB" w:rsidR="00000000" w:rsidRPr="00201F2D" w:rsidRDefault="00000000" w:rsidP="00033CDC">
            <w:pPr>
              <w:spacing w:after="0" w:line="240" w:lineRule="auto"/>
              <w:rPr>
                <w:b/>
                <w:bCs/>
              </w:rPr>
            </w:pPr>
            <w:r w:rsidRPr="00F66D4D">
              <w:rPr>
                <w:b/>
                <w:color w:val="000000"/>
                <w:sz w:val="20"/>
                <w:szCs w:val="20"/>
              </w:rPr>
              <w:t>Approval Date (FDA / US)</w:t>
            </w:r>
          </w:p>
        </w:tc>
        <w:tc>
          <w:tcPr>
            <w:tcW w:w="105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29BDE9D" w14:textId="10DBDCD1" w:rsidR="00000000" w:rsidRPr="00201F2D" w:rsidRDefault="00000000" w:rsidP="00033CDC">
            <w:pPr>
              <w:spacing w:after="0" w:line="240" w:lineRule="auto"/>
              <w:rPr>
                <w:b/>
                <w:bCs/>
              </w:rPr>
            </w:pPr>
            <w:r w:rsidRPr="00F66D4D">
              <w:rPr>
                <w:b/>
                <w:color w:val="000000"/>
                <w:sz w:val="20"/>
                <w:szCs w:val="20"/>
              </w:rPr>
              <w:t>Key Indication &amp; Species</w:t>
            </w:r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0B7F6D7" w14:textId="758AA163" w:rsidR="00000000" w:rsidRPr="00201F2D" w:rsidRDefault="00000000" w:rsidP="00033CDC">
            <w:pPr>
              <w:spacing w:after="0" w:line="240" w:lineRule="auto"/>
              <w:rPr>
                <w:b/>
                <w:bCs/>
              </w:rPr>
            </w:pPr>
            <w:r w:rsidRPr="00F66D4D">
              <w:rPr>
                <w:b/>
                <w:color w:val="000000"/>
                <w:sz w:val="20"/>
                <w:szCs w:val="20"/>
              </w:rPr>
              <w:t>Known Side Effects &amp; Safety Warnings</w:t>
            </w:r>
          </w:p>
        </w:tc>
      </w:tr>
      <w:tr w:rsidR="00345AB8" w:rsidRPr="00201F2D" w14:paraId="540D503C" w14:textId="77777777">
        <w:tc>
          <w:tcPr>
            <w:tcW w:w="9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65A8CE25" w14:textId="7AF3B053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r w:rsidRPr="00F66D4D">
              <w:rPr>
                <w:b/>
                <w:color w:val="000000"/>
                <w:sz w:val="20"/>
                <w:szCs w:val="20"/>
              </w:rPr>
              <w:t>Oclacitinib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6D4D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F66D4D">
              <w:rPr>
                <w:color w:val="000000"/>
                <w:sz w:val="20"/>
                <w:szCs w:val="20"/>
              </w:rPr>
              <w:t>Apoquel</w:t>
            </w:r>
            <w:proofErr w:type="spellEnd"/>
            <w:r w:rsidRPr="00F66D4D"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F66D4D">
              <w:rPr>
                <w:color w:val="000000"/>
                <w:sz w:val="20"/>
                <w:szCs w:val="20"/>
              </w:rPr>
              <w:t>Apoquel</w:t>
            </w:r>
            <w:proofErr w:type="spellEnd"/>
            <w:r w:rsidRPr="00F66D4D">
              <w:rPr>
                <w:color w:val="000000"/>
                <w:sz w:val="20"/>
                <w:szCs w:val="20"/>
              </w:rPr>
              <w:t xml:space="preserve"> Chewable)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7F95296" w14:textId="55A9E7C1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r w:rsidRPr="00F66D4D">
              <w:rPr>
                <w:color w:val="000000"/>
                <w:sz w:val="20"/>
                <w:szCs w:val="20"/>
              </w:rPr>
              <w:t>Primarily JAK1 inhibitor (minor activity against JAK3/TYK2)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2E2029B" w14:textId="0269F45C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r w:rsidRPr="00F66D4D">
              <w:rPr>
                <w:color w:val="000000"/>
                <w:sz w:val="20"/>
                <w:szCs w:val="20"/>
              </w:rPr>
              <w:t>May 2013 (Chewable: June 2023)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438AE467" w14:textId="4FDCF3D3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r w:rsidRPr="00F66D4D">
              <w:rPr>
                <w:color w:val="000000"/>
                <w:sz w:val="20"/>
                <w:szCs w:val="20"/>
              </w:rPr>
              <w:t>Control of pruritus associated with allergic/atopic dermatitis in dogs (≥ 12 months)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624BBC66" w14:textId="63D4549B" w:rsidR="00000000" w:rsidRPr="00721D80" w:rsidRDefault="00000000" w:rsidP="00033C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t>Vomiting, diarrhea, anorexia, lethargy</w:t>
            </w:r>
          </w:p>
          <w:p w14:paraId="0E877ABC" w14:textId="71398750" w:rsidR="00000000" w:rsidRPr="00721D80" w:rsidRDefault="00000000" w:rsidP="00033C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t>Elevated liver enzymes</w:t>
            </w:r>
          </w:p>
          <w:p w14:paraId="7E7C446D" w14:textId="7501D9ED" w:rsidR="00000000" w:rsidRPr="00721D80" w:rsidRDefault="00000000" w:rsidP="00033C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t>Increased infection susceptibility (e.g., pyoderma)</w:t>
            </w:r>
          </w:p>
          <w:p w14:paraId="42691311" w14:textId="11DE11CB" w:rsidR="00000000" w:rsidRPr="00721D80" w:rsidRDefault="00000000" w:rsidP="00033CD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t>Skin masses / benign or malignant neoplasms</w:t>
            </w:r>
          </w:p>
        </w:tc>
      </w:tr>
      <w:tr w:rsidR="00345AB8" w:rsidRPr="00201F2D" w14:paraId="0F431448" w14:textId="77777777">
        <w:tc>
          <w:tcPr>
            <w:tcW w:w="9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DCBFE91" w14:textId="3411F925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F66D4D">
              <w:rPr>
                <w:b/>
                <w:color w:val="000000"/>
                <w:sz w:val="20"/>
                <w:szCs w:val="20"/>
              </w:rPr>
              <w:t>Ilunocitinib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F66D4D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F66D4D">
              <w:rPr>
                <w:color w:val="000000"/>
                <w:sz w:val="20"/>
                <w:szCs w:val="20"/>
              </w:rPr>
              <w:t>Zenrelia</w:t>
            </w:r>
            <w:proofErr w:type="spellEnd"/>
            <w:r w:rsidRPr="00F66D4D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5F1C250" w14:textId="49C87B8D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r w:rsidRPr="00F66D4D">
              <w:rPr>
                <w:color w:val="000000"/>
                <w:sz w:val="20"/>
                <w:szCs w:val="20"/>
              </w:rPr>
              <w:t>Broader inhibition profile (JAK1, JAK2, and TYK2)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6B85566" w14:textId="7655132A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r w:rsidRPr="00F66D4D">
              <w:rPr>
                <w:color w:val="000000"/>
                <w:sz w:val="20"/>
                <w:szCs w:val="20"/>
              </w:rPr>
              <w:t>September 2024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38B0F7D5" w14:textId="790AC303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r w:rsidRPr="00F66D4D">
              <w:rPr>
                <w:color w:val="000000"/>
                <w:sz w:val="20"/>
                <w:szCs w:val="20"/>
              </w:rPr>
              <w:t>Control of pruritus associated with allergic/atopic dermatitis in dogs (≥ 12 months)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9ACD6C0" w14:textId="3CDF926A" w:rsidR="00000000" w:rsidRPr="0039472B" w:rsidRDefault="00000000" w:rsidP="00033CD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t>Digestive upset (vomiting, low appetite, diarrhea)</w:t>
            </w:r>
          </w:p>
          <w:p w14:paraId="76B770C5" w14:textId="57D5746A" w:rsidR="00000000" w:rsidRPr="0039472B" w:rsidRDefault="00000000" w:rsidP="00033CD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t>Lethargy</w:t>
            </w:r>
          </w:p>
          <w:p w14:paraId="766E1A7E" w14:textId="25694C49" w:rsidR="00000000" w:rsidRPr="0039472B" w:rsidRDefault="00000000" w:rsidP="00033CD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t>Increased risk of opportunistic infections (e.g., demodicosis, coccidiosis)</w:t>
            </w:r>
          </w:p>
          <w:p w14:paraId="78206EAE" w14:textId="48FB6403" w:rsidR="00000000" w:rsidRPr="0039472B" w:rsidRDefault="00000000" w:rsidP="00033CD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t>Benign and malignant new growths</w:t>
            </w:r>
          </w:p>
        </w:tc>
      </w:tr>
      <w:tr w:rsidR="00345AB8" w:rsidRPr="00201F2D" w14:paraId="33D7E9FF" w14:textId="77777777">
        <w:tc>
          <w:tcPr>
            <w:tcW w:w="90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B6DC66E" w14:textId="3776B750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F66D4D">
              <w:rPr>
                <w:b/>
                <w:color w:val="000000"/>
                <w:sz w:val="20"/>
                <w:szCs w:val="20"/>
              </w:rPr>
              <w:t>Atinvicitinib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F66D4D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F66D4D">
              <w:rPr>
                <w:color w:val="000000"/>
                <w:sz w:val="20"/>
                <w:szCs w:val="20"/>
              </w:rPr>
              <w:t>Numelvi</w:t>
            </w:r>
            <w:proofErr w:type="spellEnd"/>
            <w:r w:rsidRPr="00F66D4D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D622D3F" w14:textId="6A17F0C1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r w:rsidRPr="00F66D4D">
              <w:rPr>
                <w:color w:val="000000"/>
                <w:sz w:val="20"/>
                <w:szCs w:val="20"/>
              </w:rPr>
              <w:t>Highly selective JAK1 inhibitor (~10x more selective than other JAKs)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A6EA813" w14:textId="2724F4FD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r w:rsidRPr="00F66D4D">
              <w:rPr>
                <w:color w:val="000000"/>
                <w:sz w:val="20"/>
                <w:szCs w:val="20"/>
              </w:rPr>
              <w:t>February 2026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232A0BE" w14:textId="6D1FA33A" w:rsidR="00000000" w:rsidRPr="00910F6E" w:rsidRDefault="00000000" w:rsidP="00033CDC">
            <w:pPr>
              <w:spacing w:after="0" w:line="240" w:lineRule="auto"/>
              <w:rPr>
                <w:sz w:val="20"/>
                <w:szCs w:val="20"/>
              </w:rPr>
            </w:pPr>
            <w:r w:rsidRPr="00F66D4D">
              <w:rPr>
                <w:color w:val="000000"/>
                <w:sz w:val="20"/>
                <w:szCs w:val="20"/>
              </w:rPr>
              <w:t xml:space="preserve">Control of pruritus associated with allergic/atopic dermatitis in dogs (≥ 6 months and ≥ 4.4 </w:t>
            </w:r>
            <w:proofErr w:type="spellStart"/>
            <w:r w:rsidRPr="00F66D4D">
              <w:rPr>
                <w:color w:val="000000"/>
                <w:sz w:val="20"/>
                <w:szCs w:val="20"/>
              </w:rPr>
              <w:t>lbs</w:t>
            </w:r>
            <w:proofErr w:type="spellEnd"/>
            <w:r w:rsidRPr="00F66D4D">
              <w:rPr>
                <w:color w:val="000000"/>
                <w:sz w:val="20"/>
                <w:szCs w:val="20"/>
              </w:rPr>
              <w:t xml:space="preserve"> / 2 kg)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7307D18E" w14:textId="4BABCCA1" w:rsidR="00000000" w:rsidRPr="003C3FE5" w:rsidRDefault="00000000" w:rsidP="00033CD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  <w:szCs w:val="20"/>
              </w:rPr>
            </w:pPr>
            <w:r>
              <w:t>Mild, low-frequency digestive upset (vomiting, diarrhea, reduced appetite, lethargy)</w:t>
            </w:r>
          </w:p>
          <w:p w14:paraId="0B4D6993" w14:textId="449575E5" w:rsidR="00000000" w:rsidRPr="003C3FE5" w:rsidRDefault="00000000" w:rsidP="00033CD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0"/>
                <w:szCs w:val="20"/>
              </w:rPr>
            </w:pPr>
            <w:r>
              <w:t>Designed for higher target specificity to minimize bone marrow impact and broad immune interference.</w:t>
            </w:r>
          </w:p>
        </w:tc>
      </w:tr>
    </w:tbl>
    <w:p w14:paraId="4EB42430" w14:textId="77777777" w:rsidR="00201F2D" w:rsidRDefault="00201F2D"/>
    <w:sectPr w:rsidR="00201F2D" w:rsidSect="00C63DB3">
      <w:pgSz w:w="12240" w:h="15840"/>
      <w:pgMar w:top="720" w:right="720" w:bottom="720" w:left="72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E09B3"/>
    <w:multiLevelType w:val="multilevel"/>
    <w:tmpl w:val="A5B0E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8232A3"/>
    <w:multiLevelType w:val="multilevel"/>
    <w:tmpl w:val="CA2ED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601087"/>
    <w:multiLevelType w:val="multilevel"/>
    <w:tmpl w:val="6B5A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594134">
    <w:abstractNumId w:val="0"/>
  </w:num>
  <w:num w:numId="2" w16cid:durableId="1421364718">
    <w:abstractNumId w:val="2"/>
  </w:num>
  <w:num w:numId="3" w16cid:durableId="1761102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2D"/>
    <w:rsid w:val="00027ABB"/>
    <w:rsid w:val="00033CDC"/>
    <w:rsid w:val="000C75AE"/>
    <w:rsid w:val="00162D2E"/>
    <w:rsid w:val="001931FA"/>
    <w:rsid w:val="001C0BBC"/>
    <w:rsid w:val="001C7BA9"/>
    <w:rsid w:val="00201F2D"/>
    <w:rsid w:val="002078BA"/>
    <w:rsid w:val="00210497"/>
    <w:rsid w:val="00232362"/>
    <w:rsid w:val="002C2F11"/>
    <w:rsid w:val="00350E11"/>
    <w:rsid w:val="003920D3"/>
    <w:rsid w:val="0039472B"/>
    <w:rsid w:val="00397BD0"/>
    <w:rsid w:val="003B7A15"/>
    <w:rsid w:val="003C3FE5"/>
    <w:rsid w:val="003C456B"/>
    <w:rsid w:val="003E1E2D"/>
    <w:rsid w:val="0040109B"/>
    <w:rsid w:val="00435A65"/>
    <w:rsid w:val="0044201C"/>
    <w:rsid w:val="0045764F"/>
    <w:rsid w:val="00462166"/>
    <w:rsid w:val="00472425"/>
    <w:rsid w:val="004A0F40"/>
    <w:rsid w:val="004E57A3"/>
    <w:rsid w:val="004F4E57"/>
    <w:rsid w:val="005A14DE"/>
    <w:rsid w:val="005B54EE"/>
    <w:rsid w:val="006018E1"/>
    <w:rsid w:val="00625087"/>
    <w:rsid w:val="00660E42"/>
    <w:rsid w:val="00664B89"/>
    <w:rsid w:val="006B5C5B"/>
    <w:rsid w:val="00721D80"/>
    <w:rsid w:val="00731475"/>
    <w:rsid w:val="007A6AA4"/>
    <w:rsid w:val="007B057B"/>
    <w:rsid w:val="007E2FF7"/>
    <w:rsid w:val="00840AC2"/>
    <w:rsid w:val="00842B98"/>
    <w:rsid w:val="0086380E"/>
    <w:rsid w:val="00863926"/>
    <w:rsid w:val="00881D94"/>
    <w:rsid w:val="008A5895"/>
    <w:rsid w:val="008E712C"/>
    <w:rsid w:val="008F56A0"/>
    <w:rsid w:val="00910F6E"/>
    <w:rsid w:val="009A21A5"/>
    <w:rsid w:val="00A14538"/>
    <w:rsid w:val="00A273E6"/>
    <w:rsid w:val="00A31D34"/>
    <w:rsid w:val="00A356C8"/>
    <w:rsid w:val="00A35802"/>
    <w:rsid w:val="00A56E1D"/>
    <w:rsid w:val="00A85531"/>
    <w:rsid w:val="00A94D31"/>
    <w:rsid w:val="00AE0D80"/>
    <w:rsid w:val="00AE14DA"/>
    <w:rsid w:val="00B031E2"/>
    <w:rsid w:val="00B52E49"/>
    <w:rsid w:val="00B661C3"/>
    <w:rsid w:val="00B8053E"/>
    <w:rsid w:val="00B85771"/>
    <w:rsid w:val="00C000DB"/>
    <w:rsid w:val="00C064E3"/>
    <w:rsid w:val="00C63DB3"/>
    <w:rsid w:val="00C67473"/>
    <w:rsid w:val="00CD126E"/>
    <w:rsid w:val="00DA56C3"/>
    <w:rsid w:val="00DB252B"/>
    <w:rsid w:val="00DB6B8E"/>
    <w:rsid w:val="00E17901"/>
    <w:rsid w:val="00E43990"/>
    <w:rsid w:val="00EE134C"/>
    <w:rsid w:val="00EE592D"/>
    <w:rsid w:val="00F12DAC"/>
    <w:rsid w:val="00F363F0"/>
    <w:rsid w:val="00F577B6"/>
    <w:rsid w:val="00F66D4D"/>
    <w:rsid w:val="00F7367D"/>
    <w:rsid w:val="00FE7DED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17D80"/>
  <w15:chartTrackingRefBased/>
  <w15:docId w15:val="{6FE7B8F4-AF18-4F80-B33E-71E86E48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F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F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F2D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201F2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01F2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01F2D"/>
    <w:rPr>
      <w:i/>
      <w:iCs/>
    </w:rPr>
  </w:style>
  <w:style w:type="paragraph" w:styleId="NoSpacing">
    <w:name w:val="No Spacing"/>
    <w:uiPriority w:val="1"/>
    <w:qFormat/>
    <w:rsid w:val="00201F2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01F2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01F2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01F2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1F2D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17901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Cannon</dc:creator>
  <cp:keywords/>
  <dc:description/>
  <cp:lastModifiedBy>Andrea Cannon</cp:lastModifiedBy>
  <cp:revision>4</cp:revision>
  <dcterms:created xsi:type="dcterms:W3CDTF">2026-11-01T21:51:00Z</dcterms:created>
  <dcterms:modified xsi:type="dcterms:W3CDTF">2026-11-01T22:01:00Z</dcterms:modified>
</cp:coreProperties>
</file>