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Lines/>
        <w:spacing w:before="0" w:after="20" w:line="240" w:lineRule="auto"/>
        <w:jc w:val="center"/>
      </w:pPr>
      <w:r>
        <w:rPr>
          <w:rFonts w:ascii="Arial" w:hAnsi="Arial"/>
          <w:b/>
          <w:color w:val="B51F2E"/>
          <w:sz w:val="18"/>
        </w:rPr>
        <w:t>THE DREAM ROLL  •  ATTENDEE QUICK GUIDE</w:t>
      </w:r>
    </w:p>
    <w:p>
      <w:pPr>
        <w:keepLines/>
        <w:spacing w:before="0" w:after="20" w:line="228" w:lineRule="auto"/>
        <w:jc w:val="center"/>
      </w:pPr>
      <w:r>
        <w:rPr>
          <w:rFonts w:ascii="Arial" w:hAnsi="Arial"/>
          <w:b/>
          <w:color w:val="111111"/>
          <w:sz w:val="27"/>
        </w:rPr>
        <w:t>CRASH COURSE IN</w:t>
      </w:r>
    </w:p>
    <w:p>
      <w:pPr>
        <w:keepLines/>
        <w:spacing w:before="0" w:after="120" w:line="221" w:lineRule="auto"/>
        <w:jc w:val="center"/>
      </w:pPr>
      <w:r>
        <w:rPr>
          <w:rFonts w:ascii="Arial" w:hAnsi="Arial"/>
          <w:b/>
          <w:color w:val="B51F2E"/>
          <w:sz w:val="54"/>
        </w:rPr>
        <w:t>MOTO FIRST AID</w:t>
      </w:r>
    </w:p>
    <w:tbl>
      <w:tblPr>
        <w:tblW w:type="dxa" w:w="10858"/>
        <w:jc w:val="left"/>
        <w:tblLayout w:type="fixed"/>
        <w:tblLook w:firstColumn="1" w:firstRow="1" w:lastColumn="0" w:lastRow="0" w:noHBand="0" w:noVBand="1" w:val="04A0"/>
      </w:tblPr>
      <w:tblGrid>
        <w:gridCol w:w="10858"/>
      </w:tblGrid>
      <w:tr>
        <w:trPr>
          <w:cantSplit/>
        </w:trPr>
        <w:tc>
          <w:tcPr>
            <w:tcW w:type="dxa" w:w="10858"/>
            <w:tcMar>
              <w:top w:w="120" w:type="dxa"/>
              <w:start w:w="120" w:type="dxa"/>
              <w:bottom w:w="120" w:type="dxa"/>
              <w:end w:w="120" w:type="dxa"/>
            </w:tcMar>
            <w:tcBorders>
              <w:top w:val="single" w:sz="6" w:color="111111"/>
              <w:start w:val="single" w:sz="6" w:color="111111"/>
              <w:bottom w:val="single" w:sz="6" w:color="111111"/>
              <w:end w:val="single" w:sz="6" w:color="111111"/>
            </w:tcBorders>
            <w:vAlign w:val="center"/>
            <w:shd w:fill="111111"/>
          </w:tcPr>
          <w:p>
            <w:pPr>
              <w:keepLines/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FFFFFF"/>
                <w:sz w:val="22"/>
              </w:rPr>
              <w:t>IF THE SCENE IS UNSAFE, DO NOT ENTER. CALL 911.</w:t>
            </w:r>
          </w:p>
        </w:tc>
      </w:tr>
    </w:tbl>
    <w:p>
      <w:pPr>
        <w:keepLines/>
        <w:spacing w:before="0" w:after="0" w:line="108" w:lineRule="auto"/>
      </w:pPr>
    </w:p>
    <w:tbl>
      <w:tblPr>
        <w:tblW w:type="dxa" w:w="10858"/>
        <w:jc w:val="left"/>
        <w:tblLayout w:type="fixed"/>
        <w:tblLook w:firstColumn="1" w:firstRow="1" w:lastColumn="0" w:lastRow="0" w:noHBand="0" w:noVBand="1" w:val="04A0"/>
      </w:tblPr>
      <w:tblGrid>
        <w:gridCol w:w="1425"/>
        <w:gridCol w:w="9433"/>
      </w:tblGrid>
      <w:tr>
        <w:trPr>
          <w:cantSplit/>
          <w:trHeight w:val="1450" w:hRule="atLeast"/>
        </w:trPr>
        <w:tc>
          <w:tcPr>
            <w:tcW w:type="dxa" w:w="1425"/>
            <w:tcMar>
              <w:top w:w="120" w:type="dxa"/>
              <w:start w:w="120" w:type="dxa"/>
              <w:bottom w:w="120" w:type="dxa"/>
              <w:end w:w="120" w:type="dxa"/>
            </w:tcMar>
            <w:tcBorders>
              <w:top w:val="single" w:sz="6" w:color="111111"/>
              <w:start w:val="single" w:sz="6" w:color="111111"/>
              <w:bottom w:val="single" w:sz="6" w:color="111111"/>
              <w:end w:val="single" w:sz="6" w:color="111111"/>
            </w:tcBorders>
            <w:vAlign w:val="center"/>
            <w:shd w:fill="B51F2E"/>
          </w:tcPr>
          <w:p>
            <w:pPr>
              <w:keepLines/>
              <w:spacing w:before="0" w:after="40" w:line="240" w:lineRule="auto"/>
              <w:jc w:val="center"/>
            </w:pPr>
            <w:r>
              <w:rPr>
                <w:rFonts w:ascii="Arial" w:hAnsi="Arial"/>
                <w:b/>
                <w:color w:val="FFFFFF"/>
                <w:sz w:val="48"/>
              </w:rPr>
              <w:t>1</w:t>
            </w:r>
          </w:p>
          <w:p>
            <w:pPr>
              <w:keepLines/>
              <w:spacing w:before="0" w:after="0" w:line="228" w:lineRule="auto"/>
              <w:jc w:val="center"/>
            </w:pPr>
            <w:r>
              <w:rPr>
                <w:rFonts w:ascii="Arial" w:hAnsi="Arial"/>
                <w:b/>
                <w:color w:val="FFFFFF"/>
                <w:sz w:val="19"/>
              </w:rPr>
              <w:t>PROTECT</w:t>
              <w:br/>
              <w:t>THE SCENE</w:t>
            </w:r>
          </w:p>
        </w:tc>
        <w:tc>
          <w:tcPr>
            <w:tcW w:type="dxa" w:w="9433"/>
            <w:tcMar>
              <w:top w:w="120" w:type="dxa"/>
              <w:start w:w="120" w:type="dxa"/>
              <w:bottom w:w="120" w:type="dxa"/>
              <w:end w:w="120" w:type="dxa"/>
            </w:tcMar>
            <w:tcBorders>
              <w:top w:val="single" w:sz="6" w:color="111111"/>
              <w:start w:val="single" w:sz="6" w:color="111111"/>
              <w:bottom w:val="single" w:sz="6" w:color="111111"/>
              <w:end w:val="single" w:sz="6" w:color="111111"/>
            </w:tcBorders>
            <w:vAlign w:val="center"/>
            <w:shd w:fill="FFFFFF"/>
          </w:tcPr>
          <w:p>
            <w:pPr>
              <w:keepLines/>
              <w:spacing w:before="0" w:after="0" w:line="240" w:lineRule="auto"/>
            </w:pPr>
          </w:p>
          <w:p>
            <w:pPr>
              <w:pStyle w:val="ListBullet"/>
              <w:keepLines/>
              <w:spacing w:before="0" w:after="32" w:line="259" w:lineRule="auto"/>
              <w:ind w:left="259" w:hanging="187"/>
            </w:pPr>
            <w:r>
              <w:rPr>
                <w:rFonts w:ascii="Arial" w:hAnsi="Arial"/>
                <w:color w:val="111111"/>
                <w:sz w:val="21"/>
              </w:rPr>
              <w:t>Stop, breathe, and scan for traffic, blind curves, fuel/fire, wires, debris, a hot bike, and other patients.</w:t>
            </w:r>
          </w:p>
          <w:p>
            <w:pPr>
              <w:pStyle w:val="ListBullet"/>
              <w:keepLines/>
              <w:spacing w:before="0" w:after="32" w:line="259" w:lineRule="auto"/>
              <w:ind w:left="259" w:hanging="187"/>
            </w:pPr>
            <w:r>
              <w:rPr>
                <w:rFonts w:ascii="Arial" w:hAnsi="Arial"/>
                <w:color w:val="111111"/>
                <w:sz w:val="21"/>
              </w:rPr>
              <w:t>Park out of the lane. Use the kill switch only if safe; do not restart or upright the bike just to protect it.</w:t>
            </w:r>
          </w:p>
        </w:tc>
      </w:tr>
      <w:tr>
        <w:trPr>
          <w:cantSplit/>
          <w:trHeight w:val="1450" w:hRule="atLeast"/>
        </w:trPr>
        <w:tc>
          <w:tcPr>
            <w:tcW w:type="dxa" w:w="1425"/>
            <w:tcMar>
              <w:top w:w="120" w:type="dxa"/>
              <w:start w:w="120" w:type="dxa"/>
              <w:bottom w:w="120" w:type="dxa"/>
              <w:end w:w="120" w:type="dxa"/>
            </w:tcMar>
            <w:tcBorders>
              <w:top w:val="single" w:sz="6" w:color="111111"/>
              <w:start w:val="single" w:sz="6" w:color="111111"/>
              <w:bottom w:val="single" w:sz="6" w:color="111111"/>
              <w:end w:val="single" w:sz="6" w:color="111111"/>
            </w:tcBorders>
            <w:vAlign w:val="center"/>
            <w:shd w:fill="B51F2E"/>
          </w:tcPr>
          <w:p>
            <w:pPr>
              <w:keepLines/>
              <w:spacing w:before="0" w:after="40" w:line="240" w:lineRule="auto"/>
              <w:jc w:val="center"/>
            </w:pPr>
            <w:r>
              <w:rPr>
                <w:rFonts w:ascii="Arial" w:hAnsi="Arial"/>
                <w:b/>
                <w:color w:val="FFFFFF"/>
                <w:sz w:val="48"/>
              </w:rPr>
              <w:t>2</w:t>
            </w:r>
          </w:p>
          <w:p>
            <w:pPr>
              <w:keepLines/>
              <w:spacing w:before="0" w:after="0" w:line="228" w:lineRule="auto"/>
              <w:jc w:val="center"/>
            </w:pPr>
            <w:r>
              <w:rPr>
                <w:rFonts w:ascii="Arial" w:hAnsi="Arial"/>
                <w:b/>
                <w:color w:val="FFFFFF"/>
                <w:sz w:val="19"/>
              </w:rPr>
              <w:t>CALL 911 +</w:t>
              <w:br/>
              <w:t>ORGANIZE</w:t>
            </w:r>
          </w:p>
        </w:tc>
        <w:tc>
          <w:tcPr>
            <w:tcW w:type="dxa" w:w="9433"/>
            <w:tcMar>
              <w:top w:w="120" w:type="dxa"/>
              <w:start w:w="120" w:type="dxa"/>
              <w:bottom w:w="120" w:type="dxa"/>
              <w:end w:w="120" w:type="dxa"/>
            </w:tcMar>
            <w:tcBorders>
              <w:top w:val="single" w:sz="6" w:color="111111"/>
              <w:start w:val="single" w:sz="6" w:color="111111"/>
              <w:bottom w:val="single" w:sz="6" w:color="111111"/>
              <w:end w:val="single" w:sz="6" w:color="111111"/>
            </w:tcBorders>
            <w:vAlign w:val="center"/>
            <w:shd w:fill="FFFFFF"/>
          </w:tcPr>
          <w:p>
            <w:pPr>
              <w:keepLines/>
              <w:spacing w:before="0" w:after="0" w:line="240" w:lineRule="auto"/>
            </w:pPr>
          </w:p>
          <w:p>
            <w:pPr>
              <w:pStyle w:val="ListBullet"/>
              <w:keepLines/>
              <w:spacing w:before="0" w:after="32" w:line="259" w:lineRule="auto"/>
              <w:ind w:left="259" w:hanging="187"/>
            </w:pPr>
            <w:r>
              <w:rPr>
                <w:rFonts w:ascii="Arial" w:hAnsi="Arial"/>
                <w:b/>
                <w:color w:val="111111"/>
                <w:sz w:val="21"/>
              </w:rPr>
              <w:t>Location first:</w:t>
            </w:r>
            <w:r>
              <w:rPr>
                <w:rFonts w:ascii="Arial" w:hAnsi="Arial"/>
                <w:color w:val="111111"/>
                <w:sz w:val="21"/>
              </w:rPr>
              <w:t xml:space="preserve"> road, direction, landmark/access point, mile marker, or GPS. Then report patient count and hazards.</w:t>
            </w:r>
          </w:p>
          <w:p>
            <w:pPr>
              <w:pStyle w:val="ListBullet"/>
              <w:keepLines/>
              <w:spacing w:before="0" w:after="32" w:line="259" w:lineRule="auto"/>
              <w:ind w:left="259" w:hanging="187"/>
            </w:pPr>
            <w:r>
              <w:rPr>
                <w:rFonts w:ascii="Arial" w:hAnsi="Arial"/>
                <w:color w:val="111111"/>
                <w:sz w:val="21"/>
              </w:rPr>
              <w:t>Use speakerphone. Assign caller, patient care, equipment runner, and EMS guide.</w:t>
            </w:r>
          </w:p>
        </w:tc>
      </w:tr>
      <w:tr>
        <w:trPr>
          <w:cantSplit/>
          <w:trHeight w:val="1900" w:hRule="atLeast"/>
        </w:trPr>
        <w:tc>
          <w:tcPr>
            <w:tcW w:type="dxa" w:w="1425"/>
            <w:tcMar>
              <w:top w:w="120" w:type="dxa"/>
              <w:start w:w="120" w:type="dxa"/>
              <w:bottom w:w="120" w:type="dxa"/>
              <w:end w:w="120" w:type="dxa"/>
            </w:tcMar>
            <w:tcBorders>
              <w:top w:val="single" w:sz="6" w:color="111111"/>
              <w:start w:val="single" w:sz="6" w:color="111111"/>
              <w:bottom w:val="single" w:sz="6" w:color="111111"/>
              <w:end w:val="single" w:sz="6" w:color="111111"/>
            </w:tcBorders>
            <w:vAlign w:val="center"/>
            <w:shd w:fill="B51F2E"/>
          </w:tcPr>
          <w:p>
            <w:pPr>
              <w:keepLines/>
              <w:spacing w:before="0" w:after="40" w:line="240" w:lineRule="auto"/>
              <w:jc w:val="center"/>
            </w:pPr>
            <w:r>
              <w:rPr>
                <w:rFonts w:ascii="Arial" w:hAnsi="Arial"/>
                <w:b/>
                <w:color w:val="FFFFFF"/>
                <w:sz w:val="48"/>
              </w:rPr>
              <w:t>3</w:t>
            </w:r>
          </w:p>
          <w:p>
            <w:pPr>
              <w:keepLines/>
              <w:spacing w:before="0" w:after="0" w:line="228" w:lineRule="auto"/>
              <w:jc w:val="center"/>
            </w:pPr>
            <w:r>
              <w:rPr>
                <w:rFonts w:ascii="Arial" w:hAnsi="Arial"/>
                <w:b/>
                <w:color w:val="FFFFFF"/>
                <w:sz w:val="19"/>
              </w:rPr>
              <w:t>AIRWAY +</w:t>
              <w:br/>
              <w:t>BREATHING</w:t>
            </w:r>
          </w:p>
        </w:tc>
        <w:tc>
          <w:tcPr>
            <w:tcW w:type="dxa" w:w="9433"/>
            <w:tcMar>
              <w:top w:w="120" w:type="dxa"/>
              <w:start w:w="120" w:type="dxa"/>
              <w:bottom w:w="120" w:type="dxa"/>
              <w:end w:w="120" w:type="dxa"/>
            </w:tcMar>
            <w:tcBorders>
              <w:top w:val="single" w:sz="6" w:color="111111"/>
              <w:start w:val="single" w:sz="6" w:color="111111"/>
              <w:bottom w:val="single" w:sz="6" w:color="111111"/>
              <w:end w:val="single" w:sz="6" w:color="111111"/>
            </w:tcBorders>
            <w:vAlign w:val="center"/>
            <w:shd w:fill="FFFFFF"/>
          </w:tcPr>
          <w:p>
            <w:pPr>
              <w:keepLines/>
              <w:spacing w:before="0" w:after="0" w:line="240" w:lineRule="auto"/>
            </w:pPr>
          </w:p>
          <w:p>
            <w:pPr>
              <w:pStyle w:val="ListBullet"/>
              <w:keepLines/>
              <w:spacing w:before="0" w:after="32" w:line="259" w:lineRule="auto"/>
              <w:ind w:left="259" w:hanging="187"/>
            </w:pPr>
            <w:r>
              <w:rPr>
                <w:rFonts w:ascii="Arial" w:hAnsi="Arial"/>
                <w:color w:val="111111"/>
                <w:sz w:val="21"/>
              </w:rPr>
              <w:t>Check responsiveness and normal breathing. Open the visor.</w:t>
            </w:r>
          </w:p>
          <w:p>
            <w:pPr>
              <w:pStyle w:val="ListBullet"/>
              <w:keepLines/>
              <w:spacing w:before="0" w:after="32" w:line="259" w:lineRule="auto"/>
              <w:ind w:left="259" w:hanging="187"/>
            </w:pPr>
            <w:r>
              <w:rPr>
                <w:rFonts w:ascii="Arial" w:hAnsi="Arial"/>
                <w:b/>
                <w:color w:val="111111"/>
                <w:sz w:val="21"/>
              </w:rPr>
              <w:t>Maintain a clear airway.</w:t>
            </w:r>
            <w:r>
              <w:rPr>
                <w:rFonts w:ascii="Arial" w:hAnsi="Arial"/>
                <w:color w:val="111111"/>
                <w:sz w:val="21"/>
              </w:rPr>
              <w:t xml:space="preserve"> Remove only visible loose material from the mouth—never use a blind finger sweep.</w:t>
            </w:r>
          </w:p>
          <w:p>
            <w:pPr>
              <w:pStyle w:val="ListBullet"/>
              <w:keepLines/>
              <w:spacing w:before="0" w:after="32" w:line="259" w:lineRule="auto"/>
              <w:ind w:left="259" w:hanging="187"/>
            </w:pPr>
            <w:r>
              <w:rPr>
                <w:rFonts w:ascii="Arial" w:hAnsi="Arial"/>
                <w:color w:val="111111"/>
                <w:sz w:val="21"/>
              </w:rPr>
              <w:t>If trained, use a jaw-thrust while minimizing head/neck movement. If vomit or fluids threaten the airway, roll the rider as a unit with help when possible; follow 911 guidance.</w:t>
            </w:r>
          </w:p>
          <w:p>
            <w:pPr>
              <w:pStyle w:val="ListBullet"/>
              <w:keepLines/>
              <w:spacing w:before="0" w:after="32" w:line="259" w:lineRule="auto"/>
              <w:ind w:left="259" w:hanging="187"/>
            </w:pPr>
            <w:r>
              <w:rPr>
                <w:rFonts w:ascii="Arial" w:hAnsi="Arial"/>
                <w:color w:val="111111"/>
                <w:sz w:val="21"/>
              </w:rPr>
              <w:t>If not breathing normally, start CPR/AED. Remove the helmet only when airway access or CPR requires it and you are trained.</w:t>
            </w:r>
          </w:p>
        </w:tc>
      </w:tr>
      <w:tr>
        <w:trPr>
          <w:cantSplit/>
          <w:trHeight w:val="1600" w:hRule="atLeast"/>
        </w:trPr>
        <w:tc>
          <w:tcPr>
            <w:tcW w:type="dxa" w:w="1425"/>
            <w:tcMar>
              <w:top w:w="120" w:type="dxa"/>
              <w:start w:w="120" w:type="dxa"/>
              <w:bottom w:w="120" w:type="dxa"/>
              <w:end w:w="120" w:type="dxa"/>
            </w:tcMar>
            <w:tcBorders>
              <w:top w:val="single" w:sz="6" w:color="111111"/>
              <w:start w:val="single" w:sz="6" w:color="111111"/>
              <w:bottom w:val="single" w:sz="6" w:color="111111"/>
              <w:end w:val="single" w:sz="6" w:color="111111"/>
            </w:tcBorders>
            <w:vAlign w:val="center"/>
            <w:shd w:fill="B51F2E"/>
          </w:tcPr>
          <w:p>
            <w:pPr>
              <w:keepLines/>
              <w:spacing w:before="0" w:after="40" w:line="240" w:lineRule="auto"/>
              <w:jc w:val="center"/>
            </w:pPr>
            <w:r>
              <w:rPr>
                <w:rFonts w:ascii="Arial" w:hAnsi="Arial"/>
                <w:b/>
                <w:color w:val="FFFFFF"/>
                <w:sz w:val="48"/>
              </w:rPr>
              <w:t>4</w:t>
            </w:r>
          </w:p>
          <w:p>
            <w:pPr>
              <w:keepLines/>
              <w:spacing w:before="0" w:after="0" w:line="228" w:lineRule="auto"/>
              <w:jc w:val="center"/>
            </w:pPr>
            <w:r>
              <w:rPr>
                <w:rFonts w:ascii="Arial" w:hAnsi="Arial"/>
                <w:b/>
                <w:color w:val="FFFFFF"/>
                <w:sz w:val="19"/>
              </w:rPr>
              <w:t>STOP THE</w:t>
              <w:br/>
              <w:t>BLEED</w:t>
            </w:r>
          </w:p>
        </w:tc>
        <w:tc>
          <w:tcPr>
            <w:tcW w:type="dxa" w:w="9433"/>
            <w:tcMar>
              <w:top w:w="120" w:type="dxa"/>
              <w:start w:w="120" w:type="dxa"/>
              <w:bottom w:w="120" w:type="dxa"/>
              <w:end w:w="120" w:type="dxa"/>
            </w:tcMar>
            <w:tcBorders>
              <w:top w:val="single" w:sz="6" w:color="111111"/>
              <w:start w:val="single" w:sz="6" w:color="111111"/>
              <w:bottom w:val="single" w:sz="6" w:color="111111"/>
              <w:end w:val="single" w:sz="6" w:color="111111"/>
            </w:tcBorders>
            <w:vAlign w:val="center"/>
            <w:shd w:fill="FFFFFF"/>
          </w:tcPr>
          <w:p>
            <w:pPr>
              <w:keepLines/>
              <w:spacing w:before="0" w:after="0" w:line="240" w:lineRule="auto"/>
            </w:pPr>
          </w:p>
          <w:p>
            <w:pPr>
              <w:pStyle w:val="ListBullet"/>
              <w:keepLines/>
              <w:spacing w:before="0" w:after="32" w:line="259" w:lineRule="auto"/>
              <w:ind w:left="259" w:hanging="187"/>
            </w:pPr>
            <w:r>
              <w:rPr>
                <w:rFonts w:ascii="Arial" w:hAnsi="Arial"/>
                <w:b/>
                <w:color w:val="111111"/>
                <w:sz w:val="21"/>
              </w:rPr>
              <w:t>Press:</w:t>
            </w:r>
            <w:r>
              <w:rPr>
                <w:rFonts w:ascii="Arial" w:hAnsi="Arial"/>
                <w:color w:val="111111"/>
                <w:sz w:val="21"/>
              </w:rPr>
              <w:t xml:space="preserve"> hard, directly on the source; keep pressure on.</w:t>
            </w:r>
          </w:p>
          <w:p>
            <w:pPr>
              <w:pStyle w:val="ListBullet"/>
              <w:keepLines/>
              <w:spacing w:before="0" w:after="32" w:line="259" w:lineRule="auto"/>
              <w:ind w:left="259" w:hanging="187"/>
            </w:pPr>
            <w:r>
              <w:rPr>
                <w:rFonts w:ascii="Arial" w:hAnsi="Arial"/>
                <w:b/>
                <w:color w:val="111111"/>
                <w:sz w:val="21"/>
              </w:rPr>
              <w:t>Pack:</w:t>
            </w:r>
            <w:r>
              <w:rPr>
                <w:rFonts w:ascii="Arial" w:hAnsi="Arial"/>
                <w:color w:val="111111"/>
                <w:sz w:val="21"/>
              </w:rPr>
              <w:t xml:space="preserve"> an appropriate deep wound firmly with gauze, then hold pressure. Do not pack the chest or abdomen.</w:t>
            </w:r>
          </w:p>
          <w:p>
            <w:pPr>
              <w:pStyle w:val="ListBullet"/>
              <w:keepLines/>
              <w:spacing w:before="0" w:after="32" w:line="259" w:lineRule="auto"/>
              <w:ind w:left="259" w:hanging="187"/>
            </w:pPr>
            <w:r>
              <w:rPr>
                <w:rFonts w:ascii="Arial" w:hAnsi="Arial"/>
                <w:b/>
                <w:color w:val="111111"/>
                <w:sz w:val="21"/>
              </w:rPr>
              <w:t>Tourniquet:</w:t>
            </w:r>
            <w:r>
              <w:rPr>
                <w:rFonts w:ascii="Arial" w:hAnsi="Arial"/>
                <w:color w:val="111111"/>
                <w:sz w:val="21"/>
              </w:rPr>
              <w:t xml:space="preserve"> arm/leg only, 2–3 inches above the wound—not on a joint. Remove slack; tighten until bleeding stops; note the time; never loosen. Add a second above if needed.</w:t>
            </w:r>
          </w:p>
        </w:tc>
      </w:tr>
      <w:tr>
        <w:trPr>
          <w:cantSplit/>
          <w:trHeight w:val="1450" w:hRule="atLeast"/>
        </w:trPr>
        <w:tc>
          <w:tcPr>
            <w:tcW w:type="dxa" w:w="1425"/>
            <w:tcMar>
              <w:top w:w="120" w:type="dxa"/>
              <w:start w:w="120" w:type="dxa"/>
              <w:bottom w:w="120" w:type="dxa"/>
              <w:end w:w="120" w:type="dxa"/>
            </w:tcMar>
            <w:tcBorders>
              <w:top w:val="single" w:sz="6" w:color="111111"/>
              <w:start w:val="single" w:sz="6" w:color="111111"/>
              <w:bottom w:val="single" w:sz="6" w:color="111111"/>
              <w:end w:val="single" w:sz="6" w:color="111111"/>
            </w:tcBorders>
            <w:vAlign w:val="center"/>
            <w:shd w:fill="B51F2E"/>
          </w:tcPr>
          <w:p>
            <w:pPr>
              <w:keepLines/>
              <w:spacing w:before="0" w:after="40" w:line="240" w:lineRule="auto"/>
              <w:jc w:val="center"/>
            </w:pPr>
            <w:r>
              <w:rPr>
                <w:rFonts w:ascii="Arial" w:hAnsi="Arial"/>
                <w:b/>
                <w:color w:val="FFFFFF"/>
                <w:sz w:val="48"/>
              </w:rPr>
              <w:t>5</w:t>
            </w:r>
          </w:p>
          <w:p>
            <w:pPr>
              <w:keepLines/>
              <w:spacing w:before="0" w:after="0" w:line="228" w:lineRule="auto"/>
              <w:jc w:val="center"/>
            </w:pPr>
            <w:r>
              <w:rPr>
                <w:rFonts w:ascii="Arial" w:hAnsi="Arial"/>
                <w:b/>
                <w:color w:val="FFFFFF"/>
                <w:sz w:val="19"/>
              </w:rPr>
              <w:t>READ THE</w:t>
              <w:br/>
              <w:t>BIKE</w:t>
            </w:r>
          </w:p>
        </w:tc>
        <w:tc>
          <w:tcPr>
            <w:tcW w:type="dxa" w:w="9433"/>
            <w:tcMar>
              <w:top w:w="120" w:type="dxa"/>
              <w:start w:w="120" w:type="dxa"/>
              <w:bottom w:w="120" w:type="dxa"/>
              <w:end w:w="120" w:type="dxa"/>
            </w:tcMar>
            <w:tcBorders>
              <w:top w:val="single" w:sz="6" w:color="111111"/>
              <w:start w:val="single" w:sz="6" w:color="111111"/>
              <w:bottom w:val="single" w:sz="6" w:color="111111"/>
              <w:end w:val="single" w:sz="6" w:color="111111"/>
            </w:tcBorders>
            <w:vAlign w:val="center"/>
            <w:shd w:fill="FFFFFF"/>
          </w:tcPr>
          <w:p>
            <w:pPr>
              <w:keepLines/>
              <w:spacing w:before="0" w:after="0" w:line="240" w:lineRule="auto"/>
            </w:pPr>
          </w:p>
          <w:p>
            <w:pPr>
              <w:pStyle w:val="ListBullet"/>
              <w:keepLines/>
              <w:spacing w:before="0" w:after="32" w:line="259" w:lineRule="auto"/>
              <w:ind w:left="259" w:hanging="187"/>
            </w:pPr>
            <w:r>
              <w:rPr>
                <w:rFonts w:ascii="Arial" w:hAnsi="Arial"/>
                <w:color w:val="111111"/>
                <w:sz w:val="21"/>
              </w:rPr>
              <w:t>Hot exhaust/engine → burn  •  bike on rider → crush/hidden bleeding  •  bar/tank/peg/lever → chest, abdomen, pelvis, or groin injury.</w:t>
            </w:r>
          </w:p>
          <w:p>
            <w:pPr>
              <w:pStyle w:val="ListBullet"/>
              <w:keepLines/>
              <w:spacing w:before="0" w:after="32" w:line="259" w:lineRule="auto"/>
              <w:ind w:left="259" w:hanging="187"/>
            </w:pPr>
            <w:r>
              <w:rPr>
                <w:rFonts w:ascii="Arial" w:hAnsi="Arial"/>
                <w:color w:val="111111"/>
                <w:sz w:val="21"/>
              </w:rPr>
              <w:t>Chain/wheel/spokes → entanglement, degloving, or amputation. Road rash can distract from head, chest, abdominal, pelvic, or spinal injury.</w:t>
            </w:r>
          </w:p>
          <w:p>
            <w:pPr>
              <w:pStyle w:val="ListBullet"/>
              <w:keepLines/>
              <w:spacing w:before="0" w:after="32" w:line="259" w:lineRule="auto"/>
              <w:ind w:left="259" w:hanging="187"/>
            </w:pPr>
            <w:r>
              <w:rPr>
                <w:rFonts w:ascii="Arial" w:hAnsi="Arial"/>
                <w:b/>
                <w:color w:val="111111"/>
                <w:sz w:val="21"/>
              </w:rPr>
              <w:t>Do not</w:t>
            </w:r>
            <w:r>
              <w:rPr>
                <w:rFonts w:ascii="Arial" w:hAnsi="Arial"/>
                <w:color w:val="111111"/>
                <w:sz w:val="21"/>
              </w:rPr>
              <w:t xml:space="preserve"> pull trapped tissue free, straighten deformities, or remove embedded objects.</w:t>
            </w:r>
          </w:p>
        </w:tc>
      </w:tr>
      <w:tr>
        <w:trPr>
          <w:cantSplit/>
          <w:trHeight w:val="1400" w:hRule="atLeast"/>
        </w:trPr>
        <w:tc>
          <w:tcPr>
            <w:tcW w:type="dxa" w:w="1425"/>
            <w:tcMar>
              <w:top w:w="120" w:type="dxa"/>
              <w:start w:w="120" w:type="dxa"/>
              <w:bottom w:w="120" w:type="dxa"/>
              <w:end w:w="120" w:type="dxa"/>
            </w:tcMar>
            <w:tcBorders>
              <w:top w:val="single" w:sz="6" w:color="111111"/>
              <w:start w:val="single" w:sz="6" w:color="111111"/>
              <w:bottom w:val="single" w:sz="6" w:color="111111"/>
              <w:end w:val="single" w:sz="6" w:color="111111"/>
            </w:tcBorders>
            <w:vAlign w:val="center"/>
            <w:shd w:fill="B51F2E"/>
          </w:tcPr>
          <w:p>
            <w:pPr>
              <w:keepLines/>
              <w:spacing w:before="0" w:after="40" w:line="240" w:lineRule="auto"/>
              <w:jc w:val="center"/>
            </w:pPr>
            <w:r>
              <w:rPr>
                <w:rFonts w:ascii="Arial" w:hAnsi="Arial"/>
                <w:b/>
                <w:color w:val="FFFFFF"/>
                <w:sz w:val="48"/>
              </w:rPr>
              <w:t>6</w:t>
            </w:r>
          </w:p>
          <w:p>
            <w:pPr>
              <w:keepLines/>
              <w:spacing w:before="0" w:after="0" w:line="228" w:lineRule="auto"/>
              <w:jc w:val="center"/>
            </w:pPr>
            <w:r>
              <w:rPr>
                <w:rFonts w:ascii="Arial" w:hAnsi="Arial"/>
                <w:b/>
                <w:color w:val="FFFFFF"/>
                <w:sz w:val="19"/>
              </w:rPr>
              <w:t>REASSESS +</w:t>
              <w:br/>
              <w:t>HAND OFF</w:t>
            </w:r>
          </w:p>
        </w:tc>
        <w:tc>
          <w:tcPr>
            <w:tcW w:type="dxa" w:w="9433"/>
            <w:tcMar>
              <w:top w:w="120" w:type="dxa"/>
              <w:start w:w="120" w:type="dxa"/>
              <w:bottom w:w="120" w:type="dxa"/>
              <w:end w:w="120" w:type="dxa"/>
            </w:tcMar>
            <w:tcBorders>
              <w:top w:val="single" w:sz="6" w:color="111111"/>
              <w:start w:val="single" w:sz="6" w:color="111111"/>
              <w:bottom w:val="single" w:sz="6" w:color="111111"/>
              <w:end w:val="single" w:sz="6" w:color="111111"/>
            </w:tcBorders>
            <w:vAlign w:val="center"/>
            <w:shd w:fill="FFFFFF"/>
          </w:tcPr>
          <w:p>
            <w:pPr>
              <w:keepLines/>
              <w:spacing w:before="0" w:after="0" w:line="240" w:lineRule="auto"/>
            </w:pPr>
          </w:p>
          <w:p>
            <w:pPr>
              <w:pStyle w:val="ListBullet"/>
              <w:keepLines/>
              <w:spacing w:before="0" w:after="32" w:line="259" w:lineRule="auto"/>
              <w:ind w:left="259" w:hanging="187"/>
            </w:pPr>
            <w:r>
              <w:rPr>
                <w:rFonts w:ascii="Arial" w:hAnsi="Arial"/>
                <w:color w:val="111111"/>
                <w:sz w:val="21"/>
              </w:rPr>
              <w:t>Keep the rider warm. Recheck airway, breathing, bleeding, and responsiveness until EMS takes over.</w:t>
            </w:r>
          </w:p>
          <w:p>
            <w:pPr>
              <w:pStyle w:val="ListBullet"/>
              <w:keepLines/>
              <w:spacing w:before="0" w:after="32" w:line="259" w:lineRule="auto"/>
              <w:ind w:left="259" w:hanging="187"/>
            </w:pPr>
            <w:r>
              <w:rPr>
                <w:rFonts w:ascii="Arial" w:hAnsi="Arial"/>
                <w:b/>
                <w:color w:val="111111"/>
                <w:sz w:val="21"/>
              </w:rPr>
              <w:t>MIST:</w:t>
            </w:r>
            <w:r>
              <w:rPr>
                <w:rFonts w:ascii="Arial" w:hAnsi="Arial"/>
                <w:color w:val="111111"/>
                <w:sz w:val="21"/>
              </w:rPr>
              <w:t xml:space="preserve"> Mechanism • Injuries found • Status/changes • Treatment, including tourniquet location and time.</w:t>
            </w:r>
          </w:p>
        </w:tc>
      </w:tr>
    </w:tbl>
    <w:p>
      <w:pPr>
        <w:keepLines/>
        <w:spacing w:before="0" w:after="0" w:line="108" w:lineRule="auto"/>
      </w:pPr>
    </w:p>
    <w:tbl>
      <w:tblPr>
        <w:tblW w:type="dxa" w:w="10858"/>
        <w:jc w:val="left"/>
        <w:tblLayout w:type="fixed"/>
        <w:tblLook w:firstColumn="1" w:firstRow="1" w:lastColumn="0" w:lastRow="0" w:noHBand="0" w:noVBand="1" w:val="04A0"/>
      </w:tblPr>
      <w:tblGrid>
        <w:gridCol w:w="10858"/>
      </w:tblGrid>
      <w:tr>
        <w:trPr>
          <w:cantSplit/>
        </w:trPr>
        <w:tc>
          <w:tcPr>
            <w:tcW w:type="dxa" w:w="10858"/>
            <w:tcMar>
              <w:top w:w="135" w:type="dxa"/>
              <w:start w:w="140" w:type="dxa"/>
              <w:bottom w:w="135" w:type="dxa"/>
              <w:end w:w="140" w:type="dxa"/>
            </w:tcMar>
            <w:tcBorders>
              <w:top w:val="single" w:sz="14" w:color="B51F2E"/>
              <w:start w:val="single" w:sz="14" w:color="B51F2E"/>
              <w:bottom w:val="single" w:sz="14" w:color="B51F2E"/>
              <w:end w:val="single" w:sz="14" w:color="B51F2E"/>
            </w:tcBorders>
            <w:vAlign w:val="center"/>
            <w:shd w:fill="FFFFFF"/>
          </w:tcPr>
          <w:p>
            <w:pPr>
              <w:keepLines/>
              <w:spacing w:before="0" w:after="0" w:line="240" w:lineRule="auto"/>
            </w:pPr>
            <w:r>
              <w:rPr>
                <w:rFonts w:ascii="Arial" w:hAnsi="Arial"/>
                <w:b/>
                <w:color w:val="B51F2E"/>
                <w:sz w:val="20"/>
              </w:rPr>
              <w:t xml:space="preserve">20-SECOND 911 REPORT  </w:t>
            </w:r>
            <w:r>
              <w:rPr>
                <w:rFonts w:ascii="Arial" w:hAnsi="Arial"/>
                <w:color w:val="111111"/>
                <w:sz w:val="20"/>
              </w:rPr>
              <w:t>“Motorcycle crash at [exact location]. [#] patient(s). Hazards: [ ]. Rider is [responsive/unresponsive], [breathing normally/not], with [major bleeding/injury]. We are [care]. Callback: [number].”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432" w:right="691" w:bottom="1181" w:left="691" w:header="259" w:footer="23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tbl>
    <w:tblPr>
      <w:tblW w:type="dxa" w:w="10858"/>
      <w:jc w:val="left"/>
      <w:tblLayout w:type="fixed"/>
      <w:tblLook w:firstColumn="1" w:firstRow="1" w:lastColumn="0" w:lastRow="0" w:noHBand="0" w:noVBand="1" w:val="04A0"/>
    </w:tblPr>
    <w:tblGrid>
      <w:gridCol w:w="10858"/>
    </w:tblGrid>
    <w:tr>
      <w:trPr>
        <w:cantSplit/>
      </w:trPr>
      <w:tc>
        <w:tcPr>
          <w:tcW w:type="dxa" w:w="10858"/>
          <w:tcMar>
            <w:top w:w="120" w:type="dxa"/>
            <w:start w:w="120" w:type="dxa"/>
            <w:bottom w:w="120" w:type="dxa"/>
            <w:end w:w="120" w:type="dxa"/>
          </w:tcMar>
          <w:tcBorders>
            <w:top w:val="single" w:sz="6" w:color="B51F2E"/>
            <w:start w:val="single" w:sz="6" w:color="B51F2E"/>
            <w:bottom w:val="single" w:sz="6" w:color="B51F2E"/>
            <w:end w:val="single" w:sz="6" w:color="B51F2E"/>
          </w:tcBorders>
          <w:vAlign w:val="center"/>
          <w:shd w:fill="B51F2E"/>
        </w:tcPr>
        <w:p>
          <w:pPr>
            <w:keepLines/>
            <w:spacing w:before="0" w:after="0" w:line="240" w:lineRule="auto"/>
            <w:jc w:val="center"/>
          </w:pPr>
          <w:r>
            <w:rPr>
              <w:rFonts w:ascii="Arial" w:hAnsi="Arial"/>
              <w:b/>
              <w:color w:val="FFFFFF"/>
              <w:sz w:val="22"/>
            </w:rPr>
            <w:t>SCENE  •  AIRWAY  •  BREATHING  •  BLEEDING  •  EMS</w:t>
          </w:r>
        </w:p>
      </w:tc>
    </w:tr>
  </w:tbl>
  <w:p>
    <w:pPr>
      <w:pStyle w:val="Footer"/>
      <w:keepLines/>
      <w:spacing w:before="60" w:after="0" w:line="228" w:lineRule="auto"/>
      <w:jc w:val="center"/>
    </w:pPr>
    <w:r>
      <w:rPr>
        <w:rFonts w:ascii="Arial" w:hAnsi="Arial"/>
        <w:i/>
        <w:color w:val="111111"/>
        <w:sz w:val="16"/>
      </w:rPr>
      <w:t>Awareness guide—not a certification. Follow 911 instructions, current training, and local protocols. Sources: ACS STOP THE BLEED, American Red Cross, 911.gov, EMS.gov.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40" w:line="252" w:lineRule="auto"/>
    </w:pPr>
    <w:rPr>
      <w:rFonts w:ascii="Arial" w:hAnsi="Arial"/>
      <w:color w:val="111111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Arial" w:hAnsi="Arial"/>
      <w:color w:val="111111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Moto First Aid Attendee Quick Guide</dc:title>
  <dc:subject>One-page motorcycle crash response handout for The Dream Roll</dc:subject>
  <dc:creator>First Watch Safety Training, LLC</dc:creator>
  <cp:keywords>motorcycle, first aid, crash scene, airway, bleeding control, EMS, attendee handout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