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widowControl w:val="0"/>
        <w:rPr>
          <w:rFonts w:ascii="Garamond" w:cs="Garamond" w:hAnsi="Garamond" w:eastAsia="Garamond"/>
          <w:sz w:val="22"/>
          <w:szCs w:val="22"/>
        </w:rPr>
      </w:pPr>
      <w:r>
        <w:rPr>
          <w:rFonts w:ascii="Garamond" w:hAnsi="Garamond"/>
          <w:sz w:val="22"/>
          <w:szCs w:val="22"/>
        </w:rPr>
        <w:drawing xmlns:a="http://schemas.openxmlformats.org/drawingml/2006/main">
          <wp:anchor distT="0" distB="0" distL="0" distR="0" simplePos="0" relativeHeight="251657216" behindDoc="1" locked="0" layoutInCell="1" allowOverlap="1">
            <wp:simplePos x="0" y="0"/>
            <wp:positionH relativeFrom="page">
              <wp:posOffset>28575</wp:posOffset>
            </wp:positionH>
            <wp:positionV relativeFrom="line">
              <wp:posOffset>-2026284</wp:posOffset>
            </wp:positionV>
            <wp:extent cx="7743825" cy="1002176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4">
                      <a:extLst/>
                    </a:blip>
                    <a:stretch>
                      <a:fillRect/>
                    </a:stretch>
                  </pic:blipFill>
                  <pic:spPr>
                    <a:xfrm>
                      <a:off x="0" y="0"/>
                      <a:ext cx="7743825" cy="10021760"/>
                    </a:xfrm>
                    <a:prstGeom prst="rect">
                      <a:avLst/>
                    </a:prstGeom>
                    <a:ln w="12700" cap="flat">
                      <a:noFill/>
                      <a:miter lim="400000"/>
                    </a:ln>
                    <a:effectLst/>
                  </pic:spPr>
                </pic:pic>
              </a:graphicData>
            </a:graphic>
          </wp:anchor>
        </w:drawing>
      </w:r>
      <w:r>
        <w:rPr>
          <w:rFonts w:ascii="Garamond" w:hAnsi="Garamond"/>
          <w:sz w:val="22"/>
          <w:szCs w:val="22"/>
          <w:rtl w:val="0"/>
          <w:lang w:val="en-US"/>
        </w:rPr>
        <w:t>October 1, 20</w:t>
      </w:r>
      <w:r>
        <w:rPr>
          <w:rFonts w:ascii="Garamond" w:hAnsi="Garamond"/>
          <w:sz w:val="22"/>
          <w:szCs w:val="22"/>
          <w:rtl w:val="0"/>
          <w:lang w:val="en-US"/>
        </w:rPr>
        <w:t>21</w:t>
      </w:r>
    </w:p>
    <w:p>
      <w:pPr>
        <w:pStyle w:val="Standard"/>
        <w:widowControl w:val="0"/>
        <w:rPr>
          <w:rFonts w:ascii="Garamond" w:cs="Garamond" w:hAnsi="Garamond" w:eastAsia="Garamond"/>
          <w:sz w:val="22"/>
          <w:szCs w:val="22"/>
        </w:rPr>
      </w:pPr>
    </w:p>
    <w:p>
      <w:pPr>
        <w:pStyle w:val="Standard"/>
        <w:widowControl w:val="0"/>
        <w:rPr>
          <w:rFonts w:ascii="Garamond" w:cs="Garamond" w:hAnsi="Garamond" w:eastAsia="Garamond"/>
          <w:sz w:val="22"/>
          <w:szCs w:val="22"/>
        </w:rPr>
      </w:pPr>
      <w:r>
        <w:rPr>
          <w:rFonts w:ascii="Garamond" w:hAnsi="Garamond"/>
          <w:sz w:val="22"/>
          <w:szCs w:val="22"/>
          <w:rtl w:val="0"/>
          <w:lang w:val="en-US"/>
        </w:rPr>
        <w:t>Dear United Way Agency,</w:t>
      </w:r>
    </w:p>
    <w:p>
      <w:pPr>
        <w:pStyle w:val="Standard"/>
        <w:widowControl w:val="0"/>
        <w:rPr>
          <w:rFonts w:ascii="Garamond" w:cs="Garamond" w:hAnsi="Garamond" w:eastAsia="Garamond"/>
          <w:sz w:val="22"/>
          <w:szCs w:val="22"/>
        </w:rPr>
      </w:pPr>
    </w:p>
    <w:p>
      <w:pPr>
        <w:pStyle w:val="Standard"/>
        <w:widowControl w:val="0"/>
        <w:rPr>
          <w:rFonts w:ascii="Garamond" w:cs="Garamond" w:hAnsi="Garamond" w:eastAsia="Garamond"/>
          <w:sz w:val="22"/>
          <w:szCs w:val="22"/>
        </w:rPr>
      </w:pPr>
      <w:r>
        <w:rPr>
          <w:rFonts w:ascii="Garamond" w:hAnsi="Garamond"/>
          <w:sz w:val="22"/>
          <w:szCs w:val="22"/>
          <w:rtl w:val="0"/>
          <w:lang w:val="en-US"/>
        </w:rPr>
        <w:t>On behalf of the Habersham County United Way and the community at large, we thank you for the fine work your agency does to make Habersham County a better place to live.  We are proud to support and partner with you in your efforts.</w:t>
      </w:r>
    </w:p>
    <w:p>
      <w:pPr>
        <w:pStyle w:val="Standard"/>
        <w:widowControl w:val="0"/>
        <w:rPr>
          <w:rFonts w:ascii="Garamond" w:cs="Garamond" w:hAnsi="Garamond" w:eastAsia="Garamond"/>
          <w:sz w:val="22"/>
          <w:szCs w:val="22"/>
        </w:rPr>
      </w:pPr>
    </w:p>
    <w:p>
      <w:pPr>
        <w:pStyle w:val="Standard"/>
        <w:widowControl w:val="0"/>
        <w:rPr>
          <w:rStyle w:val="Hyperlink.0"/>
        </w:rPr>
      </w:pPr>
      <w:r>
        <w:rPr>
          <w:rFonts w:ascii="Garamond" w:hAnsi="Garamond"/>
          <w:sz w:val="22"/>
          <w:szCs w:val="22"/>
          <w:rtl w:val="0"/>
          <w:lang w:val="en-US"/>
        </w:rPr>
        <w:t>It is now time to begin the allocation process for 202</w:t>
      </w:r>
      <w:r>
        <w:rPr>
          <w:rFonts w:ascii="Garamond" w:hAnsi="Garamond"/>
          <w:sz w:val="22"/>
          <w:szCs w:val="22"/>
          <w:rtl w:val="0"/>
          <w:lang w:val="en-US"/>
        </w:rPr>
        <w:t>2</w:t>
      </w:r>
      <w:r>
        <w:rPr>
          <w:rFonts w:ascii="Garamond" w:hAnsi="Garamond"/>
          <w:sz w:val="22"/>
          <w:szCs w:val="22"/>
          <w:rtl w:val="0"/>
          <w:lang w:val="en-US"/>
        </w:rPr>
        <w:t>.  Attached is the 202</w:t>
      </w:r>
      <w:r>
        <w:rPr>
          <w:rFonts w:ascii="Garamond" w:hAnsi="Garamond"/>
          <w:sz w:val="22"/>
          <w:szCs w:val="22"/>
          <w:rtl w:val="0"/>
          <w:lang w:val="en-US"/>
        </w:rPr>
        <w:t>2</w:t>
      </w:r>
      <w:r>
        <w:rPr>
          <w:rFonts w:ascii="Garamond" w:hAnsi="Garamond"/>
          <w:sz w:val="22"/>
          <w:szCs w:val="22"/>
          <w:rtl w:val="0"/>
          <w:lang w:val="en-US"/>
        </w:rPr>
        <w:t xml:space="preserve"> Allocation Request packet.   The fillable application form will also be accessible at the United Way website (</w:t>
      </w:r>
      <w:r>
        <w:rPr>
          <w:rStyle w:val="Hyperlink.0"/>
        </w:rPr>
        <w:fldChar w:fldCharType="begin" w:fldLock="0"/>
      </w:r>
      <w:r>
        <w:rPr>
          <w:rStyle w:val="Hyperlink.0"/>
        </w:rPr>
        <w:instrText xml:space="preserve"> HYPERLINK "http://www.habershamunitedway.org/"</w:instrText>
      </w:r>
      <w:r>
        <w:rPr>
          <w:rStyle w:val="Hyperlink.0"/>
        </w:rPr>
        <w:fldChar w:fldCharType="separate" w:fldLock="0"/>
      </w:r>
      <w:r>
        <w:rPr>
          <w:rStyle w:val="Hyperlink.0"/>
          <w:rtl w:val="0"/>
          <w:lang w:val="en-US"/>
        </w:rPr>
        <w:t>www.habershamunitedway.org</w:t>
      </w:r>
      <w:r>
        <w:rPr/>
        <w:fldChar w:fldCharType="end" w:fldLock="0"/>
      </w:r>
      <w:r>
        <w:rPr>
          <w:rStyle w:val="Hyperlink.0"/>
          <w:rtl w:val="0"/>
          <w:lang w:val="en-US"/>
        </w:rPr>
        <w:t xml:space="preserve">).   Your application may be submitted electronically (habuw@hemc.net) or delivered to the United Way Office, but it </w:t>
      </w:r>
      <w:r>
        <w:rPr>
          <w:rStyle w:val="None"/>
          <w:rFonts w:ascii="Garamond" w:hAnsi="Garamond"/>
          <w:b w:val="1"/>
          <w:bCs w:val="1"/>
          <w:sz w:val="22"/>
          <w:szCs w:val="22"/>
          <w:rtl w:val="0"/>
          <w:lang w:val="en-US"/>
        </w:rPr>
        <w:t xml:space="preserve">must be received no later than 12:00 noon on Friday, January </w:t>
      </w:r>
      <w:r>
        <w:rPr>
          <w:rStyle w:val="None"/>
          <w:rFonts w:ascii="Garamond" w:hAnsi="Garamond"/>
          <w:b w:val="1"/>
          <w:bCs w:val="1"/>
          <w:sz w:val="22"/>
          <w:szCs w:val="22"/>
          <w:rtl w:val="0"/>
          <w:lang w:val="en-US"/>
        </w:rPr>
        <w:t>7</w:t>
      </w:r>
      <w:r>
        <w:rPr>
          <w:rStyle w:val="None"/>
          <w:rFonts w:ascii="Garamond" w:hAnsi="Garamond"/>
          <w:b w:val="1"/>
          <w:bCs w:val="1"/>
          <w:sz w:val="22"/>
          <w:szCs w:val="22"/>
          <w:rtl w:val="0"/>
          <w:lang w:val="en-US"/>
        </w:rPr>
        <w:t>, 202</w:t>
      </w:r>
      <w:r>
        <w:rPr>
          <w:rStyle w:val="None"/>
          <w:rFonts w:ascii="Garamond" w:hAnsi="Garamond"/>
          <w:b w:val="1"/>
          <w:bCs w:val="1"/>
          <w:sz w:val="22"/>
          <w:szCs w:val="22"/>
          <w:rtl w:val="0"/>
          <w:lang w:val="en-US"/>
        </w:rPr>
        <w:t>2</w:t>
      </w:r>
      <w:r>
        <w:rPr>
          <w:rStyle w:val="Hyperlink.0"/>
          <w:rtl w:val="0"/>
          <w:lang w:val="en-US"/>
        </w:rPr>
        <w:t>.</w:t>
      </w:r>
    </w:p>
    <w:p>
      <w:pPr>
        <w:pStyle w:val="Standard"/>
        <w:widowControl w:val="0"/>
        <w:rPr>
          <w:rStyle w:val="None"/>
          <w:rFonts w:ascii="Garamond" w:cs="Garamond" w:hAnsi="Garamond" w:eastAsia="Garamond"/>
          <w:sz w:val="22"/>
          <w:szCs w:val="22"/>
        </w:rPr>
      </w:pPr>
    </w:p>
    <w:p>
      <w:pPr>
        <w:pStyle w:val="Standard"/>
        <w:widowControl w:val="0"/>
        <w:rPr>
          <w:rStyle w:val="Hyperlink.0"/>
        </w:rPr>
      </w:pPr>
      <w:r>
        <w:rPr>
          <w:rStyle w:val="Hyperlink.0"/>
          <w:rtl w:val="0"/>
          <w:lang w:val="en-US"/>
        </w:rPr>
        <w:t>The United Way allocation process will be similar to years past.  An allocation panel, comprised of about six community representatives and a United Way Board member, will meet with your agency in February to review and discuss your application.  Based on panel reports, the Allocation Committee will make funding recommendations to the United Way Board of Directors.   In April, you will receive a letter detailing your United Way allocation for 202</w:t>
      </w:r>
      <w:r>
        <w:rPr>
          <w:rStyle w:val="Hyperlink.0"/>
          <w:rtl w:val="0"/>
          <w:lang w:val="en-US"/>
        </w:rPr>
        <w:t>2</w:t>
      </w:r>
      <w:r>
        <w:rPr>
          <w:rStyle w:val="Hyperlink.0"/>
          <w:rtl w:val="0"/>
          <w:lang w:val="en-US"/>
        </w:rPr>
        <w:t>.</w:t>
      </w:r>
    </w:p>
    <w:p>
      <w:pPr>
        <w:pStyle w:val="Standard"/>
        <w:widowControl w:val="0"/>
        <w:rPr>
          <w:rStyle w:val="None"/>
          <w:rFonts w:ascii="Garamond" w:cs="Garamond" w:hAnsi="Garamond" w:eastAsia="Garamond"/>
          <w:sz w:val="22"/>
          <w:szCs w:val="22"/>
        </w:rPr>
      </w:pPr>
    </w:p>
    <w:p>
      <w:pPr>
        <w:pStyle w:val="Standard"/>
        <w:widowControl w:val="0"/>
        <w:rPr>
          <w:rStyle w:val="Hyperlink.0"/>
        </w:rPr>
      </w:pPr>
      <w:r>
        <w:rPr>
          <w:rStyle w:val="Hyperlink.0"/>
          <w:rtl w:val="0"/>
          <w:lang w:val="en-US"/>
        </w:rPr>
        <w:t>If you have any questions about the allocation process or the application form, please call Billy Boyd at 706-778-0620</w:t>
      </w:r>
      <w:r>
        <w:rPr>
          <w:rStyle w:val="Hyperlink.0"/>
          <w:rtl w:val="0"/>
          <w:lang w:val="en-US"/>
        </w:rPr>
        <w:t xml:space="preserve"> or Carol Perkins at 706-499-9820.</w:t>
      </w:r>
    </w:p>
    <w:p>
      <w:pPr>
        <w:pStyle w:val="Standard"/>
        <w:widowControl w:val="0"/>
        <w:rPr>
          <w:rStyle w:val="None"/>
          <w:rFonts w:ascii="Garamond" w:cs="Garamond" w:hAnsi="Garamond" w:eastAsia="Garamond"/>
          <w:sz w:val="22"/>
          <w:szCs w:val="22"/>
        </w:rPr>
      </w:pPr>
    </w:p>
    <w:p>
      <w:pPr>
        <w:pStyle w:val="Standard"/>
        <w:widowControl w:val="0"/>
        <w:rPr>
          <w:rStyle w:val="Hyperlink.0"/>
        </w:rPr>
      </w:pPr>
      <w:r>
        <w:rPr>
          <w:rStyle w:val="Hyperlink.0"/>
          <w:rtl w:val="0"/>
          <w:lang w:val="en-US"/>
        </w:rPr>
        <w:t>Thank you again for all you do to make our community stronger.</w:t>
      </w:r>
    </w:p>
    <w:p>
      <w:pPr>
        <w:pStyle w:val="Standard"/>
        <w:widowControl w:val="0"/>
        <w:rPr>
          <w:rStyle w:val="None"/>
          <w:rFonts w:ascii="Garamond" w:cs="Garamond" w:hAnsi="Garamond" w:eastAsia="Garamond"/>
          <w:sz w:val="22"/>
          <w:szCs w:val="22"/>
        </w:rPr>
      </w:pPr>
    </w:p>
    <w:p>
      <w:pPr>
        <w:pStyle w:val="Standard"/>
        <w:widowControl w:val="0"/>
        <w:rPr>
          <w:rStyle w:val="None"/>
          <w:rFonts w:ascii="Garamond" w:cs="Garamond" w:hAnsi="Garamond" w:eastAsia="Garamond"/>
          <w:sz w:val="22"/>
          <w:szCs w:val="22"/>
        </w:rPr>
      </w:pPr>
    </w:p>
    <w:p>
      <w:pPr>
        <w:pStyle w:val="Standard"/>
        <w:widowControl w:val="0"/>
        <w:rPr>
          <w:rStyle w:val="Hyperlink.0"/>
        </w:rPr>
      </w:pPr>
      <w:r>
        <w:rPr>
          <w:rStyle w:val="Hyperlink.0"/>
          <w:rtl w:val="0"/>
          <w:lang w:val="en-US"/>
        </w:rPr>
        <w:t>All the very best,</w:t>
      </w:r>
    </w:p>
    <w:p>
      <w:pPr>
        <w:pStyle w:val="Standard"/>
        <w:widowControl w:val="0"/>
        <w:rPr>
          <w:rStyle w:val="Hyperlink.0"/>
        </w:rPr>
      </w:pPr>
    </w:p>
    <w:p>
      <w:pPr>
        <w:pStyle w:val="Standard"/>
        <w:widowControl w:val="0"/>
        <w:rPr>
          <w:rStyle w:val="Hyperlink.0"/>
        </w:rPr>
      </w:pPr>
      <w:r>
        <w:rPr>
          <w:rStyle w:val="Hyperlink.0"/>
          <w:rtl w:val="0"/>
          <w:lang w:val="en-US"/>
        </w:rPr>
        <w:t>Carol Perkins, Chair</w:t>
      </w:r>
    </w:p>
    <w:p>
      <w:pPr>
        <w:pStyle w:val="Standard"/>
        <w:widowControl w:val="0"/>
        <w:rPr>
          <w:rStyle w:val="Hyperlink.0"/>
        </w:rPr>
      </w:pPr>
      <w:r>
        <w:rPr>
          <w:rStyle w:val="Hyperlink.0"/>
          <w:rtl w:val="0"/>
          <w:lang w:val="en-US"/>
        </w:rPr>
        <w:t>Allocations Committee</w:t>
      </w:r>
    </w:p>
    <w:p>
      <w:pPr>
        <w:pStyle w:val="Standard"/>
        <w:widowControl w:val="0"/>
      </w:pPr>
      <w:r>
        <w:rPr>
          <w:rStyle w:val="Hyperlink.0"/>
          <w:rtl w:val="0"/>
          <w:lang w:val="en-US"/>
        </w:rPr>
        <w:t>Habersham County United Way</w:t>
      </w:r>
    </w:p>
    <w:sectPr>
      <w:headerReference w:type="default" r:id="rId5"/>
      <w:footerReference w:type="default" r:id="rId6"/>
      <w:pgSz w:w="12240" w:h="15840" w:orient="portrait"/>
      <w:pgMar w:top="3240" w:right="1440" w:bottom="216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3"/>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Garamond" w:cs="Garamond" w:hAnsi="Garamond" w:eastAsia="Garamond"/>
      <w:sz w:val="22"/>
      <w:szCs w:val="22"/>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