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DBFF" w14:textId="77777777" w:rsidR="00F0799E" w:rsidRPr="00F0799E" w:rsidRDefault="00F0799E" w:rsidP="00F0799E">
      <w:r w:rsidRPr="00F0799E">
        <w:rPr>
          <w:b/>
          <w:bCs/>
        </w:rPr>
        <w:t>42 Risk Management – Community Engagement Policy</w:t>
      </w:r>
    </w:p>
    <w:p w14:paraId="563DAD43" w14:textId="77777777" w:rsidR="00F0799E" w:rsidRPr="00F0799E" w:rsidRDefault="00F0799E" w:rsidP="00F0799E">
      <w:r w:rsidRPr="00F0799E">
        <w:rPr>
          <w:b/>
          <w:bCs/>
        </w:rPr>
        <w:t>1. Purpose</w:t>
      </w:r>
    </w:p>
    <w:p w14:paraId="172CC533" w14:textId="77777777" w:rsidR="00F0799E" w:rsidRPr="00F0799E" w:rsidRDefault="00F0799E" w:rsidP="00F0799E">
      <w:r w:rsidRPr="00F0799E">
        <w:t>42 Risk Management is committed to raising industry standards, empowering clients, and contributing positively to the communities in which we operate. This Community Engagement Policy outlines our approach to building meaningful, responsible, and collaborative relationships with clients, partners, local communities, and the wider security industry.</w:t>
      </w:r>
    </w:p>
    <w:p w14:paraId="2B95F18C" w14:textId="77777777" w:rsidR="00F0799E" w:rsidRPr="00F0799E" w:rsidRDefault="00F0799E" w:rsidP="00F0799E">
      <w:r w:rsidRPr="00F0799E">
        <w:t xml:space="preserve">Our goal is simple: </w:t>
      </w:r>
      <w:r w:rsidRPr="00F0799E">
        <w:rPr>
          <w:b/>
          <w:bCs/>
        </w:rPr>
        <w:t>to demystify security, promote wellbeing, and foster trust through transparent, proactive engagement.</w:t>
      </w:r>
    </w:p>
    <w:p w14:paraId="32604E4B" w14:textId="77777777" w:rsidR="00F0799E" w:rsidRPr="00F0799E" w:rsidRDefault="00F0799E" w:rsidP="00F0799E">
      <w:r w:rsidRPr="00F0799E">
        <w:rPr>
          <w:b/>
          <w:bCs/>
        </w:rPr>
        <w:t>2. Guiding Principles</w:t>
      </w:r>
    </w:p>
    <w:p w14:paraId="33A86332" w14:textId="77777777" w:rsidR="00F0799E" w:rsidRPr="00F0799E" w:rsidRDefault="00F0799E" w:rsidP="00F0799E">
      <w:r w:rsidRPr="00F0799E">
        <w:rPr>
          <w:rFonts w:ascii="Segoe UI Emoji" w:hAnsi="Segoe UI Emoji" w:cs="Segoe UI Emoji"/>
          <w:b/>
          <w:bCs/>
        </w:rPr>
        <w:t>🔹</w:t>
      </w:r>
      <w:r w:rsidRPr="00F0799E">
        <w:rPr>
          <w:b/>
          <w:bCs/>
        </w:rPr>
        <w:t xml:space="preserve"> Integrity and Professionalism</w:t>
      </w:r>
    </w:p>
    <w:p w14:paraId="5DF247BC" w14:textId="77777777" w:rsidR="00F0799E" w:rsidRPr="00F0799E" w:rsidRDefault="00F0799E" w:rsidP="00F0799E">
      <w:r w:rsidRPr="00F0799E">
        <w:t>We engage with communities in a manner that reflects our values: discretion, reliability, and operational excellence. Every interaction—online or in person—must uphold the reputation of 42 Risk Management and the wider security profession.</w:t>
      </w:r>
    </w:p>
    <w:p w14:paraId="32B6D795" w14:textId="77777777" w:rsidR="00F0799E" w:rsidRPr="00F0799E" w:rsidRDefault="00F0799E" w:rsidP="00F0799E">
      <w:r w:rsidRPr="00F0799E">
        <w:rPr>
          <w:rFonts w:ascii="Segoe UI Emoji" w:hAnsi="Segoe UI Emoji" w:cs="Segoe UI Emoji"/>
          <w:b/>
          <w:bCs/>
        </w:rPr>
        <w:t>🔹</w:t>
      </w:r>
      <w:r w:rsidRPr="00F0799E">
        <w:rPr>
          <w:b/>
          <w:bCs/>
        </w:rPr>
        <w:t xml:space="preserve"> Education and Empowerment</w:t>
      </w:r>
    </w:p>
    <w:p w14:paraId="2B793244" w14:textId="77777777" w:rsidR="00F0799E" w:rsidRPr="00F0799E" w:rsidRDefault="00F0799E" w:rsidP="00F0799E">
      <w:r w:rsidRPr="00F0799E">
        <w:t>We prioritise clear, jargon</w:t>
      </w:r>
      <w:r w:rsidRPr="00F0799E">
        <w:noBreakHyphen/>
        <w:t>free communication that helps clients and community partners understand risk, safety, and wellbeing. Our engagement aims to inform, not intimidate.</w:t>
      </w:r>
    </w:p>
    <w:p w14:paraId="638A2AF3" w14:textId="77777777" w:rsidR="00F0799E" w:rsidRPr="00F0799E" w:rsidRDefault="00F0799E" w:rsidP="00F0799E">
      <w:r w:rsidRPr="00F0799E">
        <w:rPr>
          <w:rFonts w:ascii="Segoe UI Emoji" w:hAnsi="Segoe UI Emoji" w:cs="Segoe UI Emoji"/>
          <w:b/>
          <w:bCs/>
        </w:rPr>
        <w:t>🔹</w:t>
      </w:r>
      <w:r w:rsidRPr="00F0799E">
        <w:rPr>
          <w:b/>
          <w:bCs/>
        </w:rPr>
        <w:t xml:space="preserve"> Collaboration Over Control</w:t>
      </w:r>
    </w:p>
    <w:p w14:paraId="469E9AB9" w14:textId="77777777" w:rsidR="00F0799E" w:rsidRPr="00F0799E" w:rsidRDefault="00F0799E" w:rsidP="00F0799E">
      <w:r w:rsidRPr="00F0799E">
        <w:t>We believe security works best when it is layered, integrated, and collaborative. Engagement activities are designed to build partnerships, not impose solutions.</w:t>
      </w:r>
    </w:p>
    <w:p w14:paraId="4DA27B01" w14:textId="77777777" w:rsidR="00F0799E" w:rsidRPr="00F0799E" w:rsidRDefault="00F0799E" w:rsidP="00F0799E">
      <w:r w:rsidRPr="00F0799E">
        <w:rPr>
          <w:rFonts w:ascii="Segoe UI Emoji" w:hAnsi="Segoe UI Emoji" w:cs="Segoe UI Emoji"/>
          <w:b/>
          <w:bCs/>
        </w:rPr>
        <w:t>🔹</w:t>
      </w:r>
      <w:r w:rsidRPr="00F0799E">
        <w:rPr>
          <w:b/>
          <w:bCs/>
        </w:rPr>
        <w:t xml:space="preserve"> Inclusivity and Respect</w:t>
      </w:r>
    </w:p>
    <w:p w14:paraId="6D55C05C" w14:textId="77777777" w:rsidR="00F0799E" w:rsidRPr="00F0799E" w:rsidRDefault="00F0799E" w:rsidP="00F0799E">
      <w:r w:rsidRPr="00F0799E">
        <w:t>We treat all individuals and communities with respect, regardless of background, role, or environment. We actively promote psychological safety and mental wellbeing within our teams and the communities we serve.</w:t>
      </w:r>
    </w:p>
    <w:p w14:paraId="0DC171F3" w14:textId="77777777" w:rsidR="00F0799E" w:rsidRPr="00F0799E" w:rsidRDefault="00F0799E" w:rsidP="00F0799E">
      <w:r w:rsidRPr="00F0799E">
        <w:rPr>
          <w:rFonts w:ascii="Segoe UI Emoji" w:hAnsi="Segoe UI Emoji" w:cs="Segoe UI Emoji"/>
          <w:b/>
          <w:bCs/>
        </w:rPr>
        <w:t>🔹</w:t>
      </w:r>
      <w:r w:rsidRPr="00F0799E">
        <w:rPr>
          <w:b/>
          <w:bCs/>
        </w:rPr>
        <w:t xml:space="preserve"> Transparency</w:t>
      </w:r>
    </w:p>
    <w:p w14:paraId="513D39BD" w14:textId="77777777" w:rsidR="00F0799E" w:rsidRPr="00F0799E" w:rsidRDefault="00F0799E" w:rsidP="00F0799E">
      <w:r w:rsidRPr="00F0799E">
        <w:t>We communicate openly about our services, capabilities, and limitations. We avoid fear</w:t>
      </w:r>
      <w:r w:rsidRPr="00F0799E">
        <w:noBreakHyphen/>
        <w:t>based messaging and instead focus on realistic, intelligence</w:t>
      </w:r>
      <w:r w:rsidRPr="00F0799E">
        <w:noBreakHyphen/>
        <w:t>led risk management.</w:t>
      </w:r>
    </w:p>
    <w:p w14:paraId="34DCE5EC" w14:textId="77777777" w:rsidR="00F0799E" w:rsidRPr="00F0799E" w:rsidRDefault="00F0799E" w:rsidP="00F0799E">
      <w:r w:rsidRPr="00F0799E">
        <w:rPr>
          <w:b/>
          <w:bCs/>
        </w:rPr>
        <w:t>3. Scope</w:t>
      </w:r>
    </w:p>
    <w:p w14:paraId="196D558B" w14:textId="77777777" w:rsidR="00F0799E" w:rsidRPr="00F0799E" w:rsidRDefault="00F0799E" w:rsidP="00F0799E">
      <w:r w:rsidRPr="00F0799E">
        <w:t>This policy applies to:</w:t>
      </w:r>
    </w:p>
    <w:p w14:paraId="127781ED" w14:textId="77777777" w:rsidR="00F0799E" w:rsidRPr="00F0799E" w:rsidRDefault="00F0799E" w:rsidP="00F0799E">
      <w:pPr>
        <w:numPr>
          <w:ilvl w:val="0"/>
          <w:numId w:val="1"/>
        </w:numPr>
      </w:pPr>
      <w:r w:rsidRPr="00F0799E">
        <w:t>All 42 Risk Management employees, contractors, and representatives</w:t>
      </w:r>
    </w:p>
    <w:p w14:paraId="0DC01F11" w14:textId="77777777" w:rsidR="00F0799E" w:rsidRPr="00F0799E" w:rsidRDefault="00F0799E" w:rsidP="00F0799E">
      <w:pPr>
        <w:numPr>
          <w:ilvl w:val="0"/>
          <w:numId w:val="1"/>
        </w:numPr>
      </w:pPr>
      <w:r w:rsidRPr="00F0799E">
        <w:t>All public</w:t>
      </w:r>
      <w:r w:rsidRPr="00F0799E">
        <w:noBreakHyphen/>
        <w:t>facing communication, including digital platforms</w:t>
      </w:r>
    </w:p>
    <w:p w14:paraId="1E748AF9" w14:textId="77777777" w:rsidR="00F0799E" w:rsidRPr="00F0799E" w:rsidRDefault="00F0799E" w:rsidP="00F0799E">
      <w:pPr>
        <w:numPr>
          <w:ilvl w:val="0"/>
          <w:numId w:val="1"/>
        </w:numPr>
      </w:pPr>
      <w:r w:rsidRPr="00F0799E">
        <w:lastRenderedPageBreak/>
        <w:t>Engagement with clients, local communities, industry bodies, and partner organisations</w:t>
      </w:r>
    </w:p>
    <w:p w14:paraId="780423FB" w14:textId="77777777" w:rsidR="00F0799E" w:rsidRPr="00F0799E" w:rsidRDefault="00F0799E" w:rsidP="00F0799E">
      <w:pPr>
        <w:numPr>
          <w:ilvl w:val="0"/>
          <w:numId w:val="1"/>
        </w:numPr>
      </w:pPr>
      <w:r w:rsidRPr="00F0799E">
        <w:t>Educational outreach, events, and collaborative initiatives</w:t>
      </w:r>
    </w:p>
    <w:p w14:paraId="51E556DC" w14:textId="77777777" w:rsidR="00F0799E" w:rsidRPr="00F0799E" w:rsidRDefault="00F0799E" w:rsidP="00F0799E">
      <w:r w:rsidRPr="00F0799E">
        <w:rPr>
          <w:b/>
          <w:bCs/>
        </w:rPr>
        <w:t>4. Objectives</w:t>
      </w:r>
    </w:p>
    <w:p w14:paraId="6642075E" w14:textId="77777777" w:rsidR="00F0799E" w:rsidRPr="00F0799E" w:rsidRDefault="00F0799E" w:rsidP="00F0799E">
      <w:r w:rsidRPr="00F0799E">
        <w:rPr>
          <w:b/>
          <w:bCs/>
        </w:rPr>
        <w:t>1. Strengthen Community Trust</w:t>
      </w:r>
    </w:p>
    <w:p w14:paraId="0E218C00" w14:textId="77777777" w:rsidR="00F0799E" w:rsidRPr="00F0799E" w:rsidRDefault="00F0799E" w:rsidP="00F0799E">
      <w:pPr>
        <w:numPr>
          <w:ilvl w:val="0"/>
          <w:numId w:val="2"/>
        </w:numPr>
      </w:pPr>
      <w:r w:rsidRPr="00F0799E">
        <w:t>Build long</w:t>
      </w:r>
      <w:r w:rsidRPr="00F0799E">
        <w:noBreakHyphen/>
        <w:t>term, positive relationships with clients, venues, neighbourhoods, and stakeholders.</w:t>
      </w:r>
    </w:p>
    <w:p w14:paraId="3804903A" w14:textId="77777777" w:rsidR="00F0799E" w:rsidRPr="00F0799E" w:rsidRDefault="00F0799E" w:rsidP="00F0799E">
      <w:pPr>
        <w:numPr>
          <w:ilvl w:val="0"/>
          <w:numId w:val="2"/>
        </w:numPr>
      </w:pPr>
      <w:r w:rsidRPr="00F0799E">
        <w:t>Promote the role of professional security as a partner in safety and wellbeing.</w:t>
      </w:r>
    </w:p>
    <w:p w14:paraId="221DCBB3" w14:textId="77777777" w:rsidR="00F0799E" w:rsidRPr="00F0799E" w:rsidRDefault="00F0799E" w:rsidP="00F0799E">
      <w:r w:rsidRPr="00F0799E">
        <w:rPr>
          <w:b/>
          <w:bCs/>
        </w:rPr>
        <w:t>2. Promote Industry Standards</w:t>
      </w:r>
    </w:p>
    <w:p w14:paraId="6C1C6891" w14:textId="77777777" w:rsidR="00F0799E" w:rsidRPr="00F0799E" w:rsidRDefault="00F0799E" w:rsidP="00F0799E">
      <w:pPr>
        <w:numPr>
          <w:ilvl w:val="0"/>
          <w:numId w:val="3"/>
        </w:numPr>
      </w:pPr>
      <w:r w:rsidRPr="00F0799E">
        <w:t>Share best practices and contribute to raising expectations across the sector.</w:t>
      </w:r>
    </w:p>
    <w:p w14:paraId="18E47B03" w14:textId="77777777" w:rsidR="00F0799E" w:rsidRPr="00F0799E" w:rsidRDefault="00F0799E" w:rsidP="00F0799E">
      <w:pPr>
        <w:numPr>
          <w:ilvl w:val="0"/>
          <w:numId w:val="3"/>
        </w:numPr>
      </w:pPr>
      <w:r w:rsidRPr="00F0799E">
        <w:t>Support initiatives that professionalise frontline roles and improve working conditions.</w:t>
      </w:r>
    </w:p>
    <w:p w14:paraId="104FF124" w14:textId="77777777" w:rsidR="00F0799E" w:rsidRPr="00F0799E" w:rsidRDefault="00F0799E" w:rsidP="00F0799E">
      <w:r w:rsidRPr="00F0799E">
        <w:rPr>
          <w:b/>
          <w:bCs/>
        </w:rPr>
        <w:t>3. Support Wellbeing and Safety</w:t>
      </w:r>
    </w:p>
    <w:p w14:paraId="65E2BDC1" w14:textId="77777777" w:rsidR="00F0799E" w:rsidRPr="00F0799E" w:rsidRDefault="00F0799E" w:rsidP="00F0799E">
      <w:pPr>
        <w:numPr>
          <w:ilvl w:val="0"/>
          <w:numId w:val="4"/>
        </w:numPr>
      </w:pPr>
      <w:r w:rsidRPr="00F0799E">
        <w:t>Encourage open dialogue around mental health within the security community.</w:t>
      </w:r>
    </w:p>
    <w:p w14:paraId="4696807C" w14:textId="77777777" w:rsidR="00F0799E" w:rsidRPr="00F0799E" w:rsidRDefault="00F0799E" w:rsidP="00F0799E">
      <w:pPr>
        <w:numPr>
          <w:ilvl w:val="0"/>
          <w:numId w:val="4"/>
        </w:numPr>
      </w:pPr>
      <w:r w:rsidRPr="00F0799E">
        <w:t>Provide accessible resources that help clients and teams make informed decisions.</w:t>
      </w:r>
    </w:p>
    <w:p w14:paraId="16CBFA0E" w14:textId="77777777" w:rsidR="00F0799E" w:rsidRPr="00F0799E" w:rsidRDefault="00F0799E" w:rsidP="00F0799E">
      <w:r w:rsidRPr="00F0799E">
        <w:rPr>
          <w:b/>
          <w:bCs/>
        </w:rPr>
        <w:t>4. Enhance Public Understanding of Security</w:t>
      </w:r>
    </w:p>
    <w:p w14:paraId="2A4498DE" w14:textId="77777777" w:rsidR="00F0799E" w:rsidRPr="00F0799E" w:rsidRDefault="00F0799E" w:rsidP="00F0799E">
      <w:pPr>
        <w:numPr>
          <w:ilvl w:val="0"/>
          <w:numId w:val="5"/>
        </w:numPr>
      </w:pPr>
      <w:r w:rsidRPr="00F0799E">
        <w:t>Offer clear, educational content that demystifies risk management.</w:t>
      </w:r>
    </w:p>
    <w:p w14:paraId="24A955D1" w14:textId="77777777" w:rsidR="00F0799E" w:rsidRPr="00F0799E" w:rsidRDefault="00F0799E" w:rsidP="00F0799E">
      <w:pPr>
        <w:numPr>
          <w:ilvl w:val="0"/>
          <w:numId w:val="5"/>
        </w:numPr>
      </w:pPr>
      <w:r w:rsidRPr="00F0799E">
        <w:t>Counter misconceptions about security roles through proactive communication.</w:t>
      </w:r>
    </w:p>
    <w:p w14:paraId="0F4DEC40" w14:textId="77777777" w:rsidR="00F0799E" w:rsidRPr="00F0799E" w:rsidRDefault="00F0799E" w:rsidP="00F0799E">
      <w:r w:rsidRPr="00F0799E">
        <w:rPr>
          <w:b/>
          <w:bCs/>
        </w:rPr>
        <w:t>5. Engagement Activities</w:t>
      </w:r>
    </w:p>
    <w:p w14:paraId="3B6D0501" w14:textId="77777777" w:rsidR="00F0799E" w:rsidRPr="00F0799E" w:rsidRDefault="00F0799E" w:rsidP="00F0799E">
      <w:r w:rsidRPr="00F0799E">
        <w:rPr>
          <w:rFonts w:ascii="Segoe UI Emoji" w:hAnsi="Segoe UI Emoji" w:cs="Segoe UI Emoji"/>
          <w:b/>
          <w:bCs/>
        </w:rPr>
        <w:t>🔹</w:t>
      </w:r>
      <w:r w:rsidRPr="00F0799E">
        <w:rPr>
          <w:b/>
          <w:bCs/>
        </w:rPr>
        <w:t xml:space="preserve"> Educational Outreach</w:t>
      </w:r>
    </w:p>
    <w:p w14:paraId="6065C237" w14:textId="77777777" w:rsidR="00F0799E" w:rsidRPr="00F0799E" w:rsidRDefault="00F0799E" w:rsidP="00F0799E">
      <w:pPr>
        <w:numPr>
          <w:ilvl w:val="0"/>
          <w:numId w:val="6"/>
        </w:numPr>
      </w:pPr>
      <w:r w:rsidRPr="00F0799E">
        <w:t>Publishing blogs, guides, and checklists for clients and community partners.</w:t>
      </w:r>
    </w:p>
    <w:p w14:paraId="3AD8A36E" w14:textId="77777777" w:rsidR="00F0799E" w:rsidRPr="00F0799E" w:rsidRDefault="00F0799E" w:rsidP="00F0799E">
      <w:pPr>
        <w:numPr>
          <w:ilvl w:val="0"/>
          <w:numId w:val="6"/>
        </w:numPr>
      </w:pPr>
      <w:r w:rsidRPr="00F0799E">
        <w:t>Hosting workshops or briefings for venue managers, event operators, and staff.</w:t>
      </w:r>
    </w:p>
    <w:p w14:paraId="24027892" w14:textId="77777777" w:rsidR="00F0799E" w:rsidRPr="00F0799E" w:rsidRDefault="00F0799E" w:rsidP="00F0799E">
      <w:pPr>
        <w:numPr>
          <w:ilvl w:val="0"/>
          <w:numId w:val="6"/>
        </w:numPr>
      </w:pPr>
      <w:r w:rsidRPr="00F0799E">
        <w:t>Participating in industry panels, forums, and professional development events.</w:t>
      </w:r>
    </w:p>
    <w:p w14:paraId="0DD84911" w14:textId="77777777" w:rsidR="00F0799E" w:rsidRPr="00F0799E" w:rsidRDefault="00F0799E" w:rsidP="00F0799E">
      <w:r w:rsidRPr="00F0799E">
        <w:rPr>
          <w:rFonts w:ascii="Segoe UI Emoji" w:hAnsi="Segoe UI Emoji" w:cs="Segoe UI Emoji"/>
          <w:b/>
          <w:bCs/>
        </w:rPr>
        <w:t>🔹</w:t>
      </w:r>
      <w:r w:rsidRPr="00F0799E">
        <w:rPr>
          <w:b/>
          <w:bCs/>
        </w:rPr>
        <w:t xml:space="preserve"> Community Collaboration</w:t>
      </w:r>
    </w:p>
    <w:p w14:paraId="3D77C45A" w14:textId="77777777" w:rsidR="00F0799E" w:rsidRPr="00F0799E" w:rsidRDefault="00F0799E" w:rsidP="00F0799E">
      <w:pPr>
        <w:numPr>
          <w:ilvl w:val="0"/>
          <w:numId w:val="7"/>
        </w:numPr>
      </w:pPr>
      <w:r w:rsidRPr="00F0799E">
        <w:t>Working with local authorities, businesses, and community groups to improve safety.</w:t>
      </w:r>
    </w:p>
    <w:p w14:paraId="36B48CDC" w14:textId="77777777" w:rsidR="00F0799E" w:rsidRPr="00F0799E" w:rsidRDefault="00F0799E" w:rsidP="00F0799E">
      <w:pPr>
        <w:numPr>
          <w:ilvl w:val="0"/>
          <w:numId w:val="7"/>
        </w:numPr>
      </w:pPr>
      <w:r w:rsidRPr="00F0799E">
        <w:t>Supporting initiatives that promote wellbeing, resilience, and responsible operations.</w:t>
      </w:r>
    </w:p>
    <w:p w14:paraId="478C976F" w14:textId="77777777" w:rsidR="00F0799E" w:rsidRPr="00F0799E" w:rsidRDefault="00F0799E" w:rsidP="00F0799E">
      <w:r w:rsidRPr="00F0799E">
        <w:rPr>
          <w:rFonts w:ascii="Segoe UI Emoji" w:hAnsi="Segoe UI Emoji" w:cs="Segoe UI Emoji"/>
          <w:b/>
          <w:bCs/>
        </w:rPr>
        <w:t>🔹</w:t>
      </w:r>
      <w:r w:rsidRPr="00F0799E">
        <w:rPr>
          <w:b/>
          <w:bCs/>
        </w:rPr>
        <w:t xml:space="preserve"> Digital Engagement</w:t>
      </w:r>
    </w:p>
    <w:p w14:paraId="779A4A0C" w14:textId="77777777" w:rsidR="00F0799E" w:rsidRPr="00F0799E" w:rsidRDefault="00F0799E" w:rsidP="00F0799E">
      <w:pPr>
        <w:numPr>
          <w:ilvl w:val="0"/>
          <w:numId w:val="8"/>
        </w:numPr>
      </w:pPr>
      <w:r w:rsidRPr="00F0799E">
        <w:lastRenderedPageBreak/>
        <w:t>Maintaining a professional, informative presence on platforms such as LinkedIn.</w:t>
      </w:r>
    </w:p>
    <w:p w14:paraId="7517AE8F" w14:textId="77777777" w:rsidR="00F0799E" w:rsidRPr="00F0799E" w:rsidRDefault="00F0799E" w:rsidP="00F0799E">
      <w:pPr>
        <w:numPr>
          <w:ilvl w:val="0"/>
          <w:numId w:val="8"/>
        </w:numPr>
      </w:pPr>
      <w:r w:rsidRPr="00F0799E">
        <w:t>Sharing insights, updates, and resources aligned with our brand values.</w:t>
      </w:r>
    </w:p>
    <w:p w14:paraId="28909C10" w14:textId="77777777" w:rsidR="00F0799E" w:rsidRPr="00F0799E" w:rsidRDefault="00F0799E" w:rsidP="00F0799E">
      <w:pPr>
        <w:numPr>
          <w:ilvl w:val="0"/>
          <w:numId w:val="8"/>
        </w:numPr>
      </w:pPr>
      <w:r w:rsidRPr="00F0799E">
        <w:t>Responding to enquiries in a timely, respectful, and constructive manner.</w:t>
      </w:r>
    </w:p>
    <w:p w14:paraId="4EBFCBE2" w14:textId="77777777" w:rsidR="00F0799E" w:rsidRPr="00F0799E" w:rsidRDefault="00F0799E" w:rsidP="00F0799E">
      <w:r w:rsidRPr="00F0799E">
        <w:rPr>
          <w:rFonts w:ascii="Segoe UI Emoji" w:hAnsi="Segoe UI Emoji" w:cs="Segoe UI Emoji"/>
          <w:b/>
          <w:bCs/>
        </w:rPr>
        <w:t>🔹</w:t>
      </w:r>
      <w:r w:rsidRPr="00F0799E">
        <w:rPr>
          <w:b/>
          <w:bCs/>
        </w:rPr>
        <w:t xml:space="preserve"> Internal Engagement</w:t>
      </w:r>
    </w:p>
    <w:p w14:paraId="2EFD6E2D" w14:textId="77777777" w:rsidR="00F0799E" w:rsidRPr="00F0799E" w:rsidRDefault="00F0799E" w:rsidP="00F0799E">
      <w:pPr>
        <w:numPr>
          <w:ilvl w:val="0"/>
          <w:numId w:val="9"/>
        </w:numPr>
      </w:pPr>
      <w:r w:rsidRPr="00F0799E">
        <w:t>Encouraging staff to contribute ideas and feedback on community initiatives.</w:t>
      </w:r>
    </w:p>
    <w:p w14:paraId="4B787C5A" w14:textId="77777777" w:rsidR="00F0799E" w:rsidRPr="00F0799E" w:rsidRDefault="00F0799E" w:rsidP="00F0799E">
      <w:pPr>
        <w:numPr>
          <w:ilvl w:val="0"/>
          <w:numId w:val="9"/>
        </w:numPr>
      </w:pPr>
      <w:r w:rsidRPr="00F0799E">
        <w:t>Providing training that supports effective, empathetic communication.</w:t>
      </w:r>
    </w:p>
    <w:p w14:paraId="684777E3" w14:textId="77777777" w:rsidR="00F0799E" w:rsidRPr="00F0799E" w:rsidRDefault="00F0799E" w:rsidP="00F0799E">
      <w:r w:rsidRPr="00F0799E">
        <w:rPr>
          <w:b/>
          <w:bCs/>
        </w:rPr>
        <w:t>6. Conduct Expectations</w:t>
      </w:r>
    </w:p>
    <w:p w14:paraId="18CF2E96" w14:textId="77777777" w:rsidR="00F0799E" w:rsidRPr="00F0799E" w:rsidRDefault="00F0799E" w:rsidP="00F0799E">
      <w:r w:rsidRPr="00F0799E">
        <w:rPr>
          <w:b/>
          <w:bCs/>
        </w:rPr>
        <w:t>All representatives of 42 Risk Management must:</w:t>
      </w:r>
    </w:p>
    <w:p w14:paraId="5F3AF247" w14:textId="77777777" w:rsidR="00F0799E" w:rsidRPr="00F0799E" w:rsidRDefault="00F0799E" w:rsidP="00F0799E">
      <w:pPr>
        <w:numPr>
          <w:ilvl w:val="0"/>
          <w:numId w:val="10"/>
        </w:numPr>
      </w:pPr>
      <w:r w:rsidRPr="00F0799E">
        <w:t>Communicate clearly, respectfully, and without jargon.</w:t>
      </w:r>
    </w:p>
    <w:p w14:paraId="736D7A10" w14:textId="77777777" w:rsidR="00F0799E" w:rsidRPr="00F0799E" w:rsidRDefault="00F0799E" w:rsidP="00F0799E">
      <w:pPr>
        <w:numPr>
          <w:ilvl w:val="0"/>
          <w:numId w:val="10"/>
        </w:numPr>
      </w:pPr>
      <w:r w:rsidRPr="00F0799E">
        <w:t>Avoid sharing sensitive operational details or client information.</w:t>
      </w:r>
    </w:p>
    <w:p w14:paraId="49F0A3B5" w14:textId="77777777" w:rsidR="00F0799E" w:rsidRPr="00F0799E" w:rsidRDefault="00F0799E" w:rsidP="00F0799E">
      <w:pPr>
        <w:numPr>
          <w:ilvl w:val="0"/>
          <w:numId w:val="10"/>
        </w:numPr>
      </w:pPr>
      <w:proofErr w:type="gramStart"/>
      <w:r w:rsidRPr="00F0799E">
        <w:t>Uphold confidentiality and data protection standards at all times</w:t>
      </w:r>
      <w:proofErr w:type="gramEnd"/>
      <w:r w:rsidRPr="00F0799E">
        <w:t>.</w:t>
      </w:r>
    </w:p>
    <w:p w14:paraId="2FC5462C" w14:textId="77777777" w:rsidR="00F0799E" w:rsidRPr="00F0799E" w:rsidRDefault="00F0799E" w:rsidP="00F0799E">
      <w:pPr>
        <w:numPr>
          <w:ilvl w:val="0"/>
          <w:numId w:val="10"/>
        </w:numPr>
      </w:pPr>
      <w:r w:rsidRPr="00F0799E">
        <w:t>Refrain from engaging in online arguments, unprofessional commentary, or speculation.</w:t>
      </w:r>
    </w:p>
    <w:p w14:paraId="3E21E3A5" w14:textId="77777777" w:rsidR="00F0799E" w:rsidRPr="00F0799E" w:rsidRDefault="00F0799E" w:rsidP="00F0799E">
      <w:pPr>
        <w:numPr>
          <w:ilvl w:val="0"/>
          <w:numId w:val="10"/>
        </w:numPr>
      </w:pPr>
      <w:r w:rsidRPr="00F0799E">
        <w:t>Escalate concerns or reputational risks to management immediately.</w:t>
      </w:r>
    </w:p>
    <w:p w14:paraId="35270CBB" w14:textId="77777777" w:rsidR="00F0799E" w:rsidRPr="00F0799E" w:rsidRDefault="00F0799E" w:rsidP="00F0799E">
      <w:r w:rsidRPr="00F0799E">
        <w:rPr>
          <w:b/>
          <w:bCs/>
        </w:rPr>
        <w:t>7. Safeguarding and Confidentiality</w:t>
      </w:r>
    </w:p>
    <w:p w14:paraId="362028F7" w14:textId="77777777" w:rsidR="00F0799E" w:rsidRPr="00F0799E" w:rsidRDefault="00F0799E" w:rsidP="00F0799E">
      <w:r w:rsidRPr="00F0799E">
        <w:t>Community engagement must never compromise:</w:t>
      </w:r>
    </w:p>
    <w:p w14:paraId="0AD06D11" w14:textId="77777777" w:rsidR="00F0799E" w:rsidRPr="00F0799E" w:rsidRDefault="00F0799E" w:rsidP="00F0799E">
      <w:pPr>
        <w:numPr>
          <w:ilvl w:val="0"/>
          <w:numId w:val="11"/>
        </w:numPr>
      </w:pPr>
      <w:r w:rsidRPr="00F0799E">
        <w:t>Client privacy</w:t>
      </w:r>
    </w:p>
    <w:p w14:paraId="78F4D6C6" w14:textId="77777777" w:rsidR="00F0799E" w:rsidRPr="00F0799E" w:rsidRDefault="00F0799E" w:rsidP="00F0799E">
      <w:pPr>
        <w:numPr>
          <w:ilvl w:val="0"/>
          <w:numId w:val="11"/>
        </w:numPr>
      </w:pPr>
      <w:r w:rsidRPr="00F0799E">
        <w:t>Operational security</w:t>
      </w:r>
    </w:p>
    <w:p w14:paraId="63E07392" w14:textId="77777777" w:rsidR="00F0799E" w:rsidRPr="00F0799E" w:rsidRDefault="00F0799E" w:rsidP="00F0799E">
      <w:pPr>
        <w:numPr>
          <w:ilvl w:val="0"/>
          <w:numId w:val="11"/>
        </w:numPr>
      </w:pPr>
      <w:r w:rsidRPr="00F0799E">
        <w:t>Staff safety</w:t>
      </w:r>
    </w:p>
    <w:p w14:paraId="34BE9BCE" w14:textId="77777777" w:rsidR="00F0799E" w:rsidRPr="00F0799E" w:rsidRDefault="00F0799E" w:rsidP="00F0799E">
      <w:pPr>
        <w:numPr>
          <w:ilvl w:val="0"/>
          <w:numId w:val="11"/>
        </w:numPr>
      </w:pPr>
      <w:r w:rsidRPr="00F0799E">
        <w:t>Sensitive intelligence or risk assessments</w:t>
      </w:r>
    </w:p>
    <w:p w14:paraId="0F6BF9AB" w14:textId="77777777" w:rsidR="00F0799E" w:rsidRPr="00F0799E" w:rsidRDefault="00F0799E" w:rsidP="00F0799E">
      <w:r w:rsidRPr="00F0799E">
        <w:t>All engagement activities must comply with relevant legislation, including data protection and safeguarding requirements.</w:t>
      </w:r>
    </w:p>
    <w:p w14:paraId="3C55C1B4" w14:textId="77777777" w:rsidR="00F0799E" w:rsidRPr="00F0799E" w:rsidRDefault="00F0799E" w:rsidP="00F0799E">
      <w:r w:rsidRPr="00F0799E">
        <w:rPr>
          <w:b/>
          <w:bCs/>
        </w:rPr>
        <w:t>8. Monitoring and Review</w:t>
      </w:r>
    </w:p>
    <w:p w14:paraId="40F4F327" w14:textId="77777777" w:rsidR="00F0799E" w:rsidRPr="00F0799E" w:rsidRDefault="00F0799E" w:rsidP="00F0799E">
      <w:r w:rsidRPr="00F0799E">
        <w:t>This policy will be reviewed annually or following significant organisational, legal, or industry changes. Feedback from clients, staff, and community partners will inform continuous improvement.</w:t>
      </w:r>
    </w:p>
    <w:p w14:paraId="1020F411" w14:textId="77777777" w:rsidR="00F0799E" w:rsidRPr="00F0799E" w:rsidRDefault="00F0799E" w:rsidP="00F0799E">
      <w:r w:rsidRPr="00F0799E">
        <w:rPr>
          <w:b/>
          <w:bCs/>
        </w:rPr>
        <w:t>9. Accountability</w:t>
      </w:r>
    </w:p>
    <w:p w14:paraId="5B3FDBEF" w14:textId="77777777" w:rsidR="00F0799E" w:rsidRPr="00F0799E" w:rsidRDefault="00F0799E" w:rsidP="00F0799E">
      <w:r w:rsidRPr="00F0799E">
        <w:t>The Managing Director oversees the implementation of this policy. All team members share responsibility for upholding its principles and contributing to a positive, professional community presence.</w:t>
      </w:r>
    </w:p>
    <w:p w14:paraId="138B5F93" w14:textId="77777777" w:rsidR="00F0799E" w:rsidRDefault="00F0799E"/>
    <w:sectPr w:rsidR="00F07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0E85"/>
    <w:multiLevelType w:val="multilevel"/>
    <w:tmpl w:val="687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B0986"/>
    <w:multiLevelType w:val="multilevel"/>
    <w:tmpl w:val="F31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7537D"/>
    <w:multiLevelType w:val="multilevel"/>
    <w:tmpl w:val="60B0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66F46"/>
    <w:multiLevelType w:val="multilevel"/>
    <w:tmpl w:val="57D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F2010"/>
    <w:multiLevelType w:val="multilevel"/>
    <w:tmpl w:val="A13E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21BCA"/>
    <w:multiLevelType w:val="multilevel"/>
    <w:tmpl w:val="931A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D7CEE"/>
    <w:multiLevelType w:val="multilevel"/>
    <w:tmpl w:val="195A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D6F69"/>
    <w:multiLevelType w:val="multilevel"/>
    <w:tmpl w:val="C4B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15B87"/>
    <w:multiLevelType w:val="multilevel"/>
    <w:tmpl w:val="2CE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730CA"/>
    <w:multiLevelType w:val="multilevel"/>
    <w:tmpl w:val="C6C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6265B"/>
    <w:multiLevelType w:val="multilevel"/>
    <w:tmpl w:val="72B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246225">
    <w:abstractNumId w:val="5"/>
  </w:num>
  <w:num w:numId="2" w16cid:durableId="707876520">
    <w:abstractNumId w:val="3"/>
  </w:num>
  <w:num w:numId="3" w16cid:durableId="333532375">
    <w:abstractNumId w:val="4"/>
  </w:num>
  <w:num w:numId="4" w16cid:durableId="53435894">
    <w:abstractNumId w:val="0"/>
  </w:num>
  <w:num w:numId="5" w16cid:durableId="2132624857">
    <w:abstractNumId w:val="9"/>
  </w:num>
  <w:num w:numId="6" w16cid:durableId="1929457562">
    <w:abstractNumId w:val="8"/>
  </w:num>
  <w:num w:numId="7" w16cid:durableId="1540822511">
    <w:abstractNumId w:val="7"/>
  </w:num>
  <w:num w:numId="8" w16cid:durableId="746341148">
    <w:abstractNumId w:val="2"/>
  </w:num>
  <w:num w:numId="9" w16cid:durableId="1916236564">
    <w:abstractNumId w:val="6"/>
  </w:num>
  <w:num w:numId="10" w16cid:durableId="27723121">
    <w:abstractNumId w:val="1"/>
  </w:num>
  <w:num w:numId="11" w16cid:durableId="2013871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9E"/>
    <w:rsid w:val="00C170EA"/>
    <w:rsid w:val="00F0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2F43"/>
  <w15:chartTrackingRefBased/>
  <w15:docId w15:val="{528B591C-10FF-43EB-B593-8ED4F1D3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99E"/>
    <w:rPr>
      <w:rFonts w:eastAsiaTheme="majorEastAsia" w:cstheme="majorBidi"/>
      <w:color w:val="272727" w:themeColor="text1" w:themeTint="D8"/>
    </w:rPr>
  </w:style>
  <w:style w:type="paragraph" w:styleId="Title">
    <w:name w:val="Title"/>
    <w:basedOn w:val="Normal"/>
    <w:next w:val="Normal"/>
    <w:link w:val="TitleChar"/>
    <w:uiPriority w:val="10"/>
    <w:qFormat/>
    <w:rsid w:val="00F0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99E"/>
    <w:pPr>
      <w:spacing w:before="160"/>
      <w:jc w:val="center"/>
    </w:pPr>
    <w:rPr>
      <w:i/>
      <w:iCs/>
      <w:color w:val="404040" w:themeColor="text1" w:themeTint="BF"/>
    </w:rPr>
  </w:style>
  <w:style w:type="character" w:customStyle="1" w:styleId="QuoteChar">
    <w:name w:val="Quote Char"/>
    <w:basedOn w:val="DefaultParagraphFont"/>
    <w:link w:val="Quote"/>
    <w:uiPriority w:val="29"/>
    <w:rsid w:val="00F0799E"/>
    <w:rPr>
      <w:i/>
      <w:iCs/>
      <w:color w:val="404040" w:themeColor="text1" w:themeTint="BF"/>
    </w:rPr>
  </w:style>
  <w:style w:type="paragraph" w:styleId="ListParagraph">
    <w:name w:val="List Paragraph"/>
    <w:basedOn w:val="Normal"/>
    <w:uiPriority w:val="34"/>
    <w:qFormat/>
    <w:rsid w:val="00F0799E"/>
    <w:pPr>
      <w:ind w:left="720"/>
      <w:contextualSpacing/>
    </w:pPr>
  </w:style>
  <w:style w:type="character" w:styleId="IntenseEmphasis">
    <w:name w:val="Intense Emphasis"/>
    <w:basedOn w:val="DefaultParagraphFont"/>
    <w:uiPriority w:val="21"/>
    <w:qFormat/>
    <w:rsid w:val="00F0799E"/>
    <w:rPr>
      <w:i/>
      <w:iCs/>
      <w:color w:val="0F4761" w:themeColor="accent1" w:themeShade="BF"/>
    </w:rPr>
  </w:style>
  <w:style w:type="paragraph" w:styleId="IntenseQuote">
    <w:name w:val="Intense Quote"/>
    <w:basedOn w:val="Normal"/>
    <w:next w:val="Normal"/>
    <w:link w:val="IntenseQuoteChar"/>
    <w:uiPriority w:val="30"/>
    <w:qFormat/>
    <w:rsid w:val="00F07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99E"/>
    <w:rPr>
      <w:i/>
      <w:iCs/>
      <w:color w:val="0F4761" w:themeColor="accent1" w:themeShade="BF"/>
    </w:rPr>
  </w:style>
  <w:style w:type="character" w:styleId="IntenseReference">
    <w:name w:val="Intense Reference"/>
    <w:basedOn w:val="DefaultParagraphFont"/>
    <w:uiPriority w:val="32"/>
    <w:qFormat/>
    <w:rsid w:val="00F07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4147</Characters>
  <Application>Microsoft Office Word</Application>
  <DocSecurity>0</DocSecurity>
  <Lines>121</Lines>
  <Paragraphs>119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2026-04-15T17:10:00Z</dcterms:created>
  <dcterms:modified xsi:type="dcterms:W3CDTF">2026-04-15T17:11:00Z</dcterms:modified>
</cp:coreProperties>
</file>