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863C6" w14:textId="171861E5" w:rsidR="00C36006" w:rsidRDefault="00AD48E0" w:rsidP="00227F40">
      <w:pPr>
        <w:jc w:val="center"/>
        <w:rPr>
          <w:b/>
          <w:bCs/>
          <w:sz w:val="32"/>
          <w:szCs w:val="32"/>
        </w:rPr>
      </w:pPr>
      <w:r w:rsidRPr="00890D85">
        <w:rPr>
          <w:b/>
          <w:bCs/>
          <w:sz w:val="32"/>
          <w:szCs w:val="32"/>
        </w:rPr>
        <w:t>North Korea’s China Trade Suffers Coronavirus Shock</w:t>
      </w:r>
    </w:p>
    <w:p w14:paraId="1D705B25" w14:textId="08C9C30E" w:rsidR="00890D85" w:rsidRPr="00F733E6" w:rsidRDefault="00F733E6" w:rsidP="00227F40">
      <w:pPr>
        <w:jc w:val="center"/>
        <w:rPr>
          <w:sz w:val="24"/>
          <w:szCs w:val="24"/>
        </w:rPr>
      </w:pPr>
      <w:r w:rsidRPr="00F733E6">
        <w:rPr>
          <w:sz w:val="24"/>
          <w:szCs w:val="24"/>
        </w:rPr>
        <w:t>April 7, 2020</w:t>
      </w:r>
    </w:p>
    <w:p w14:paraId="43788963" w14:textId="22790097" w:rsidR="00423A0E" w:rsidRDefault="00890D85" w:rsidP="00890D85">
      <w:pPr>
        <w:jc w:val="center"/>
        <w:rPr>
          <w:sz w:val="24"/>
          <w:szCs w:val="24"/>
        </w:rPr>
      </w:pPr>
      <w:r>
        <w:rPr>
          <w:sz w:val="24"/>
          <w:szCs w:val="24"/>
        </w:rPr>
        <w:t>Bill Brown, NAEIA.com</w:t>
      </w:r>
    </w:p>
    <w:p w14:paraId="39E54E9C" w14:textId="77777777" w:rsidR="00202F82" w:rsidRDefault="00926AE1" w:rsidP="004013D0">
      <w:pPr>
        <w:rPr>
          <w:sz w:val="24"/>
          <w:szCs w:val="24"/>
        </w:rPr>
      </w:pPr>
      <w:r>
        <w:rPr>
          <w:noProof/>
        </w:rPr>
        <w:drawing>
          <wp:anchor distT="0" distB="0" distL="114300" distR="114300" simplePos="0" relativeHeight="251659264" behindDoc="0" locked="0" layoutInCell="1" allowOverlap="1" wp14:anchorId="380FCF0F" wp14:editId="1DA871F6">
            <wp:simplePos x="0" y="0"/>
            <wp:positionH relativeFrom="margin">
              <wp:align>center</wp:align>
            </wp:positionH>
            <wp:positionV relativeFrom="page">
              <wp:posOffset>6047054</wp:posOffset>
            </wp:positionV>
            <wp:extent cx="3200400" cy="2368296"/>
            <wp:effectExtent l="0" t="0" r="0" b="13335"/>
            <wp:wrapTopAndBottom/>
            <wp:docPr id="3" name="Chart 3">
              <a:extLst xmlns:a="http://schemas.openxmlformats.org/drawingml/2006/main">
                <a:ext uri="{FF2B5EF4-FFF2-40B4-BE49-F238E27FC236}">
                  <a16:creationId xmlns:a16="http://schemas.microsoft.com/office/drawing/2014/main" id="{12C6C6EE-679F-4EF0-B52C-4B481E840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9D26A36" wp14:editId="66ECC2E4">
            <wp:simplePos x="0" y="0"/>
            <wp:positionH relativeFrom="margin">
              <wp:posOffset>1349402</wp:posOffset>
            </wp:positionH>
            <wp:positionV relativeFrom="paragraph">
              <wp:posOffset>944023</wp:posOffset>
            </wp:positionV>
            <wp:extent cx="3182112" cy="2368296"/>
            <wp:effectExtent l="0" t="0" r="18415" b="13335"/>
            <wp:wrapTopAndBottom/>
            <wp:docPr id="1" name="Chart 1">
              <a:extLst xmlns:a="http://schemas.openxmlformats.org/drawingml/2006/main">
                <a:ext uri="{FF2B5EF4-FFF2-40B4-BE49-F238E27FC236}">
                  <a16:creationId xmlns:a16="http://schemas.microsoft.com/office/drawing/2014/main" id="{7F20EDDA-A1BC-4EF8-AAA3-CC15F7F16145}"/>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227F40">
        <w:rPr>
          <w:sz w:val="24"/>
          <w:szCs w:val="24"/>
        </w:rPr>
        <w:t>To no one’s surprise</w:t>
      </w:r>
      <w:r w:rsidR="004F6977">
        <w:rPr>
          <w:sz w:val="24"/>
          <w:szCs w:val="24"/>
        </w:rPr>
        <w:t>,</w:t>
      </w:r>
      <w:r w:rsidR="00227F40">
        <w:rPr>
          <w:sz w:val="24"/>
          <w:szCs w:val="24"/>
        </w:rPr>
        <w:t xml:space="preserve"> North Korea’s trade with China fell sharply in the first two months of the year according to just released data from Chinese Customs</w:t>
      </w:r>
      <w:r w:rsidR="004F6977">
        <w:rPr>
          <w:sz w:val="24"/>
          <w:szCs w:val="24"/>
        </w:rPr>
        <w:t>, down from levels already severely diminished by the UN Security Council sanctions</w:t>
      </w:r>
      <w:r w:rsidR="00227F40">
        <w:rPr>
          <w:sz w:val="24"/>
          <w:szCs w:val="24"/>
        </w:rPr>
        <w:t>.</w:t>
      </w:r>
      <w:r w:rsidR="004F6977">
        <w:rPr>
          <w:sz w:val="24"/>
          <w:szCs w:val="24"/>
        </w:rPr>
        <w:t xml:space="preserve"> China’s exports, that is North Korea’s imports, fell </w:t>
      </w:r>
      <w:r w:rsidR="00202F82">
        <w:rPr>
          <w:sz w:val="24"/>
          <w:szCs w:val="24"/>
        </w:rPr>
        <w:t>24</w:t>
      </w:r>
      <w:r w:rsidR="004F6977">
        <w:rPr>
          <w:sz w:val="24"/>
          <w:szCs w:val="24"/>
        </w:rPr>
        <w:t xml:space="preserve"> percent in </w:t>
      </w:r>
      <w:r w:rsidR="00202F82">
        <w:rPr>
          <w:sz w:val="24"/>
          <w:szCs w:val="24"/>
        </w:rPr>
        <w:t xml:space="preserve">the two-month </w:t>
      </w:r>
      <w:r w:rsidR="004F6977">
        <w:rPr>
          <w:sz w:val="24"/>
          <w:szCs w:val="24"/>
        </w:rPr>
        <w:t xml:space="preserve">January and February </w:t>
      </w:r>
      <w:r w:rsidR="00202F82">
        <w:rPr>
          <w:sz w:val="24"/>
          <w:szCs w:val="24"/>
        </w:rPr>
        <w:t xml:space="preserve">period </w:t>
      </w:r>
      <w:r w:rsidR="004F6977">
        <w:rPr>
          <w:sz w:val="24"/>
          <w:szCs w:val="24"/>
        </w:rPr>
        <w:t xml:space="preserve">from year-earlier levels </w:t>
      </w:r>
      <w:r w:rsidR="00202F82">
        <w:rPr>
          <w:sz w:val="24"/>
          <w:szCs w:val="24"/>
        </w:rPr>
        <w:t xml:space="preserve">to $198 </w:t>
      </w:r>
    </w:p>
    <w:p w14:paraId="4ADBD3DF" w14:textId="77777777" w:rsidR="00202F82" w:rsidRDefault="00202F82" w:rsidP="004013D0">
      <w:pPr>
        <w:rPr>
          <w:sz w:val="24"/>
          <w:szCs w:val="24"/>
        </w:rPr>
      </w:pPr>
    </w:p>
    <w:p w14:paraId="53361D7F" w14:textId="3854F3F7" w:rsidR="004013D0" w:rsidRPr="00436498" w:rsidRDefault="00202F82" w:rsidP="004013D0">
      <w:pPr>
        <w:rPr>
          <w:sz w:val="24"/>
          <w:szCs w:val="24"/>
        </w:rPr>
      </w:pPr>
      <w:r>
        <w:rPr>
          <w:sz w:val="24"/>
          <w:szCs w:val="24"/>
        </w:rPr>
        <w:t xml:space="preserve">million </w:t>
      </w:r>
      <w:r w:rsidR="004F6977">
        <w:rPr>
          <w:sz w:val="24"/>
          <w:szCs w:val="24"/>
        </w:rPr>
        <w:t xml:space="preserve">and China’s imports fell </w:t>
      </w:r>
      <w:r>
        <w:rPr>
          <w:sz w:val="24"/>
          <w:szCs w:val="24"/>
        </w:rPr>
        <w:t>74 percent</w:t>
      </w:r>
      <w:r w:rsidR="004F6977">
        <w:rPr>
          <w:sz w:val="24"/>
          <w:szCs w:val="24"/>
        </w:rPr>
        <w:t xml:space="preserve"> to only </w:t>
      </w:r>
      <w:r>
        <w:rPr>
          <w:sz w:val="24"/>
          <w:szCs w:val="24"/>
        </w:rPr>
        <w:t xml:space="preserve">$10 </w:t>
      </w:r>
      <w:r w:rsidR="004F6977">
        <w:rPr>
          <w:sz w:val="24"/>
          <w:szCs w:val="24"/>
        </w:rPr>
        <w:t xml:space="preserve">million in the same period.  </w:t>
      </w:r>
      <w:r w:rsidR="00227F40">
        <w:rPr>
          <w:sz w:val="24"/>
          <w:szCs w:val="24"/>
        </w:rPr>
        <w:t xml:space="preserve"> </w:t>
      </w:r>
      <w:r w:rsidR="004F6977">
        <w:rPr>
          <w:sz w:val="24"/>
          <w:szCs w:val="24"/>
        </w:rPr>
        <w:t xml:space="preserve">China’s trade surplus </w:t>
      </w:r>
      <w:r>
        <w:rPr>
          <w:sz w:val="24"/>
          <w:szCs w:val="24"/>
        </w:rPr>
        <w:t xml:space="preserve">thus </w:t>
      </w:r>
      <w:r w:rsidR="004F6977">
        <w:rPr>
          <w:sz w:val="24"/>
          <w:szCs w:val="24"/>
        </w:rPr>
        <w:t>fell to $</w:t>
      </w:r>
      <w:r>
        <w:rPr>
          <w:sz w:val="24"/>
          <w:szCs w:val="24"/>
        </w:rPr>
        <w:t>198</w:t>
      </w:r>
      <w:r w:rsidR="004F6977">
        <w:rPr>
          <w:sz w:val="24"/>
          <w:szCs w:val="24"/>
        </w:rPr>
        <w:t xml:space="preserve"> million</w:t>
      </w:r>
      <w:r>
        <w:rPr>
          <w:sz w:val="24"/>
          <w:szCs w:val="24"/>
        </w:rPr>
        <w:t xml:space="preserve"> from $219 million</w:t>
      </w:r>
      <w:r w:rsidR="004F6977">
        <w:rPr>
          <w:sz w:val="24"/>
          <w:szCs w:val="24"/>
        </w:rPr>
        <w:t>.</w:t>
      </w:r>
      <w:r w:rsidR="00E77CFD">
        <w:rPr>
          <w:rStyle w:val="EndnoteReference"/>
          <w:sz w:val="24"/>
          <w:szCs w:val="24"/>
        </w:rPr>
        <w:endnoteReference w:id="1"/>
      </w:r>
      <w:r w:rsidR="004C73F4">
        <w:rPr>
          <w:sz w:val="24"/>
          <w:szCs w:val="24"/>
        </w:rPr>
        <w:t xml:space="preserve"> </w:t>
      </w:r>
      <w:r>
        <w:rPr>
          <w:sz w:val="24"/>
          <w:szCs w:val="24"/>
        </w:rPr>
        <w:t xml:space="preserve"> The trade was in rough balance in 2016 prior to the sectorial UN Sanctions. </w:t>
      </w:r>
      <w:r w:rsidR="004C73F4">
        <w:rPr>
          <w:sz w:val="24"/>
          <w:szCs w:val="24"/>
        </w:rPr>
        <w:t xml:space="preserve"> </w:t>
      </w:r>
      <w:r w:rsidR="000213B5">
        <w:rPr>
          <w:sz w:val="24"/>
          <w:szCs w:val="24"/>
        </w:rPr>
        <w:t xml:space="preserve">The declines were </w:t>
      </w:r>
      <w:r w:rsidR="00511B3C">
        <w:rPr>
          <w:sz w:val="24"/>
          <w:szCs w:val="24"/>
        </w:rPr>
        <w:t xml:space="preserve">even </w:t>
      </w:r>
      <w:r w:rsidR="000213B5">
        <w:rPr>
          <w:sz w:val="24"/>
          <w:szCs w:val="24"/>
        </w:rPr>
        <w:t xml:space="preserve">larger in percentage terms than </w:t>
      </w:r>
      <w:r>
        <w:rPr>
          <w:sz w:val="24"/>
          <w:szCs w:val="24"/>
        </w:rPr>
        <w:t>China</w:t>
      </w:r>
      <w:r w:rsidR="00511B3C">
        <w:rPr>
          <w:sz w:val="24"/>
          <w:szCs w:val="24"/>
        </w:rPr>
        <w:t>’s sharp drop in</w:t>
      </w:r>
      <w:r w:rsidR="000213B5">
        <w:rPr>
          <w:sz w:val="24"/>
          <w:szCs w:val="24"/>
        </w:rPr>
        <w:t xml:space="preserve"> trade with the rest of the world </w:t>
      </w:r>
      <w:r w:rsidR="00511B3C">
        <w:rPr>
          <w:sz w:val="24"/>
          <w:szCs w:val="24"/>
        </w:rPr>
        <w:t xml:space="preserve">reducing </w:t>
      </w:r>
      <w:r w:rsidR="000213B5">
        <w:rPr>
          <w:sz w:val="24"/>
          <w:szCs w:val="24"/>
        </w:rPr>
        <w:t>North Korea</w:t>
      </w:r>
      <w:r w:rsidR="008413F2">
        <w:rPr>
          <w:sz w:val="24"/>
          <w:szCs w:val="24"/>
        </w:rPr>
        <w:t>’s</w:t>
      </w:r>
      <w:r w:rsidR="000213B5">
        <w:rPr>
          <w:sz w:val="24"/>
          <w:szCs w:val="24"/>
        </w:rPr>
        <w:t xml:space="preserve"> </w:t>
      </w:r>
      <w:r w:rsidR="00511B3C">
        <w:rPr>
          <w:sz w:val="24"/>
          <w:szCs w:val="24"/>
        </w:rPr>
        <w:t xml:space="preserve">ranking </w:t>
      </w:r>
      <w:r w:rsidR="008413F2">
        <w:rPr>
          <w:sz w:val="24"/>
          <w:szCs w:val="24"/>
        </w:rPr>
        <w:t xml:space="preserve">among Chinese trade partners </w:t>
      </w:r>
      <w:r w:rsidR="00511B3C">
        <w:rPr>
          <w:sz w:val="24"/>
          <w:szCs w:val="24"/>
        </w:rPr>
        <w:t xml:space="preserve">to that of </w:t>
      </w:r>
      <w:r w:rsidR="000213B5">
        <w:rPr>
          <w:sz w:val="24"/>
          <w:szCs w:val="24"/>
        </w:rPr>
        <w:t xml:space="preserve">Malta, a tiny island country half the world away, at </w:t>
      </w:r>
      <w:r w:rsidR="000213B5">
        <w:rPr>
          <w:sz w:val="24"/>
          <w:szCs w:val="24"/>
        </w:rPr>
        <w:lastRenderedPageBreak/>
        <w:t xml:space="preserve">least according to </w:t>
      </w:r>
      <w:r w:rsidR="00511B3C">
        <w:rPr>
          <w:sz w:val="24"/>
          <w:szCs w:val="24"/>
        </w:rPr>
        <w:t xml:space="preserve">this </w:t>
      </w:r>
      <w:r w:rsidR="000213B5">
        <w:rPr>
          <w:sz w:val="24"/>
          <w:szCs w:val="24"/>
        </w:rPr>
        <w:t xml:space="preserve">official data.  </w:t>
      </w:r>
      <w:r w:rsidR="004C73F4">
        <w:rPr>
          <w:sz w:val="24"/>
          <w:szCs w:val="24"/>
        </w:rPr>
        <w:t>The data</w:t>
      </w:r>
      <w:r w:rsidR="00511B3C">
        <w:rPr>
          <w:sz w:val="24"/>
          <w:szCs w:val="24"/>
        </w:rPr>
        <w:t>, however,</w:t>
      </w:r>
      <w:r w:rsidR="004C73F4">
        <w:rPr>
          <w:sz w:val="24"/>
          <w:szCs w:val="24"/>
        </w:rPr>
        <w:t xml:space="preserve"> does not include Chinese pipeline deliveries of crude oil which are assessed to be about 50,000 tons a month, worth </w:t>
      </w:r>
      <w:r w:rsidR="00511B3C">
        <w:rPr>
          <w:sz w:val="24"/>
          <w:szCs w:val="24"/>
        </w:rPr>
        <w:t>$10-20 million</w:t>
      </w:r>
      <w:r w:rsidR="004C73F4">
        <w:rPr>
          <w:sz w:val="24"/>
          <w:szCs w:val="24"/>
        </w:rPr>
        <w:t xml:space="preserve"> at current prices. </w:t>
      </w:r>
      <w:r w:rsidR="004F6977">
        <w:rPr>
          <w:sz w:val="24"/>
          <w:szCs w:val="24"/>
        </w:rPr>
        <w:t xml:space="preserve"> </w:t>
      </w:r>
      <w:r w:rsidR="004C73F4">
        <w:rPr>
          <w:sz w:val="24"/>
          <w:szCs w:val="24"/>
        </w:rPr>
        <w:t>North Korea prides itself on its economic self-reliance but this level of external trade is hardly sustainable since vital</w:t>
      </w:r>
      <w:r w:rsidR="00436498">
        <w:rPr>
          <w:sz w:val="24"/>
          <w:szCs w:val="24"/>
        </w:rPr>
        <w:t xml:space="preserve"> consumer</w:t>
      </w:r>
      <w:r w:rsidR="004C73F4">
        <w:rPr>
          <w:sz w:val="24"/>
          <w:szCs w:val="24"/>
        </w:rPr>
        <w:t xml:space="preserve"> imports are now being affected</w:t>
      </w:r>
      <w:r w:rsidR="00436498">
        <w:rPr>
          <w:sz w:val="24"/>
          <w:szCs w:val="24"/>
        </w:rPr>
        <w:t>, not just longer-term investment goods</w:t>
      </w:r>
      <w:r w:rsidR="004C73F4">
        <w:rPr>
          <w:sz w:val="24"/>
          <w:szCs w:val="24"/>
        </w:rPr>
        <w:t>.</w:t>
      </w:r>
      <w:r w:rsidR="00F4444E">
        <w:rPr>
          <w:sz w:val="24"/>
          <w:szCs w:val="24"/>
        </w:rPr>
        <w:t xml:space="preserve"> </w:t>
      </w:r>
      <w:r w:rsidR="004C73F4">
        <w:rPr>
          <w:sz w:val="24"/>
          <w:szCs w:val="24"/>
        </w:rPr>
        <w:t xml:space="preserve"> </w:t>
      </w:r>
      <w:r w:rsidR="004013D0">
        <w:rPr>
          <w:sz w:val="24"/>
          <w:szCs w:val="24"/>
        </w:rPr>
        <w:t xml:space="preserve">One mitigating factor is North Korea’s trade is seasonally at its low point </w:t>
      </w:r>
      <w:r w:rsidR="00511B3C">
        <w:rPr>
          <w:sz w:val="24"/>
          <w:szCs w:val="24"/>
        </w:rPr>
        <w:t xml:space="preserve">in the first two months of the year, </w:t>
      </w:r>
      <w:r w:rsidR="004013D0">
        <w:rPr>
          <w:sz w:val="24"/>
          <w:szCs w:val="24"/>
        </w:rPr>
        <w:t xml:space="preserve">given holidays in China and cold </w:t>
      </w:r>
      <w:r w:rsidR="004013D0">
        <w:rPr>
          <w:sz w:val="24"/>
          <w:szCs w:val="24"/>
        </w:rPr>
        <w:t xml:space="preserve">freezing </w:t>
      </w:r>
      <w:r w:rsidR="004013D0">
        <w:rPr>
          <w:sz w:val="24"/>
          <w:szCs w:val="24"/>
        </w:rPr>
        <w:t>weather</w:t>
      </w:r>
      <w:r w:rsidR="004013D0">
        <w:rPr>
          <w:sz w:val="24"/>
          <w:szCs w:val="24"/>
        </w:rPr>
        <w:t xml:space="preserve"> along the border</w:t>
      </w:r>
      <w:r w:rsidR="004013D0">
        <w:rPr>
          <w:sz w:val="24"/>
          <w:szCs w:val="24"/>
        </w:rPr>
        <w:t xml:space="preserve">. Should the disruption extend into </w:t>
      </w:r>
      <w:r w:rsidR="001721CA">
        <w:rPr>
          <w:noProof/>
        </w:rPr>
        <w:drawing>
          <wp:anchor distT="0" distB="0" distL="114300" distR="114300" simplePos="0" relativeHeight="251660288" behindDoc="0" locked="0" layoutInCell="1" allowOverlap="1" wp14:anchorId="46288837" wp14:editId="3B7E84BE">
            <wp:simplePos x="0" y="0"/>
            <wp:positionH relativeFrom="margin">
              <wp:align>left</wp:align>
            </wp:positionH>
            <wp:positionV relativeFrom="paragraph">
              <wp:posOffset>680285</wp:posOffset>
            </wp:positionV>
            <wp:extent cx="5518785" cy="5346065"/>
            <wp:effectExtent l="0" t="0" r="5715" b="6985"/>
            <wp:wrapTopAndBottom/>
            <wp:docPr id="4" name="Chart 4">
              <a:extLst xmlns:a="http://schemas.openxmlformats.org/drawingml/2006/main">
                <a:ext uri="{FF2B5EF4-FFF2-40B4-BE49-F238E27FC236}">
                  <a16:creationId xmlns:a16="http://schemas.microsoft.com/office/drawing/2014/main" id="{56295AB1-1B8B-4515-ADC0-884953E22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4013D0">
        <w:rPr>
          <w:sz w:val="24"/>
          <w:szCs w:val="24"/>
        </w:rPr>
        <w:t xml:space="preserve">the spring far more </w:t>
      </w:r>
      <w:r w:rsidR="004013D0">
        <w:rPr>
          <w:sz w:val="24"/>
          <w:szCs w:val="24"/>
        </w:rPr>
        <w:t xml:space="preserve">economic </w:t>
      </w:r>
      <w:r w:rsidR="004013D0">
        <w:rPr>
          <w:sz w:val="24"/>
          <w:szCs w:val="24"/>
        </w:rPr>
        <w:t>damage will occur.</w:t>
      </w:r>
    </w:p>
    <w:p w14:paraId="0F70A365" w14:textId="649AD18A" w:rsidR="004013D0" w:rsidRPr="000213B5" w:rsidRDefault="004013D0" w:rsidP="004013D0">
      <w:pPr>
        <w:rPr>
          <w:sz w:val="24"/>
          <w:szCs w:val="24"/>
        </w:rPr>
      </w:pPr>
      <w:r>
        <w:rPr>
          <w:sz w:val="24"/>
          <w:szCs w:val="24"/>
        </w:rPr>
        <w:t>Pyongyang</w:t>
      </w:r>
      <w:r>
        <w:rPr>
          <w:sz w:val="24"/>
          <w:szCs w:val="24"/>
        </w:rPr>
        <w:t xml:space="preserve"> </w:t>
      </w:r>
      <w:r w:rsidRPr="000213B5">
        <w:rPr>
          <w:sz w:val="24"/>
          <w:szCs w:val="24"/>
        </w:rPr>
        <w:t xml:space="preserve">announced </w:t>
      </w:r>
      <w:r w:rsidR="000612F3">
        <w:rPr>
          <w:sz w:val="24"/>
          <w:szCs w:val="24"/>
        </w:rPr>
        <w:t>January 21</w:t>
      </w:r>
      <w:r w:rsidR="000612F3" w:rsidRPr="000612F3">
        <w:rPr>
          <w:sz w:val="24"/>
          <w:szCs w:val="24"/>
          <w:vertAlign w:val="superscript"/>
        </w:rPr>
        <w:t>st</w:t>
      </w:r>
      <w:r w:rsidR="000612F3">
        <w:rPr>
          <w:sz w:val="24"/>
          <w:szCs w:val="24"/>
        </w:rPr>
        <w:t xml:space="preserve"> </w:t>
      </w:r>
      <w:r w:rsidRPr="000213B5">
        <w:rPr>
          <w:sz w:val="24"/>
          <w:szCs w:val="24"/>
        </w:rPr>
        <w:t xml:space="preserve">that it was closing its land and sea borders and the closure remained through March although there are signs that it may be lifted soon. China also has closed travel creating an effective “double sided fence” along the Yalu and Tumen rivers and ship traffic </w:t>
      </w:r>
      <w:r>
        <w:rPr>
          <w:sz w:val="24"/>
          <w:szCs w:val="24"/>
        </w:rPr>
        <w:t xml:space="preserve">observed by commercial satellite imagery </w:t>
      </w:r>
      <w:r w:rsidRPr="000213B5">
        <w:rPr>
          <w:sz w:val="24"/>
          <w:szCs w:val="24"/>
        </w:rPr>
        <w:t xml:space="preserve">out of North Korean ports also </w:t>
      </w:r>
      <w:r>
        <w:rPr>
          <w:sz w:val="24"/>
          <w:szCs w:val="24"/>
        </w:rPr>
        <w:t xml:space="preserve">is </w:t>
      </w:r>
      <w:r w:rsidRPr="000213B5">
        <w:rPr>
          <w:sz w:val="24"/>
          <w:szCs w:val="24"/>
        </w:rPr>
        <w:t>much diminished.</w:t>
      </w:r>
      <w:r w:rsidR="00E77CFD">
        <w:rPr>
          <w:rStyle w:val="EndnoteReference"/>
          <w:sz w:val="24"/>
          <w:szCs w:val="24"/>
        </w:rPr>
        <w:endnoteReference w:id="2"/>
      </w:r>
      <w:r>
        <w:rPr>
          <w:sz w:val="24"/>
          <w:szCs w:val="24"/>
        </w:rPr>
        <w:t xml:space="preserve"> </w:t>
      </w:r>
      <w:r>
        <w:rPr>
          <w:sz w:val="24"/>
          <w:szCs w:val="24"/>
        </w:rPr>
        <w:t xml:space="preserve">How fast trade will resume, however, is anyone’s guess. Suspicions of continued </w:t>
      </w:r>
      <w:r>
        <w:rPr>
          <w:sz w:val="24"/>
          <w:szCs w:val="24"/>
        </w:rPr>
        <w:lastRenderedPageBreak/>
        <w:t xml:space="preserve">infected travelers will remain </w:t>
      </w:r>
      <w:r w:rsidR="000612F3">
        <w:rPr>
          <w:sz w:val="24"/>
          <w:szCs w:val="24"/>
        </w:rPr>
        <w:t xml:space="preserve">on both sides </w:t>
      </w:r>
      <w:r>
        <w:rPr>
          <w:sz w:val="24"/>
          <w:szCs w:val="24"/>
        </w:rPr>
        <w:t>for some time given lack of transparency in both Beijing and Pyongyang.   Moreover, North Korea’s buying power continues to be</w:t>
      </w:r>
      <w:r w:rsidR="00511B3C">
        <w:rPr>
          <w:sz w:val="24"/>
          <w:szCs w:val="24"/>
        </w:rPr>
        <w:t xml:space="preserve"> </w:t>
      </w:r>
      <w:r>
        <w:rPr>
          <w:sz w:val="24"/>
          <w:szCs w:val="24"/>
        </w:rPr>
        <w:t>weakened by the UN sanctions on its main exports. Kim Jong Un had counted on tourist traffic to boost income this year but th</w:t>
      </w:r>
      <w:r w:rsidR="00E2544E">
        <w:rPr>
          <w:sz w:val="24"/>
          <w:szCs w:val="24"/>
        </w:rPr>
        <w:t>at hope</w:t>
      </w:r>
      <w:r>
        <w:rPr>
          <w:sz w:val="24"/>
          <w:szCs w:val="24"/>
        </w:rPr>
        <w:t xml:space="preserve"> certainly ha</w:t>
      </w:r>
      <w:r w:rsidR="00E2544E">
        <w:rPr>
          <w:sz w:val="24"/>
          <w:szCs w:val="24"/>
        </w:rPr>
        <w:t>s</w:t>
      </w:r>
      <w:r>
        <w:rPr>
          <w:sz w:val="24"/>
          <w:szCs w:val="24"/>
        </w:rPr>
        <w:t xml:space="preserve"> been dashed by the pandemic.  </w:t>
      </w:r>
      <w:r w:rsidRPr="000213B5">
        <w:rPr>
          <w:sz w:val="24"/>
          <w:szCs w:val="24"/>
        </w:rPr>
        <w:t xml:space="preserve">  </w:t>
      </w:r>
    </w:p>
    <w:p w14:paraId="44A42CEB" w14:textId="77777777" w:rsidR="001721CA" w:rsidRDefault="001721CA">
      <w:pPr>
        <w:rPr>
          <w:sz w:val="24"/>
          <w:szCs w:val="24"/>
        </w:rPr>
      </w:pPr>
    </w:p>
    <w:p w14:paraId="4147B396" w14:textId="4992500E" w:rsidR="00FA6920" w:rsidRPr="00436498" w:rsidRDefault="001721CA">
      <w:pPr>
        <w:rPr>
          <w:sz w:val="24"/>
          <w:szCs w:val="24"/>
        </w:rPr>
      </w:pPr>
      <w:r>
        <w:rPr>
          <w:noProof/>
        </w:rPr>
        <w:drawing>
          <wp:anchor distT="0" distB="0" distL="114300" distR="114300" simplePos="0" relativeHeight="251662336" behindDoc="0" locked="0" layoutInCell="1" allowOverlap="1" wp14:anchorId="7FCF6469" wp14:editId="15CAC934">
            <wp:simplePos x="0" y="0"/>
            <wp:positionH relativeFrom="margin">
              <wp:align>left</wp:align>
            </wp:positionH>
            <wp:positionV relativeFrom="paragraph">
              <wp:posOffset>88</wp:posOffset>
            </wp:positionV>
            <wp:extent cx="5399405" cy="5906891"/>
            <wp:effectExtent l="0" t="0" r="10795" b="17780"/>
            <wp:wrapTopAndBottom/>
            <wp:docPr id="5" name="Chart 5">
              <a:extLst xmlns:a="http://schemas.openxmlformats.org/drawingml/2006/main">
                <a:ext uri="{FF2B5EF4-FFF2-40B4-BE49-F238E27FC236}">
                  <a16:creationId xmlns:a16="http://schemas.microsoft.com/office/drawing/2014/main" id="{3DAF22E8-7955-475D-8D0B-B0E5D380B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FA6920" w:rsidRPr="00436498">
        <w:rPr>
          <w:sz w:val="24"/>
          <w:szCs w:val="24"/>
        </w:rPr>
        <w:t xml:space="preserve">Beijing took an unusual step this year </w:t>
      </w:r>
      <w:r w:rsidR="00E2544E">
        <w:rPr>
          <w:sz w:val="24"/>
          <w:szCs w:val="24"/>
        </w:rPr>
        <w:t>of</w:t>
      </w:r>
      <w:r w:rsidR="00FA6920" w:rsidRPr="00436498">
        <w:rPr>
          <w:sz w:val="24"/>
          <w:szCs w:val="24"/>
        </w:rPr>
        <w:t xml:space="preserve"> not releasing any of its trade data for January, instead combining it with February data and averaging each of the two months so that they are identical. The disruptive nature of the virus on China’s bureaucracy and the highly seasonal nature of both January and February data presumably forced this action.  </w:t>
      </w:r>
      <w:r w:rsidR="000213B5">
        <w:rPr>
          <w:sz w:val="24"/>
          <w:szCs w:val="24"/>
        </w:rPr>
        <w:t>Normally t</w:t>
      </w:r>
      <w:r w:rsidR="00436498" w:rsidRPr="00436498">
        <w:rPr>
          <w:sz w:val="24"/>
          <w:szCs w:val="24"/>
        </w:rPr>
        <w:t>he data is widely considered to be less than accurate given strong price incentives to continue to trade</w:t>
      </w:r>
      <w:r w:rsidR="000213B5">
        <w:rPr>
          <w:sz w:val="24"/>
          <w:szCs w:val="24"/>
        </w:rPr>
        <w:t xml:space="preserve"> </w:t>
      </w:r>
      <w:r w:rsidR="000213B5">
        <w:rPr>
          <w:sz w:val="24"/>
          <w:szCs w:val="24"/>
        </w:rPr>
        <w:lastRenderedPageBreak/>
        <w:t xml:space="preserve">and thus extensive smuggling.  The border closures, however, have doubly hampered smuggling so the </w:t>
      </w:r>
      <w:r w:rsidR="003925E7">
        <w:rPr>
          <w:sz w:val="24"/>
          <w:szCs w:val="24"/>
        </w:rPr>
        <w:t xml:space="preserve">customs </w:t>
      </w:r>
      <w:r w:rsidR="000213B5">
        <w:rPr>
          <w:sz w:val="24"/>
          <w:szCs w:val="24"/>
        </w:rPr>
        <w:t xml:space="preserve">data may be more representative than normal. </w:t>
      </w:r>
    </w:p>
    <w:p w14:paraId="61FA129D" w14:textId="3D029A17" w:rsidR="00AD0A7B" w:rsidRPr="00CC4392" w:rsidRDefault="004013D0">
      <w:pPr>
        <w:rPr>
          <w:sz w:val="24"/>
          <w:szCs w:val="24"/>
        </w:rPr>
      </w:pPr>
      <w:r w:rsidRPr="00CC4392">
        <w:rPr>
          <w:sz w:val="24"/>
          <w:szCs w:val="24"/>
        </w:rPr>
        <w:t>Chinese imports for the two months fell to essentially nothing</w:t>
      </w:r>
      <w:r w:rsidR="00511B3C">
        <w:rPr>
          <w:sz w:val="24"/>
          <w:szCs w:val="24"/>
        </w:rPr>
        <w:t xml:space="preserve">. </w:t>
      </w:r>
      <w:r w:rsidRPr="00CC4392">
        <w:rPr>
          <w:sz w:val="24"/>
          <w:szCs w:val="24"/>
        </w:rPr>
        <w:t xml:space="preserve"> Particularly worrisome to Pyongyang must be the fall in </w:t>
      </w:r>
      <w:r w:rsidR="00CC4392" w:rsidRPr="00CC4392">
        <w:rPr>
          <w:sz w:val="24"/>
          <w:szCs w:val="24"/>
        </w:rPr>
        <w:t>several non-sanctioned goods, such as watches and hair pieces that had been on the rise.</w:t>
      </w:r>
      <w:r w:rsidRPr="00CC4392">
        <w:rPr>
          <w:sz w:val="24"/>
          <w:szCs w:val="24"/>
        </w:rPr>
        <w:t xml:space="preserve"> </w:t>
      </w:r>
      <w:r w:rsidR="00CC4392" w:rsidRPr="00CC4392">
        <w:rPr>
          <w:sz w:val="24"/>
          <w:szCs w:val="24"/>
        </w:rPr>
        <w:t xml:space="preserve"> Factories in China supporting that trade have probably been temporarily shut down.  The fall in Chinese exports occurred across the board</w:t>
      </w:r>
      <w:r w:rsidR="00511B3C">
        <w:rPr>
          <w:sz w:val="24"/>
          <w:szCs w:val="24"/>
        </w:rPr>
        <w:t xml:space="preserve"> although watch timing devices and textiles held up suggesting the return trade in finished products will resume soon</w:t>
      </w:r>
      <w:r w:rsidR="00CC4392" w:rsidRPr="00CC4392">
        <w:rPr>
          <w:sz w:val="24"/>
          <w:szCs w:val="24"/>
        </w:rPr>
        <w:t xml:space="preserve">.  Plastics and other petrochemical products, essential to North Korea since it lacks petroleum resources itself, dominate the trade that does occur, along with food products. </w:t>
      </w:r>
      <w:r w:rsidR="00CC4392">
        <w:rPr>
          <w:sz w:val="24"/>
          <w:szCs w:val="24"/>
        </w:rPr>
        <w:t xml:space="preserve"> </w:t>
      </w:r>
      <w:r w:rsidR="00511B3C">
        <w:rPr>
          <w:sz w:val="24"/>
          <w:szCs w:val="24"/>
        </w:rPr>
        <w:t xml:space="preserve">Perhaps not surprising, tobacco </w:t>
      </w:r>
      <w:r w:rsidR="003925E7">
        <w:rPr>
          <w:sz w:val="24"/>
          <w:szCs w:val="24"/>
        </w:rPr>
        <w:t xml:space="preserve">and pharmaceuticals </w:t>
      </w:r>
      <w:r w:rsidR="00511B3C">
        <w:rPr>
          <w:sz w:val="24"/>
          <w:szCs w:val="24"/>
        </w:rPr>
        <w:t xml:space="preserve">trade remains strong.  </w:t>
      </w:r>
      <w:r w:rsidR="00CC4392">
        <w:rPr>
          <w:sz w:val="24"/>
          <w:szCs w:val="24"/>
        </w:rPr>
        <w:t xml:space="preserve">The </w:t>
      </w:r>
      <w:r w:rsidR="00511B3C">
        <w:rPr>
          <w:sz w:val="24"/>
          <w:szCs w:val="24"/>
        </w:rPr>
        <w:t xml:space="preserve">large </w:t>
      </w:r>
      <w:r w:rsidR="00CC4392">
        <w:rPr>
          <w:sz w:val="24"/>
          <w:szCs w:val="24"/>
        </w:rPr>
        <w:t xml:space="preserve">drop in purchases from China helped narrow Pyongyang’s wide trade imbalance but likely contributed to consumer price increases, especially for fuels.  </w:t>
      </w:r>
      <w:r w:rsidR="00BA4576">
        <w:rPr>
          <w:sz w:val="24"/>
          <w:szCs w:val="24"/>
        </w:rPr>
        <w:t xml:space="preserve">Other normal </w:t>
      </w:r>
      <w:r w:rsidR="00CC4392">
        <w:rPr>
          <w:sz w:val="24"/>
          <w:szCs w:val="24"/>
        </w:rPr>
        <w:t xml:space="preserve">foreign exchange earners </w:t>
      </w:r>
      <w:r w:rsidR="00BA4576">
        <w:rPr>
          <w:sz w:val="24"/>
          <w:szCs w:val="24"/>
        </w:rPr>
        <w:t xml:space="preserve">for North Korea, </w:t>
      </w:r>
      <w:r w:rsidR="00CC4392">
        <w:rPr>
          <w:sz w:val="24"/>
          <w:szCs w:val="24"/>
        </w:rPr>
        <w:t xml:space="preserve">such as tourism and </w:t>
      </w:r>
      <w:r w:rsidR="00BA4576">
        <w:rPr>
          <w:sz w:val="24"/>
          <w:szCs w:val="24"/>
        </w:rPr>
        <w:t xml:space="preserve">overseas workers’ </w:t>
      </w:r>
      <w:r w:rsidR="00CC4392">
        <w:rPr>
          <w:sz w:val="24"/>
          <w:szCs w:val="24"/>
        </w:rPr>
        <w:t>remittances, no doubt fell sharply. The won</w:t>
      </w:r>
      <w:r w:rsidR="00E77CFD">
        <w:rPr>
          <w:sz w:val="24"/>
          <w:szCs w:val="24"/>
        </w:rPr>
        <w:t xml:space="preserve"> has held steady </w:t>
      </w:r>
      <w:r w:rsidR="00CC4392">
        <w:rPr>
          <w:sz w:val="24"/>
          <w:szCs w:val="24"/>
        </w:rPr>
        <w:t>in widespread grey market trading, according to Daily NK and Asia Press reporting</w:t>
      </w:r>
      <w:r w:rsidR="00E77CFD">
        <w:rPr>
          <w:sz w:val="24"/>
          <w:szCs w:val="24"/>
        </w:rPr>
        <w:t>, possibly the result of a very tight monetary policy to prevent a currency crisis.</w:t>
      </w:r>
      <w:r w:rsidR="00674E7F">
        <w:rPr>
          <w:rStyle w:val="EndnoteReference"/>
          <w:sz w:val="24"/>
          <w:szCs w:val="24"/>
        </w:rPr>
        <w:endnoteReference w:id="3"/>
      </w:r>
      <w:bookmarkStart w:id="0" w:name="_GoBack"/>
      <w:bookmarkEnd w:id="0"/>
      <w:r w:rsidR="00CC4392">
        <w:rPr>
          <w:sz w:val="24"/>
          <w:szCs w:val="24"/>
        </w:rPr>
        <w:t xml:space="preserve">  </w:t>
      </w:r>
      <w:r w:rsidR="00CC4392" w:rsidRPr="00CC4392">
        <w:rPr>
          <w:sz w:val="24"/>
          <w:szCs w:val="24"/>
        </w:rPr>
        <w:t xml:space="preserve">   </w:t>
      </w:r>
    </w:p>
    <w:p w14:paraId="592D5AB3" w14:textId="627D569D" w:rsidR="00AD0A7B" w:rsidRDefault="00AD0A7B"/>
    <w:p w14:paraId="7CA07204" w14:textId="52CAA8F5" w:rsidR="00AD0A7B" w:rsidRDefault="00AD0A7B"/>
    <w:p w14:paraId="1E8D8465" w14:textId="6583D923" w:rsidR="00AD0A7B" w:rsidRDefault="00AD0A7B"/>
    <w:p w14:paraId="595BB95B" w14:textId="0A51F5E8" w:rsidR="00AD48E0" w:rsidRDefault="00AD48E0"/>
    <w:p w14:paraId="4CDD730D" w14:textId="3013444E" w:rsidR="00AD48E0" w:rsidRDefault="00AD48E0"/>
    <w:p w14:paraId="4179882E" w14:textId="6B821504" w:rsidR="00AD48E0" w:rsidRDefault="00AD48E0"/>
    <w:p w14:paraId="57DA0868" w14:textId="4E7C4457" w:rsidR="00926AE1" w:rsidRDefault="00926AE1">
      <w:r>
        <w:br w:type="page"/>
      </w:r>
    </w:p>
    <w:p w14:paraId="62DA9F40" w14:textId="4BFA3C38" w:rsidR="00AD48E0" w:rsidRDefault="00AD48E0"/>
    <w:sectPr w:rsidR="00AD48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FE49C" w14:textId="77777777" w:rsidR="00977293" w:rsidRDefault="00977293" w:rsidP="00E77CFD">
      <w:pPr>
        <w:spacing w:after="0" w:line="240" w:lineRule="auto"/>
      </w:pPr>
      <w:r>
        <w:separator/>
      </w:r>
    </w:p>
  </w:endnote>
  <w:endnote w:type="continuationSeparator" w:id="0">
    <w:p w14:paraId="5DF68E7D" w14:textId="77777777" w:rsidR="00977293" w:rsidRDefault="00977293" w:rsidP="00E77CFD">
      <w:pPr>
        <w:spacing w:after="0" w:line="240" w:lineRule="auto"/>
      </w:pPr>
      <w:r>
        <w:continuationSeparator/>
      </w:r>
    </w:p>
  </w:endnote>
  <w:endnote w:id="1">
    <w:p w14:paraId="2E20112A" w14:textId="1CC5A014" w:rsidR="00E77CFD" w:rsidRDefault="00E77CFD">
      <w:pPr>
        <w:pStyle w:val="EndnoteText"/>
      </w:pPr>
      <w:r>
        <w:rPr>
          <w:rStyle w:val="EndnoteReference"/>
        </w:rPr>
        <w:endnoteRef/>
      </w:r>
      <w:r>
        <w:t xml:space="preserve"> </w:t>
      </w:r>
      <w:hyperlink r:id="rId1" w:history="1">
        <w:r w:rsidRPr="00414243">
          <w:rPr>
            <w:rStyle w:val="Hyperlink"/>
          </w:rPr>
          <w:t>http://43.248.49.97/</w:t>
        </w:r>
      </w:hyperlink>
      <w:r>
        <w:t xml:space="preserve">  China Customs Website.</w:t>
      </w:r>
    </w:p>
  </w:endnote>
  <w:endnote w:id="2">
    <w:p w14:paraId="36DCD7A0" w14:textId="77777777" w:rsidR="00E77CFD" w:rsidRDefault="00E77CFD" w:rsidP="00E77CFD">
      <w:pPr>
        <w:rPr>
          <w:rFonts w:ascii="Calibri Light" w:hAnsi="Calibri Light" w:cs="Calibri Light"/>
          <w:color w:val="1F3864"/>
        </w:rPr>
      </w:pPr>
      <w:r>
        <w:rPr>
          <w:rStyle w:val="EndnoteReference"/>
        </w:rPr>
        <w:endnoteRef/>
      </w:r>
      <w:r>
        <w:t xml:space="preserve"> </w:t>
      </w:r>
      <w:hyperlink r:id="rId2" w:history="1">
        <w:r>
          <w:rPr>
            <w:rStyle w:val="Hyperlink"/>
            <w:rFonts w:ascii="Calibri Light" w:hAnsi="Calibri Light" w:cs="Calibri Light"/>
            <w:color w:val="0563C1"/>
          </w:rPr>
          <w:t>https://www.nytimes.com/2020/03/26/video/coronavirus-north-korea.html?searchResultPosition=4</w:t>
        </w:r>
      </w:hyperlink>
    </w:p>
    <w:p w14:paraId="226596C4" w14:textId="5148F8A1" w:rsidR="00E77CFD" w:rsidRDefault="00E77CFD">
      <w:pPr>
        <w:pStyle w:val="EndnoteText"/>
      </w:pPr>
    </w:p>
  </w:endnote>
  <w:endnote w:id="3">
    <w:p w14:paraId="6C2FA2A7" w14:textId="7FF1B020" w:rsidR="00674E7F" w:rsidRDefault="00674E7F">
      <w:pPr>
        <w:pStyle w:val="EndnoteText"/>
      </w:pPr>
      <w:r>
        <w:rPr>
          <w:rStyle w:val="EndnoteReference"/>
        </w:rPr>
        <w:endnoteRef/>
      </w:r>
      <w:r>
        <w:t xml:space="preserve"> </w:t>
      </w:r>
      <w:hyperlink r:id="rId3" w:history="1">
        <w:r w:rsidRPr="00414243">
          <w:rPr>
            <w:rStyle w:val="Hyperlink"/>
          </w:rPr>
          <w:t>https://www.dailynk.com/english/tag/market-prices/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C7794" w14:textId="77777777" w:rsidR="00977293" w:rsidRDefault="00977293" w:rsidP="00E77CFD">
      <w:pPr>
        <w:spacing w:after="0" w:line="240" w:lineRule="auto"/>
      </w:pPr>
      <w:r>
        <w:separator/>
      </w:r>
    </w:p>
  </w:footnote>
  <w:footnote w:type="continuationSeparator" w:id="0">
    <w:p w14:paraId="02592C44" w14:textId="77777777" w:rsidR="00977293" w:rsidRDefault="00977293" w:rsidP="00E77C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E0"/>
    <w:rsid w:val="000213B5"/>
    <w:rsid w:val="000612F3"/>
    <w:rsid w:val="001721CA"/>
    <w:rsid w:val="00202F82"/>
    <w:rsid w:val="00227F40"/>
    <w:rsid w:val="003925E7"/>
    <w:rsid w:val="004013D0"/>
    <w:rsid w:val="00423A0E"/>
    <w:rsid w:val="00436498"/>
    <w:rsid w:val="004C73F4"/>
    <w:rsid w:val="004F6977"/>
    <w:rsid w:val="00511B3C"/>
    <w:rsid w:val="00674E7F"/>
    <w:rsid w:val="007E40BF"/>
    <w:rsid w:val="008413F2"/>
    <w:rsid w:val="008449F4"/>
    <w:rsid w:val="00890D85"/>
    <w:rsid w:val="00926AE1"/>
    <w:rsid w:val="00977293"/>
    <w:rsid w:val="00AD0A7B"/>
    <w:rsid w:val="00AD48E0"/>
    <w:rsid w:val="00B714F9"/>
    <w:rsid w:val="00BA4576"/>
    <w:rsid w:val="00CC4392"/>
    <w:rsid w:val="00E2544E"/>
    <w:rsid w:val="00E77CFD"/>
    <w:rsid w:val="00F4444E"/>
    <w:rsid w:val="00F733E6"/>
    <w:rsid w:val="00FA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73AF"/>
  <w15:chartTrackingRefBased/>
  <w15:docId w15:val="{C71606B4-A632-43F2-ACF4-F891321C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77C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7CFD"/>
    <w:rPr>
      <w:sz w:val="20"/>
      <w:szCs w:val="20"/>
    </w:rPr>
  </w:style>
  <w:style w:type="character" w:styleId="EndnoteReference">
    <w:name w:val="endnote reference"/>
    <w:basedOn w:val="DefaultParagraphFont"/>
    <w:uiPriority w:val="99"/>
    <w:semiHidden/>
    <w:unhideWhenUsed/>
    <w:rsid w:val="00E77CFD"/>
    <w:rPr>
      <w:vertAlign w:val="superscript"/>
    </w:rPr>
  </w:style>
  <w:style w:type="character" w:styleId="Hyperlink">
    <w:name w:val="Hyperlink"/>
    <w:basedOn w:val="DefaultParagraphFont"/>
    <w:uiPriority w:val="99"/>
    <w:unhideWhenUsed/>
    <w:rsid w:val="00E77CFD"/>
    <w:rPr>
      <w:color w:val="0563C1" w:themeColor="hyperlink"/>
      <w:u w:val="single"/>
    </w:rPr>
  </w:style>
  <w:style w:type="character" w:styleId="UnresolvedMention">
    <w:name w:val="Unresolved Mention"/>
    <w:basedOn w:val="DefaultParagraphFont"/>
    <w:uiPriority w:val="99"/>
    <w:semiHidden/>
    <w:unhideWhenUsed/>
    <w:rsid w:val="00E7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8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endnotes.xml.rels><?xml version="1.0" encoding="UTF-8" standalone="yes"?>
<Relationships xmlns="http://schemas.openxmlformats.org/package/2006/relationships"><Relationship Id="rId3" Type="http://schemas.openxmlformats.org/officeDocument/2006/relationships/hyperlink" Target="https://www.dailynk.com/english/tag/market-prices/" TargetMode="External"/><Relationship Id="rId2" Type="http://schemas.openxmlformats.org/officeDocument/2006/relationships/hyperlink" Target="https://www.nytimes.com/2020/03/26/video/coronavirus-north-korea.html?searchResultPosition=4" TargetMode="External"/><Relationship Id="rId1" Type="http://schemas.openxmlformats.org/officeDocument/2006/relationships/hyperlink" Target="http://43.248.49.9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mbbr\Documents\Ch-NK%20Feb%202020(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mbbr\Documents\Ch-NK%20Feb%202020(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mbbr\Documents\ch-nk%20detai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mbbr\Documents\ch-nk%20detai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sz="1000"/>
              <a:t>China-North Korea Trade Balance </a:t>
            </a:r>
          </a:p>
          <a:p>
            <a:pPr>
              <a:defRPr/>
            </a:pPr>
            <a:r>
              <a:rPr lang="en-US" sz="1000"/>
              <a:t> Jan 2016-Feb 2020</a:t>
            </a:r>
          </a:p>
          <a:p>
            <a:pPr>
              <a:defRPr/>
            </a:pPr>
            <a:r>
              <a:rPr lang="en-US" sz="1000"/>
              <a:t>million US dollars</a:t>
            </a:r>
          </a:p>
        </c:rich>
      </c:tx>
      <c:layout>
        <c:manualLayout>
          <c:xMode val="edge"/>
          <c:yMode val="edge"/>
          <c:x val="0.21229855643044621"/>
          <c:y val="4.1666666666666664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2"/>
          <c:order val="2"/>
          <c:tx>
            <c:strRef>
              <c:f>Balances!$A$7</c:f>
              <c:strCache>
                <c:ptCount val="1"/>
              </c:strCache>
            </c:strRef>
          </c:tx>
          <c:spPr>
            <a:ln w="22225" cap="rnd" cmpd="sng" algn="ctr">
              <a:solidFill>
                <a:schemeClr val="accent6"/>
              </a:solidFill>
              <a:round/>
            </a:ln>
            <a:effectLst/>
          </c:spPr>
          <c:marker>
            <c:symbol val="none"/>
          </c:marker>
          <c:cat>
            <c:strRef>
              <c:f>Balances!$B$3:$AY$4</c:f>
              <c:strCache>
                <c:ptCount val="50"/>
                <c:pt idx="0">
                  <c:v>01/2016 </c:v>
                </c:pt>
                <c:pt idx="1">
                  <c:v>02/2016 </c:v>
                </c:pt>
                <c:pt idx="2">
                  <c:v>03/2016 </c:v>
                </c:pt>
                <c:pt idx="3">
                  <c:v>04/2016 </c:v>
                </c:pt>
                <c:pt idx="4">
                  <c:v>05/2016 </c:v>
                </c:pt>
                <c:pt idx="5">
                  <c:v>06/2016 </c:v>
                </c:pt>
                <c:pt idx="6">
                  <c:v>07/2016 </c:v>
                </c:pt>
                <c:pt idx="7">
                  <c:v>08/2016 </c:v>
                </c:pt>
                <c:pt idx="8">
                  <c:v>09/2016 </c:v>
                </c:pt>
                <c:pt idx="9">
                  <c:v>10/2016 </c:v>
                </c:pt>
                <c:pt idx="10">
                  <c:v>11/2016 </c:v>
                </c:pt>
                <c:pt idx="11">
                  <c:v>12/2016 </c:v>
                </c:pt>
                <c:pt idx="12">
                  <c:v>01/2017 </c:v>
                </c:pt>
                <c:pt idx="13">
                  <c:v>02/2017 </c:v>
                </c:pt>
                <c:pt idx="14">
                  <c:v>03/2017 </c:v>
                </c:pt>
                <c:pt idx="15">
                  <c:v>04/2017 </c:v>
                </c:pt>
                <c:pt idx="16">
                  <c:v>05/2017 </c:v>
                </c:pt>
                <c:pt idx="17">
                  <c:v>06/2017 </c:v>
                </c:pt>
                <c:pt idx="18">
                  <c:v>07/2017 </c:v>
                </c:pt>
                <c:pt idx="19">
                  <c:v>08/2017 </c:v>
                </c:pt>
                <c:pt idx="20">
                  <c:v>09/2017 </c:v>
                </c:pt>
                <c:pt idx="21">
                  <c:v>10/2017 </c:v>
                </c:pt>
                <c:pt idx="22">
                  <c:v>11/2017 </c:v>
                </c:pt>
                <c:pt idx="23">
                  <c:v>12/2017 </c:v>
                </c:pt>
                <c:pt idx="24">
                  <c:v>01/2018 </c:v>
                </c:pt>
                <c:pt idx="25">
                  <c:v>02/2018 </c:v>
                </c:pt>
                <c:pt idx="26">
                  <c:v>03/2018 </c:v>
                </c:pt>
                <c:pt idx="27">
                  <c:v>04/2018 </c:v>
                </c:pt>
                <c:pt idx="28">
                  <c:v>05/2018 </c:v>
                </c:pt>
                <c:pt idx="29">
                  <c:v>06/2018 </c:v>
                </c:pt>
                <c:pt idx="30">
                  <c:v>07/2018 </c:v>
                </c:pt>
                <c:pt idx="31">
                  <c:v>08/2018 </c:v>
                </c:pt>
                <c:pt idx="32">
                  <c:v>09/2018 </c:v>
                </c:pt>
                <c:pt idx="33">
                  <c:v>10/2018 </c:v>
                </c:pt>
                <c:pt idx="34">
                  <c:v>11/2018 </c:v>
                </c:pt>
                <c:pt idx="35">
                  <c:v>12/2018 </c:v>
                </c:pt>
                <c:pt idx="36">
                  <c:v>01/2019 </c:v>
                </c:pt>
                <c:pt idx="37">
                  <c:v>02/2019 </c:v>
                </c:pt>
                <c:pt idx="38">
                  <c:v>03/2019 </c:v>
                </c:pt>
                <c:pt idx="39">
                  <c:v>04/2019 </c:v>
                </c:pt>
                <c:pt idx="40">
                  <c:v>05/2019 </c:v>
                </c:pt>
                <c:pt idx="41">
                  <c:v>06/2019 </c:v>
                </c:pt>
                <c:pt idx="42">
                  <c:v>07/2019 </c:v>
                </c:pt>
                <c:pt idx="43">
                  <c:v>08/2019 </c:v>
                </c:pt>
                <c:pt idx="44">
                  <c:v>09/2019 </c:v>
                </c:pt>
                <c:pt idx="45">
                  <c:v>10/2019 </c:v>
                </c:pt>
                <c:pt idx="46">
                  <c:v>11/2019 </c:v>
                </c:pt>
                <c:pt idx="47">
                  <c:v>12/2019 </c:v>
                </c:pt>
                <c:pt idx="48">
                  <c:v>01/2020 </c:v>
                </c:pt>
                <c:pt idx="49">
                  <c:v>02/2020 </c:v>
                </c:pt>
              </c:strCache>
            </c:strRef>
          </c:cat>
          <c:val>
            <c:numRef>
              <c:f>Balances!$B$7:$AY$7</c:f>
              <c:numCache>
                <c:formatCode>General</c:formatCode>
                <c:ptCount val="50"/>
                <c:pt idx="0">
                  <c:v>33</c:v>
                </c:pt>
                <c:pt idx="1">
                  <c:v>0</c:v>
                </c:pt>
                <c:pt idx="2">
                  <c:v>7</c:v>
                </c:pt>
                <c:pt idx="3">
                  <c:v>107</c:v>
                </c:pt>
                <c:pt idx="4">
                  <c:v>63</c:v>
                </c:pt>
                <c:pt idx="5">
                  <c:v>77</c:v>
                </c:pt>
                <c:pt idx="6">
                  <c:v>-34</c:v>
                </c:pt>
                <c:pt idx="7">
                  <c:v>51</c:v>
                </c:pt>
                <c:pt idx="8">
                  <c:v>58</c:v>
                </c:pt>
                <c:pt idx="9">
                  <c:v>57</c:v>
                </c:pt>
                <c:pt idx="10">
                  <c:v>95</c:v>
                </c:pt>
                <c:pt idx="11">
                  <c:v>45</c:v>
                </c:pt>
                <c:pt idx="12">
                  <c:v>40</c:v>
                </c:pt>
                <c:pt idx="13">
                  <c:v>-21</c:v>
                </c:pt>
                <c:pt idx="14">
                  <c:v>219</c:v>
                </c:pt>
                <c:pt idx="15">
                  <c:v>195</c:v>
                </c:pt>
                <c:pt idx="16">
                  <c:v>204</c:v>
                </c:pt>
                <c:pt idx="17">
                  <c:v>175</c:v>
                </c:pt>
                <c:pt idx="18">
                  <c:v>150</c:v>
                </c:pt>
                <c:pt idx="19">
                  <c:v>33</c:v>
                </c:pt>
                <c:pt idx="20">
                  <c:v>129</c:v>
                </c:pt>
                <c:pt idx="21">
                  <c:v>159</c:v>
                </c:pt>
                <c:pt idx="22">
                  <c:v>188</c:v>
                </c:pt>
                <c:pt idx="23">
                  <c:v>207</c:v>
                </c:pt>
                <c:pt idx="24">
                  <c:v>133</c:v>
                </c:pt>
                <c:pt idx="25">
                  <c:v>94</c:v>
                </c:pt>
                <c:pt idx="26">
                  <c:v>131</c:v>
                </c:pt>
                <c:pt idx="27">
                  <c:v>150</c:v>
                </c:pt>
                <c:pt idx="28">
                  <c:v>204</c:v>
                </c:pt>
                <c:pt idx="29">
                  <c:v>188</c:v>
                </c:pt>
                <c:pt idx="30">
                  <c:v>153</c:v>
                </c:pt>
                <c:pt idx="31">
                  <c:v>182</c:v>
                </c:pt>
                <c:pt idx="32">
                  <c:v>183</c:v>
                </c:pt>
                <c:pt idx="33">
                  <c:v>210</c:v>
                </c:pt>
                <c:pt idx="34">
                  <c:v>209</c:v>
                </c:pt>
                <c:pt idx="35">
                  <c:v>187</c:v>
                </c:pt>
                <c:pt idx="36">
                  <c:v>148</c:v>
                </c:pt>
                <c:pt idx="37">
                  <c:v>71</c:v>
                </c:pt>
                <c:pt idx="38">
                  <c:v>181</c:v>
                </c:pt>
                <c:pt idx="39">
                  <c:v>196</c:v>
                </c:pt>
                <c:pt idx="40">
                  <c:v>241</c:v>
                </c:pt>
                <c:pt idx="41">
                  <c:v>199</c:v>
                </c:pt>
                <c:pt idx="42">
                  <c:v>192</c:v>
                </c:pt>
                <c:pt idx="43">
                  <c:v>202</c:v>
                </c:pt>
                <c:pt idx="44">
                  <c:v>212</c:v>
                </c:pt>
                <c:pt idx="45">
                  <c:v>254</c:v>
                </c:pt>
                <c:pt idx="46">
                  <c:v>244</c:v>
                </c:pt>
                <c:pt idx="47">
                  <c:v>234</c:v>
                </c:pt>
                <c:pt idx="48">
                  <c:v>94</c:v>
                </c:pt>
                <c:pt idx="49">
                  <c:v>94</c:v>
                </c:pt>
              </c:numCache>
            </c:numRef>
          </c:val>
          <c:smooth val="0"/>
          <c:extLst>
            <c:ext xmlns:c16="http://schemas.microsoft.com/office/drawing/2014/chart" uri="{C3380CC4-5D6E-409C-BE32-E72D297353CC}">
              <c16:uniqueId val="{00000000-A8A4-4FB9-A897-F96AA567604F}"/>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44597648"/>
        <c:axId val="344599288"/>
        <c:extLst>
          <c:ext xmlns:c15="http://schemas.microsoft.com/office/drawing/2012/chart" uri="{02D57815-91ED-43cb-92C2-25804820EDAC}">
            <c15:filteredLineSeries>
              <c15:ser>
                <c:idx val="0"/>
                <c:order val="0"/>
                <c:tx>
                  <c:strRef>
                    <c:extLst>
                      <c:ext uri="{02D57815-91ED-43cb-92C2-25804820EDAC}">
                        <c15:formulaRef>
                          <c15:sqref>Balances!$A$5</c15:sqref>
                        </c15:formulaRef>
                      </c:ext>
                    </c:extLst>
                    <c:strCache>
                      <c:ptCount val="1"/>
                      <c:pt idx="0">
                        <c:v>Ch Exports</c:v>
                      </c:pt>
                    </c:strCache>
                  </c:strRef>
                </c:tx>
                <c:spPr>
                  <a:ln w="22225" cap="rnd" cmpd="sng" algn="ctr">
                    <a:solidFill>
                      <a:schemeClr val="accent2"/>
                    </a:solidFill>
                    <a:round/>
                  </a:ln>
                  <a:effectLst/>
                </c:spPr>
                <c:marker>
                  <c:symbol val="none"/>
                </c:marker>
                <c:cat>
                  <c:strRef>
                    <c:extLst>
                      <c:ext uri="{02D57815-91ED-43cb-92C2-25804820EDAC}">
                        <c15:formulaRef>
                          <c15:sqref>Balances!$B$3:$AY$4</c15:sqref>
                        </c15:formulaRef>
                      </c:ext>
                    </c:extLst>
                    <c:strCache>
                      <c:ptCount val="50"/>
                      <c:pt idx="0">
                        <c:v>01/2016 </c:v>
                      </c:pt>
                      <c:pt idx="1">
                        <c:v>02/2016 </c:v>
                      </c:pt>
                      <c:pt idx="2">
                        <c:v>03/2016 </c:v>
                      </c:pt>
                      <c:pt idx="3">
                        <c:v>04/2016 </c:v>
                      </c:pt>
                      <c:pt idx="4">
                        <c:v>05/2016 </c:v>
                      </c:pt>
                      <c:pt idx="5">
                        <c:v>06/2016 </c:v>
                      </c:pt>
                      <c:pt idx="6">
                        <c:v>07/2016 </c:v>
                      </c:pt>
                      <c:pt idx="7">
                        <c:v>08/2016 </c:v>
                      </c:pt>
                      <c:pt idx="8">
                        <c:v>09/2016 </c:v>
                      </c:pt>
                      <c:pt idx="9">
                        <c:v>10/2016 </c:v>
                      </c:pt>
                      <c:pt idx="10">
                        <c:v>11/2016 </c:v>
                      </c:pt>
                      <c:pt idx="11">
                        <c:v>12/2016 </c:v>
                      </c:pt>
                      <c:pt idx="12">
                        <c:v>01/2017 </c:v>
                      </c:pt>
                      <c:pt idx="13">
                        <c:v>02/2017 </c:v>
                      </c:pt>
                      <c:pt idx="14">
                        <c:v>03/2017 </c:v>
                      </c:pt>
                      <c:pt idx="15">
                        <c:v>04/2017 </c:v>
                      </c:pt>
                      <c:pt idx="16">
                        <c:v>05/2017 </c:v>
                      </c:pt>
                      <c:pt idx="17">
                        <c:v>06/2017 </c:v>
                      </c:pt>
                      <c:pt idx="18">
                        <c:v>07/2017 </c:v>
                      </c:pt>
                      <c:pt idx="19">
                        <c:v>08/2017 </c:v>
                      </c:pt>
                      <c:pt idx="20">
                        <c:v>09/2017 </c:v>
                      </c:pt>
                      <c:pt idx="21">
                        <c:v>10/2017 </c:v>
                      </c:pt>
                      <c:pt idx="22">
                        <c:v>11/2017 </c:v>
                      </c:pt>
                      <c:pt idx="23">
                        <c:v>12/2017 </c:v>
                      </c:pt>
                      <c:pt idx="24">
                        <c:v>01/2018 </c:v>
                      </c:pt>
                      <c:pt idx="25">
                        <c:v>02/2018 </c:v>
                      </c:pt>
                      <c:pt idx="26">
                        <c:v>03/2018 </c:v>
                      </c:pt>
                      <c:pt idx="27">
                        <c:v>04/2018 </c:v>
                      </c:pt>
                      <c:pt idx="28">
                        <c:v>05/2018 </c:v>
                      </c:pt>
                      <c:pt idx="29">
                        <c:v>06/2018 </c:v>
                      </c:pt>
                      <c:pt idx="30">
                        <c:v>07/2018 </c:v>
                      </c:pt>
                      <c:pt idx="31">
                        <c:v>08/2018 </c:v>
                      </c:pt>
                      <c:pt idx="32">
                        <c:v>09/2018 </c:v>
                      </c:pt>
                      <c:pt idx="33">
                        <c:v>10/2018 </c:v>
                      </c:pt>
                      <c:pt idx="34">
                        <c:v>11/2018 </c:v>
                      </c:pt>
                      <c:pt idx="35">
                        <c:v>12/2018 </c:v>
                      </c:pt>
                      <c:pt idx="36">
                        <c:v>01/2019 </c:v>
                      </c:pt>
                      <c:pt idx="37">
                        <c:v>02/2019 </c:v>
                      </c:pt>
                      <c:pt idx="38">
                        <c:v>03/2019 </c:v>
                      </c:pt>
                      <c:pt idx="39">
                        <c:v>04/2019 </c:v>
                      </c:pt>
                      <c:pt idx="40">
                        <c:v>05/2019 </c:v>
                      </c:pt>
                      <c:pt idx="41">
                        <c:v>06/2019 </c:v>
                      </c:pt>
                      <c:pt idx="42">
                        <c:v>07/2019 </c:v>
                      </c:pt>
                      <c:pt idx="43">
                        <c:v>08/2019 </c:v>
                      </c:pt>
                      <c:pt idx="44">
                        <c:v>09/2019 </c:v>
                      </c:pt>
                      <c:pt idx="45">
                        <c:v>10/2019 </c:v>
                      </c:pt>
                      <c:pt idx="46">
                        <c:v>11/2019 </c:v>
                      </c:pt>
                      <c:pt idx="47">
                        <c:v>12/2019 </c:v>
                      </c:pt>
                      <c:pt idx="48">
                        <c:v>01/2020 </c:v>
                      </c:pt>
                      <c:pt idx="49">
                        <c:v>02/2020 </c:v>
                      </c:pt>
                    </c:strCache>
                  </c:strRef>
                </c:cat>
                <c:val>
                  <c:numRef>
                    <c:extLst>
                      <c:ext uri="{02D57815-91ED-43cb-92C2-25804820EDAC}">
                        <c15:formulaRef>
                          <c15:sqref>Balances!$B$5:$AY$5</c15:sqref>
                        </c15:formulaRef>
                      </c:ext>
                    </c:extLst>
                    <c:numCache>
                      <c:formatCode>General</c:formatCode>
                      <c:ptCount val="50"/>
                      <c:pt idx="0">
                        <c:v>211</c:v>
                      </c:pt>
                      <c:pt idx="1">
                        <c:v>162</c:v>
                      </c:pt>
                      <c:pt idx="2">
                        <c:v>236</c:v>
                      </c:pt>
                      <c:pt idx="3">
                        <c:v>268</c:v>
                      </c:pt>
                      <c:pt idx="4">
                        <c:v>239</c:v>
                      </c:pt>
                      <c:pt idx="5">
                        <c:v>288</c:v>
                      </c:pt>
                      <c:pt idx="6">
                        <c:v>193</c:v>
                      </c:pt>
                      <c:pt idx="7">
                        <c:v>337</c:v>
                      </c:pt>
                      <c:pt idx="8">
                        <c:v>286</c:v>
                      </c:pt>
                      <c:pt idx="9">
                        <c:v>287</c:v>
                      </c:pt>
                      <c:pt idx="10">
                        <c:v>351</c:v>
                      </c:pt>
                      <c:pt idx="11">
                        <c:v>336</c:v>
                      </c:pt>
                      <c:pt idx="12">
                        <c:v>241</c:v>
                      </c:pt>
                      <c:pt idx="13">
                        <c:v>152</c:v>
                      </c:pt>
                      <c:pt idx="14">
                        <c:v>328</c:v>
                      </c:pt>
                      <c:pt idx="15">
                        <c:v>288</c:v>
                      </c:pt>
                      <c:pt idx="16">
                        <c:v>320</c:v>
                      </c:pt>
                      <c:pt idx="17">
                        <c:v>327</c:v>
                      </c:pt>
                      <c:pt idx="18">
                        <c:v>300</c:v>
                      </c:pt>
                      <c:pt idx="19">
                        <c:v>316</c:v>
                      </c:pt>
                      <c:pt idx="20">
                        <c:v>266</c:v>
                      </c:pt>
                      <c:pt idx="21">
                        <c:v>244</c:v>
                      </c:pt>
                      <c:pt idx="22">
                        <c:v>288</c:v>
                      </c:pt>
                      <c:pt idx="23">
                        <c:v>258</c:v>
                      </c:pt>
                      <c:pt idx="24">
                        <c:v>169</c:v>
                      </c:pt>
                      <c:pt idx="25">
                        <c:v>103</c:v>
                      </c:pt>
                      <c:pt idx="26">
                        <c:v>143</c:v>
                      </c:pt>
                      <c:pt idx="27">
                        <c:v>161</c:v>
                      </c:pt>
                      <c:pt idx="28">
                        <c:v>217</c:v>
                      </c:pt>
                      <c:pt idx="29">
                        <c:v>198</c:v>
                      </c:pt>
                      <c:pt idx="30">
                        <c:v>167</c:v>
                      </c:pt>
                      <c:pt idx="31">
                        <c:v>197</c:v>
                      </c:pt>
                      <c:pt idx="32">
                        <c:v>200</c:v>
                      </c:pt>
                      <c:pt idx="33">
                        <c:v>227</c:v>
                      </c:pt>
                      <c:pt idx="34">
                        <c:v>228</c:v>
                      </c:pt>
                      <c:pt idx="35">
                        <c:v>207</c:v>
                      </c:pt>
                      <c:pt idx="36">
                        <c:v>168</c:v>
                      </c:pt>
                      <c:pt idx="37">
                        <c:v>89</c:v>
                      </c:pt>
                      <c:pt idx="38">
                        <c:v>198</c:v>
                      </c:pt>
                      <c:pt idx="39">
                        <c:v>219</c:v>
                      </c:pt>
                      <c:pt idx="40">
                        <c:v>258</c:v>
                      </c:pt>
                      <c:pt idx="41">
                        <c:v>213</c:v>
                      </c:pt>
                      <c:pt idx="42">
                        <c:v>208</c:v>
                      </c:pt>
                      <c:pt idx="43">
                        <c:v>219</c:v>
                      </c:pt>
                      <c:pt idx="44">
                        <c:v>228</c:v>
                      </c:pt>
                      <c:pt idx="45">
                        <c:v>271</c:v>
                      </c:pt>
                      <c:pt idx="46">
                        <c:v>262</c:v>
                      </c:pt>
                      <c:pt idx="47">
                        <c:v>257</c:v>
                      </c:pt>
                      <c:pt idx="48">
                        <c:v>99</c:v>
                      </c:pt>
                      <c:pt idx="49">
                        <c:v>99</c:v>
                      </c:pt>
                    </c:numCache>
                  </c:numRef>
                </c:val>
                <c:smooth val="0"/>
                <c:extLst>
                  <c:ext xmlns:c16="http://schemas.microsoft.com/office/drawing/2014/chart" uri="{C3380CC4-5D6E-409C-BE32-E72D297353CC}">
                    <c16:uniqueId val="{00000001-A8A4-4FB9-A897-F96AA567604F}"/>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Balances!$A$6</c15:sqref>
                        </c15:formulaRef>
                      </c:ext>
                    </c:extLst>
                    <c:strCache>
                      <c:ptCount val="1"/>
                      <c:pt idx="0">
                        <c:v>Ch Imports</c:v>
                      </c:pt>
                    </c:strCache>
                  </c:strRef>
                </c:tx>
                <c:spPr>
                  <a:ln w="22225" cap="rnd" cmpd="sng" algn="ctr">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Balances!$B$3:$AY$4</c15:sqref>
                        </c15:formulaRef>
                      </c:ext>
                    </c:extLst>
                    <c:strCache>
                      <c:ptCount val="50"/>
                      <c:pt idx="0">
                        <c:v>01/2016 </c:v>
                      </c:pt>
                      <c:pt idx="1">
                        <c:v>02/2016 </c:v>
                      </c:pt>
                      <c:pt idx="2">
                        <c:v>03/2016 </c:v>
                      </c:pt>
                      <c:pt idx="3">
                        <c:v>04/2016 </c:v>
                      </c:pt>
                      <c:pt idx="4">
                        <c:v>05/2016 </c:v>
                      </c:pt>
                      <c:pt idx="5">
                        <c:v>06/2016 </c:v>
                      </c:pt>
                      <c:pt idx="6">
                        <c:v>07/2016 </c:v>
                      </c:pt>
                      <c:pt idx="7">
                        <c:v>08/2016 </c:v>
                      </c:pt>
                      <c:pt idx="8">
                        <c:v>09/2016 </c:v>
                      </c:pt>
                      <c:pt idx="9">
                        <c:v>10/2016 </c:v>
                      </c:pt>
                      <c:pt idx="10">
                        <c:v>11/2016 </c:v>
                      </c:pt>
                      <c:pt idx="11">
                        <c:v>12/2016 </c:v>
                      </c:pt>
                      <c:pt idx="12">
                        <c:v>01/2017 </c:v>
                      </c:pt>
                      <c:pt idx="13">
                        <c:v>02/2017 </c:v>
                      </c:pt>
                      <c:pt idx="14">
                        <c:v>03/2017 </c:v>
                      </c:pt>
                      <c:pt idx="15">
                        <c:v>04/2017 </c:v>
                      </c:pt>
                      <c:pt idx="16">
                        <c:v>05/2017 </c:v>
                      </c:pt>
                      <c:pt idx="17">
                        <c:v>06/2017 </c:v>
                      </c:pt>
                      <c:pt idx="18">
                        <c:v>07/2017 </c:v>
                      </c:pt>
                      <c:pt idx="19">
                        <c:v>08/2017 </c:v>
                      </c:pt>
                      <c:pt idx="20">
                        <c:v>09/2017 </c:v>
                      </c:pt>
                      <c:pt idx="21">
                        <c:v>10/2017 </c:v>
                      </c:pt>
                      <c:pt idx="22">
                        <c:v>11/2017 </c:v>
                      </c:pt>
                      <c:pt idx="23">
                        <c:v>12/2017 </c:v>
                      </c:pt>
                      <c:pt idx="24">
                        <c:v>01/2018 </c:v>
                      </c:pt>
                      <c:pt idx="25">
                        <c:v>02/2018 </c:v>
                      </c:pt>
                      <c:pt idx="26">
                        <c:v>03/2018 </c:v>
                      </c:pt>
                      <c:pt idx="27">
                        <c:v>04/2018 </c:v>
                      </c:pt>
                      <c:pt idx="28">
                        <c:v>05/2018 </c:v>
                      </c:pt>
                      <c:pt idx="29">
                        <c:v>06/2018 </c:v>
                      </c:pt>
                      <c:pt idx="30">
                        <c:v>07/2018 </c:v>
                      </c:pt>
                      <c:pt idx="31">
                        <c:v>08/2018 </c:v>
                      </c:pt>
                      <c:pt idx="32">
                        <c:v>09/2018 </c:v>
                      </c:pt>
                      <c:pt idx="33">
                        <c:v>10/2018 </c:v>
                      </c:pt>
                      <c:pt idx="34">
                        <c:v>11/2018 </c:v>
                      </c:pt>
                      <c:pt idx="35">
                        <c:v>12/2018 </c:v>
                      </c:pt>
                      <c:pt idx="36">
                        <c:v>01/2019 </c:v>
                      </c:pt>
                      <c:pt idx="37">
                        <c:v>02/2019 </c:v>
                      </c:pt>
                      <c:pt idx="38">
                        <c:v>03/2019 </c:v>
                      </c:pt>
                      <c:pt idx="39">
                        <c:v>04/2019 </c:v>
                      </c:pt>
                      <c:pt idx="40">
                        <c:v>05/2019 </c:v>
                      </c:pt>
                      <c:pt idx="41">
                        <c:v>06/2019 </c:v>
                      </c:pt>
                      <c:pt idx="42">
                        <c:v>07/2019 </c:v>
                      </c:pt>
                      <c:pt idx="43">
                        <c:v>08/2019 </c:v>
                      </c:pt>
                      <c:pt idx="44">
                        <c:v>09/2019 </c:v>
                      </c:pt>
                      <c:pt idx="45">
                        <c:v>10/2019 </c:v>
                      </c:pt>
                      <c:pt idx="46">
                        <c:v>11/2019 </c:v>
                      </c:pt>
                      <c:pt idx="47">
                        <c:v>12/2019 </c:v>
                      </c:pt>
                      <c:pt idx="48">
                        <c:v>01/2020 </c:v>
                      </c:pt>
                      <c:pt idx="49">
                        <c:v>02/2020 </c:v>
                      </c:pt>
                    </c:strCache>
                  </c:strRef>
                </c:cat>
                <c:val>
                  <c:numRef>
                    <c:extLst xmlns:c15="http://schemas.microsoft.com/office/drawing/2012/chart">
                      <c:ext xmlns:c15="http://schemas.microsoft.com/office/drawing/2012/chart" uri="{02D57815-91ED-43cb-92C2-25804820EDAC}">
                        <c15:formulaRef>
                          <c15:sqref>Balances!$B$6:$AY$6</c15:sqref>
                        </c15:formulaRef>
                      </c:ext>
                    </c:extLst>
                    <c:numCache>
                      <c:formatCode>General</c:formatCode>
                      <c:ptCount val="50"/>
                      <c:pt idx="0">
                        <c:v>178</c:v>
                      </c:pt>
                      <c:pt idx="1">
                        <c:v>162</c:v>
                      </c:pt>
                      <c:pt idx="2">
                        <c:v>229</c:v>
                      </c:pt>
                      <c:pt idx="3">
                        <c:v>161</c:v>
                      </c:pt>
                      <c:pt idx="4">
                        <c:v>176</c:v>
                      </c:pt>
                      <c:pt idx="5">
                        <c:v>211</c:v>
                      </c:pt>
                      <c:pt idx="6">
                        <c:v>227</c:v>
                      </c:pt>
                      <c:pt idx="7">
                        <c:v>286</c:v>
                      </c:pt>
                      <c:pt idx="8">
                        <c:v>228</c:v>
                      </c:pt>
                      <c:pt idx="9">
                        <c:v>230</c:v>
                      </c:pt>
                      <c:pt idx="10">
                        <c:v>256</c:v>
                      </c:pt>
                      <c:pt idx="11">
                        <c:v>291</c:v>
                      </c:pt>
                      <c:pt idx="12">
                        <c:v>201</c:v>
                      </c:pt>
                      <c:pt idx="13">
                        <c:v>173</c:v>
                      </c:pt>
                      <c:pt idx="14">
                        <c:v>109</c:v>
                      </c:pt>
                      <c:pt idx="15">
                        <c:v>93</c:v>
                      </c:pt>
                      <c:pt idx="16">
                        <c:v>116</c:v>
                      </c:pt>
                      <c:pt idx="17">
                        <c:v>152</c:v>
                      </c:pt>
                      <c:pt idx="18">
                        <c:v>150</c:v>
                      </c:pt>
                      <c:pt idx="19">
                        <c:v>283</c:v>
                      </c:pt>
                      <c:pt idx="20">
                        <c:v>137</c:v>
                      </c:pt>
                      <c:pt idx="21">
                        <c:v>85</c:v>
                      </c:pt>
                      <c:pt idx="22">
                        <c:v>100</c:v>
                      </c:pt>
                      <c:pt idx="23">
                        <c:v>51</c:v>
                      </c:pt>
                      <c:pt idx="24">
                        <c:v>36</c:v>
                      </c:pt>
                      <c:pt idx="25">
                        <c:v>9</c:v>
                      </c:pt>
                      <c:pt idx="26">
                        <c:v>12</c:v>
                      </c:pt>
                      <c:pt idx="27">
                        <c:v>11</c:v>
                      </c:pt>
                      <c:pt idx="28">
                        <c:v>13</c:v>
                      </c:pt>
                      <c:pt idx="29">
                        <c:v>10</c:v>
                      </c:pt>
                      <c:pt idx="30">
                        <c:v>14</c:v>
                      </c:pt>
                      <c:pt idx="31">
                        <c:v>15</c:v>
                      </c:pt>
                      <c:pt idx="32">
                        <c:v>17</c:v>
                      </c:pt>
                      <c:pt idx="33">
                        <c:v>17</c:v>
                      </c:pt>
                      <c:pt idx="34">
                        <c:v>19</c:v>
                      </c:pt>
                      <c:pt idx="35">
                        <c:v>20</c:v>
                      </c:pt>
                      <c:pt idx="36">
                        <c:v>20</c:v>
                      </c:pt>
                      <c:pt idx="37">
                        <c:v>18</c:v>
                      </c:pt>
                      <c:pt idx="38">
                        <c:v>17</c:v>
                      </c:pt>
                      <c:pt idx="39">
                        <c:v>23</c:v>
                      </c:pt>
                      <c:pt idx="40">
                        <c:v>17</c:v>
                      </c:pt>
                      <c:pt idx="41">
                        <c:v>14</c:v>
                      </c:pt>
                      <c:pt idx="42">
                        <c:v>16</c:v>
                      </c:pt>
                      <c:pt idx="43">
                        <c:v>17</c:v>
                      </c:pt>
                      <c:pt idx="44">
                        <c:v>16</c:v>
                      </c:pt>
                      <c:pt idx="45">
                        <c:v>17</c:v>
                      </c:pt>
                      <c:pt idx="46">
                        <c:v>18</c:v>
                      </c:pt>
                      <c:pt idx="47">
                        <c:v>23</c:v>
                      </c:pt>
                      <c:pt idx="48">
                        <c:v>5</c:v>
                      </c:pt>
                      <c:pt idx="49">
                        <c:v>5</c:v>
                      </c:pt>
                    </c:numCache>
                  </c:numRef>
                </c:val>
                <c:smooth val="0"/>
                <c:extLst xmlns:c15="http://schemas.microsoft.com/office/drawing/2012/chart">
                  <c:ext xmlns:c16="http://schemas.microsoft.com/office/drawing/2014/chart" uri="{C3380CC4-5D6E-409C-BE32-E72D297353CC}">
                    <c16:uniqueId val="{00000002-A8A4-4FB9-A897-F96AA567604F}"/>
                  </c:ext>
                </c:extLst>
              </c15:ser>
            </c15:filteredLineSeries>
          </c:ext>
        </c:extLst>
      </c:lineChart>
      <c:catAx>
        <c:axId val="34459764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344599288"/>
        <c:crosses val="autoZero"/>
        <c:auto val="1"/>
        <c:lblAlgn val="ctr"/>
        <c:lblOffset val="100"/>
        <c:tickLblSkip val="12"/>
        <c:noMultiLvlLbl val="1"/>
      </c:catAx>
      <c:valAx>
        <c:axId val="344599288"/>
        <c:scaling>
          <c:orientation val="minMax"/>
          <c:max val="350"/>
          <c:min val="-50"/>
        </c:scaling>
        <c:delete val="0"/>
        <c:axPos val="l"/>
        <c:majorGridlines>
          <c:spPr>
            <a:ln>
              <a:solidFill>
                <a:schemeClr val="dk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344597648"/>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000"/>
              <a:t>China-North Korea Trade </a:t>
            </a:r>
          </a:p>
          <a:p>
            <a:pPr>
              <a:defRPr/>
            </a:pPr>
            <a:r>
              <a:rPr lang="en-US" sz="1000"/>
              <a:t>Jan 2016-Feb 2020</a:t>
            </a:r>
          </a:p>
          <a:p>
            <a:pPr>
              <a:defRPr/>
            </a:pPr>
            <a:r>
              <a:rPr lang="en-US" sz="1000"/>
              <a:t>million US dollars</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Balances!$A$5</c:f>
              <c:strCache>
                <c:ptCount val="1"/>
                <c:pt idx="0">
                  <c:v>Ch Exports</c:v>
                </c:pt>
              </c:strCache>
            </c:strRef>
          </c:tx>
          <c:spPr>
            <a:ln w="38100" cap="rnd">
              <a:solidFill>
                <a:schemeClr val="accent4">
                  <a:shade val="76000"/>
                </a:schemeClr>
              </a:solidFill>
              <a:round/>
            </a:ln>
            <a:effectLst/>
          </c:spPr>
          <c:marker>
            <c:symbol val="none"/>
          </c:marker>
          <c:dLbls>
            <c:delete val="1"/>
          </c:dLbls>
          <c:cat>
            <c:strRef>
              <c:f>Balances!$B$3:$AY$4</c:f>
              <c:strCache>
                <c:ptCount val="50"/>
                <c:pt idx="0">
                  <c:v>01/2016 </c:v>
                </c:pt>
                <c:pt idx="1">
                  <c:v>02/2016 </c:v>
                </c:pt>
                <c:pt idx="2">
                  <c:v>03/2016 </c:v>
                </c:pt>
                <c:pt idx="3">
                  <c:v>04/2016 </c:v>
                </c:pt>
                <c:pt idx="4">
                  <c:v>05/2016 </c:v>
                </c:pt>
                <c:pt idx="5">
                  <c:v>06/2016 </c:v>
                </c:pt>
                <c:pt idx="6">
                  <c:v>07/2016 </c:v>
                </c:pt>
                <c:pt idx="7">
                  <c:v>08/2016 </c:v>
                </c:pt>
                <c:pt idx="8">
                  <c:v>09/2016 </c:v>
                </c:pt>
                <c:pt idx="9">
                  <c:v>10/2016 </c:v>
                </c:pt>
                <c:pt idx="10">
                  <c:v>11/2016 </c:v>
                </c:pt>
                <c:pt idx="11">
                  <c:v>12/2016 </c:v>
                </c:pt>
                <c:pt idx="12">
                  <c:v>01/2017 </c:v>
                </c:pt>
                <c:pt idx="13">
                  <c:v>02/2017 </c:v>
                </c:pt>
                <c:pt idx="14">
                  <c:v>03/2017 </c:v>
                </c:pt>
                <c:pt idx="15">
                  <c:v>04/2017 </c:v>
                </c:pt>
                <c:pt idx="16">
                  <c:v>05/2017 </c:v>
                </c:pt>
                <c:pt idx="17">
                  <c:v>06/2017 </c:v>
                </c:pt>
                <c:pt idx="18">
                  <c:v>07/2017 </c:v>
                </c:pt>
                <c:pt idx="19">
                  <c:v>08/2017 </c:v>
                </c:pt>
                <c:pt idx="20">
                  <c:v>09/2017 </c:v>
                </c:pt>
                <c:pt idx="21">
                  <c:v>10/2017 </c:v>
                </c:pt>
                <c:pt idx="22">
                  <c:v>11/2017 </c:v>
                </c:pt>
                <c:pt idx="23">
                  <c:v>12/2017 </c:v>
                </c:pt>
                <c:pt idx="24">
                  <c:v>01/2018 </c:v>
                </c:pt>
                <c:pt idx="25">
                  <c:v>02/2018 </c:v>
                </c:pt>
                <c:pt idx="26">
                  <c:v>03/2018 </c:v>
                </c:pt>
                <c:pt idx="27">
                  <c:v>04/2018 </c:v>
                </c:pt>
                <c:pt idx="28">
                  <c:v>05/2018 </c:v>
                </c:pt>
                <c:pt idx="29">
                  <c:v>06/2018 </c:v>
                </c:pt>
                <c:pt idx="30">
                  <c:v>07/2018 </c:v>
                </c:pt>
                <c:pt idx="31">
                  <c:v>08/2018 </c:v>
                </c:pt>
                <c:pt idx="32">
                  <c:v>09/2018 </c:v>
                </c:pt>
                <c:pt idx="33">
                  <c:v>10/2018 </c:v>
                </c:pt>
                <c:pt idx="34">
                  <c:v>11/2018 </c:v>
                </c:pt>
                <c:pt idx="35">
                  <c:v>12/2018 </c:v>
                </c:pt>
                <c:pt idx="36">
                  <c:v>01/2019 </c:v>
                </c:pt>
                <c:pt idx="37">
                  <c:v>02/2019 </c:v>
                </c:pt>
                <c:pt idx="38">
                  <c:v>03/2019 </c:v>
                </c:pt>
                <c:pt idx="39">
                  <c:v>04/2019 </c:v>
                </c:pt>
                <c:pt idx="40">
                  <c:v>05/2019 </c:v>
                </c:pt>
                <c:pt idx="41">
                  <c:v>06/2019 </c:v>
                </c:pt>
                <c:pt idx="42">
                  <c:v>07/2019 </c:v>
                </c:pt>
                <c:pt idx="43">
                  <c:v>08/2019 </c:v>
                </c:pt>
                <c:pt idx="44">
                  <c:v>09/2019 </c:v>
                </c:pt>
                <c:pt idx="45">
                  <c:v>10/2019 </c:v>
                </c:pt>
                <c:pt idx="46">
                  <c:v>11/2019 </c:v>
                </c:pt>
                <c:pt idx="47">
                  <c:v>12/2019 </c:v>
                </c:pt>
                <c:pt idx="48">
                  <c:v>01/2020 </c:v>
                </c:pt>
                <c:pt idx="49">
                  <c:v>02/2020 </c:v>
                </c:pt>
              </c:strCache>
            </c:strRef>
          </c:cat>
          <c:val>
            <c:numRef>
              <c:f>Balances!$B$5:$AY$5</c:f>
              <c:numCache>
                <c:formatCode>General</c:formatCode>
                <c:ptCount val="50"/>
                <c:pt idx="0">
                  <c:v>211</c:v>
                </c:pt>
                <c:pt idx="1">
                  <c:v>162</c:v>
                </c:pt>
                <c:pt idx="2">
                  <c:v>236</c:v>
                </c:pt>
                <c:pt idx="3">
                  <c:v>268</c:v>
                </c:pt>
                <c:pt idx="4">
                  <c:v>239</c:v>
                </c:pt>
                <c:pt idx="5">
                  <c:v>288</c:v>
                </c:pt>
                <c:pt idx="6">
                  <c:v>193</c:v>
                </c:pt>
                <c:pt idx="7">
                  <c:v>337</c:v>
                </c:pt>
                <c:pt idx="8">
                  <c:v>286</c:v>
                </c:pt>
                <c:pt idx="9">
                  <c:v>287</c:v>
                </c:pt>
                <c:pt idx="10">
                  <c:v>351</c:v>
                </c:pt>
                <c:pt idx="11">
                  <c:v>336</c:v>
                </c:pt>
                <c:pt idx="12">
                  <c:v>241</c:v>
                </c:pt>
                <c:pt idx="13">
                  <c:v>152</c:v>
                </c:pt>
                <c:pt idx="14">
                  <c:v>328</c:v>
                </c:pt>
                <c:pt idx="15">
                  <c:v>288</c:v>
                </c:pt>
                <c:pt idx="16">
                  <c:v>320</c:v>
                </c:pt>
                <c:pt idx="17">
                  <c:v>327</c:v>
                </c:pt>
                <c:pt idx="18">
                  <c:v>300</c:v>
                </c:pt>
                <c:pt idx="19">
                  <c:v>316</c:v>
                </c:pt>
                <c:pt idx="20">
                  <c:v>266</c:v>
                </c:pt>
                <c:pt idx="21">
                  <c:v>244</c:v>
                </c:pt>
                <c:pt idx="22">
                  <c:v>288</c:v>
                </c:pt>
                <c:pt idx="23">
                  <c:v>258</c:v>
                </c:pt>
                <c:pt idx="24">
                  <c:v>169</c:v>
                </c:pt>
                <c:pt idx="25">
                  <c:v>103</c:v>
                </c:pt>
                <c:pt idx="26">
                  <c:v>143</c:v>
                </c:pt>
                <c:pt idx="27">
                  <c:v>161</c:v>
                </c:pt>
                <c:pt idx="28">
                  <c:v>217</c:v>
                </c:pt>
                <c:pt idx="29">
                  <c:v>198</c:v>
                </c:pt>
                <c:pt idx="30">
                  <c:v>167</c:v>
                </c:pt>
                <c:pt idx="31">
                  <c:v>197</c:v>
                </c:pt>
                <c:pt idx="32">
                  <c:v>200</c:v>
                </c:pt>
                <c:pt idx="33">
                  <c:v>227</c:v>
                </c:pt>
                <c:pt idx="34">
                  <c:v>228</c:v>
                </c:pt>
                <c:pt idx="35">
                  <c:v>207</c:v>
                </c:pt>
                <c:pt idx="36">
                  <c:v>168</c:v>
                </c:pt>
                <c:pt idx="37">
                  <c:v>89</c:v>
                </c:pt>
                <c:pt idx="38">
                  <c:v>198</c:v>
                </c:pt>
                <c:pt idx="39">
                  <c:v>219</c:v>
                </c:pt>
                <c:pt idx="40">
                  <c:v>258</c:v>
                </c:pt>
                <c:pt idx="41">
                  <c:v>213</c:v>
                </c:pt>
                <c:pt idx="42">
                  <c:v>208</c:v>
                </c:pt>
                <c:pt idx="43">
                  <c:v>219</c:v>
                </c:pt>
                <c:pt idx="44">
                  <c:v>228</c:v>
                </c:pt>
                <c:pt idx="45">
                  <c:v>271</c:v>
                </c:pt>
                <c:pt idx="46">
                  <c:v>262</c:v>
                </c:pt>
                <c:pt idx="47">
                  <c:v>257</c:v>
                </c:pt>
                <c:pt idx="48">
                  <c:v>99</c:v>
                </c:pt>
                <c:pt idx="49">
                  <c:v>99</c:v>
                </c:pt>
              </c:numCache>
            </c:numRef>
          </c:val>
          <c:smooth val="0"/>
          <c:extLst>
            <c:ext xmlns:c16="http://schemas.microsoft.com/office/drawing/2014/chart" uri="{C3380CC4-5D6E-409C-BE32-E72D297353CC}">
              <c16:uniqueId val="{00000000-A1BD-48A7-9B90-650A6C487A1F}"/>
            </c:ext>
          </c:extLst>
        </c:ser>
        <c:ser>
          <c:idx val="1"/>
          <c:order val="1"/>
          <c:tx>
            <c:strRef>
              <c:f>Balances!$A$6</c:f>
              <c:strCache>
                <c:ptCount val="1"/>
                <c:pt idx="0">
                  <c:v>Ch Imports</c:v>
                </c:pt>
              </c:strCache>
            </c:strRef>
          </c:tx>
          <c:spPr>
            <a:ln w="38100" cap="rnd">
              <a:solidFill>
                <a:schemeClr val="accent4">
                  <a:tint val="77000"/>
                </a:schemeClr>
              </a:solidFill>
              <a:round/>
            </a:ln>
            <a:effectLst/>
          </c:spPr>
          <c:marker>
            <c:symbol val="none"/>
          </c:marker>
          <c:dLbls>
            <c:delete val="1"/>
          </c:dLbls>
          <c:cat>
            <c:strRef>
              <c:f>Balances!$B$3:$AY$4</c:f>
              <c:strCache>
                <c:ptCount val="50"/>
                <c:pt idx="0">
                  <c:v>01/2016 </c:v>
                </c:pt>
                <c:pt idx="1">
                  <c:v>02/2016 </c:v>
                </c:pt>
                <c:pt idx="2">
                  <c:v>03/2016 </c:v>
                </c:pt>
                <c:pt idx="3">
                  <c:v>04/2016 </c:v>
                </c:pt>
                <c:pt idx="4">
                  <c:v>05/2016 </c:v>
                </c:pt>
                <c:pt idx="5">
                  <c:v>06/2016 </c:v>
                </c:pt>
                <c:pt idx="6">
                  <c:v>07/2016 </c:v>
                </c:pt>
                <c:pt idx="7">
                  <c:v>08/2016 </c:v>
                </c:pt>
                <c:pt idx="8">
                  <c:v>09/2016 </c:v>
                </c:pt>
                <c:pt idx="9">
                  <c:v>10/2016 </c:v>
                </c:pt>
                <c:pt idx="10">
                  <c:v>11/2016 </c:v>
                </c:pt>
                <c:pt idx="11">
                  <c:v>12/2016 </c:v>
                </c:pt>
                <c:pt idx="12">
                  <c:v>01/2017 </c:v>
                </c:pt>
                <c:pt idx="13">
                  <c:v>02/2017 </c:v>
                </c:pt>
                <c:pt idx="14">
                  <c:v>03/2017 </c:v>
                </c:pt>
                <c:pt idx="15">
                  <c:v>04/2017 </c:v>
                </c:pt>
                <c:pt idx="16">
                  <c:v>05/2017 </c:v>
                </c:pt>
                <c:pt idx="17">
                  <c:v>06/2017 </c:v>
                </c:pt>
                <c:pt idx="18">
                  <c:v>07/2017 </c:v>
                </c:pt>
                <c:pt idx="19">
                  <c:v>08/2017 </c:v>
                </c:pt>
                <c:pt idx="20">
                  <c:v>09/2017 </c:v>
                </c:pt>
                <c:pt idx="21">
                  <c:v>10/2017 </c:v>
                </c:pt>
                <c:pt idx="22">
                  <c:v>11/2017 </c:v>
                </c:pt>
                <c:pt idx="23">
                  <c:v>12/2017 </c:v>
                </c:pt>
                <c:pt idx="24">
                  <c:v>01/2018 </c:v>
                </c:pt>
                <c:pt idx="25">
                  <c:v>02/2018 </c:v>
                </c:pt>
                <c:pt idx="26">
                  <c:v>03/2018 </c:v>
                </c:pt>
                <c:pt idx="27">
                  <c:v>04/2018 </c:v>
                </c:pt>
                <c:pt idx="28">
                  <c:v>05/2018 </c:v>
                </c:pt>
                <c:pt idx="29">
                  <c:v>06/2018 </c:v>
                </c:pt>
                <c:pt idx="30">
                  <c:v>07/2018 </c:v>
                </c:pt>
                <c:pt idx="31">
                  <c:v>08/2018 </c:v>
                </c:pt>
                <c:pt idx="32">
                  <c:v>09/2018 </c:v>
                </c:pt>
                <c:pt idx="33">
                  <c:v>10/2018 </c:v>
                </c:pt>
                <c:pt idx="34">
                  <c:v>11/2018 </c:v>
                </c:pt>
                <c:pt idx="35">
                  <c:v>12/2018 </c:v>
                </c:pt>
                <c:pt idx="36">
                  <c:v>01/2019 </c:v>
                </c:pt>
                <c:pt idx="37">
                  <c:v>02/2019 </c:v>
                </c:pt>
                <c:pt idx="38">
                  <c:v>03/2019 </c:v>
                </c:pt>
                <c:pt idx="39">
                  <c:v>04/2019 </c:v>
                </c:pt>
                <c:pt idx="40">
                  <c:v>05/2019 </c:v>
                </c:pt>
                <c:pt idx="41">
                  <c:v>06/2019 </c:v>
                </c:pt>
                <c:pt idx="42">
                  <c:v>07/2019 </c:v>
                </c:pt>
                <c:pt idx="43">
                  <c:v>08/2019 </c:v>
                </c:pt>
                <c:pt idx="44">
                  <c:v>09/2019 </c:v>
                </c:pt>
                <c:pt idx="45">
                  <c:v>10/2019 </c:v>
                </c:pt>
                <c:pt idx="46">
                  <c:v>11/2019 </c:v>
                </c:pt>
                <c:pt idx="47">
                  <c:v>12/2019 </c:v>
                </c:pt>
                <c:pt idx="48">
                  <c:v>01/2020 </c:v>
                </c:pt>
                <c:pt idx="49">
                  <c:v>02/2020 </c:v>
                </c:pt>
              </c:strCache>
            </c:strRef>
          </c:cat>
          <c:val>
            <c:numRef>
              <c:f>Balances!$B$6:$AY$6</c:f>
              <c:numCache>
                <c:formatCode>General</c:formatCode>
                <c:ptCount val="50"/>
                <c:pt idx="0">
                  <c:v>178</c:v>
                </c:pt>
                <c:pt idx="1">
                  <c:v>162</c:v>
                </c:pt>
                <c:pt idx="2">
                  <c:v>229</c:v>
                </c:pt>
                <c:pt idx="3">
                  <c:v>161</c:v>
                </c:pt>
                <c:pt idx="4">
                  <c:v>176</c:v>
                </c:pt>
                <c:pt idx="5">
                  <c:v>211</c:v>
                </c:pt>
                <c:pt idx="6">
                  <c:v>227</c:v>
                </c:pt>
                <c:pt idx="7">
                  <c:v>286</c:v>
                </c:pt>
                <c:pt idx="8">
                  <c:v>228</c:v>
                </c:pt>
                <c:pt idx="9">
                  <c:v>230</c:v>
                </c:pt>
                <c:pt idx="10">
                  <c:v>256</c:v>
                </c:pt>
                <c:pt idx="11">
                  <c:v>291</c:v>
                </c:pt>
                <c:pt idx="12">
                  <c:v>201</c:v>
                </c:pt>
                <c:pt idx="13">
                  <c:v>173</c:v>
                </c:pt>
                <c:pt idx="14">
                  <c:v>109</c:v>
                </c:pt>
                <c:pt idx="15">
                  <c:v>93</c:v>
                </c:pt>
                <c:pt idx="16">
                  <c:v>116</c:v>
                </c:pt>
                <c:pt idx="17">
                  <c:v>152</c:v>
                </c:pt>
                <c:pt idx="18">
                  <c:v>150</c:v>
                </c:pt>
                <c:pt idx="19">
                  <c:v>283</c:v>
                </c:pt>
                <c:pt idx="20">
                  <c:v>137</c:v>
                </c:pt>
                <c:pt idx="21">
                  <c:v>85</c:v>
                </c:pt>
                <c:pt idx="22">
                  <c:v>100</c:v>
                </c:pt>
                <c:pt idx="23">
                  <c:v>51</c:v>
                </c:pt>
                <c:pt idx="24">
                  <c:v>36</c:v>
                </c:pt>
                <c:pt idx="25">
                  <c:v>9</c:v>
                </c:pt>
                <c:pt idx="26">
                  <c:v>12</c:v>
                </c:pt>
                <c:pt idx="27">
                  <c:v>11</c:v>
                </c:pt>
                <c:pt idx="28">
                  <c:v>13</c:v>
                </c:pt>
                <c:pt idx="29">
                  <c:v>10</c:v>
                </c:pt>
                <c:pt idx="30">
                  <c:v>14</c:v>
                </c:pt>
                <c:pt idx="31">
                  <c:v>15</c:v>
                </c:pt>
                <c:pt idx="32">
                  <c:v>17</c:v>
                </c:pt>
                <c:pt idx="33">
                  <c:v>17</c:v>
                </c:pt>
                <c:pt idx="34">
                  <c:v>19</c:v>
                </c:pt>
                <c:pt idx="35">
                  <c:v>20</c:v>
                </c:pt>
                <c:pt idx="36">
                  <c:v>20</c:v>
                </c:pt>
                <c:pt idx="37">
                  <c:v>18</c:v>
                </c:pt>
                <c:pt idx="38">
                  <c:v>17</c:v>
                </c:pt>
                <c:pt idx="39">
                  <c:v>23</c:v>
                </c:pt>
                <c:pt idx="40">
                  <c:v>17</c:v>
                </c:pt>
                <c:pt idx="41">
                  <c:v>14</c:v>
                </c:pt>
                <c:pt idx="42">
                  <c:v>16</c:v>
                </c:pt>
                <c:pt idx="43">
                  <c:v>17</c:v>
                </c:pt>
                <c:pt idx="44">
                  <c:v>16</c:v>
                </c:pt>
                <c:pt idx="45">
                  <c:v>17</c:v>
                </c:pt>
                <c:pt idx="46">
                  <c:v>18</c:v>
                </c:pt>
                <c:pt idx="47">
                  <c:v>23</c:v>
                </c:pt>
                <c:pt idx="48">
                  <c:v>5</c:v>
                </c:pt>
                <c:pt idx="49">
                  <c:v>5</c:v>
                </c:pt>
              </c:numCache>
            </c:numRef>
          </c:val>
          <c:smooth val="0"/>
          <c:extLst>
            <c:ext xmlns:c16="http://schemas.microsoft.com/office/drawing/2014/chart" uri="{C3380CC4-5D6E-409C-BE32-E72D297353CC}">
              <c16:uniqueId val="{00000001-A1BD-48A7-9B90-650A6C487A1F}"/>
            </c:ext>
          </c:extLst>
        </c:ser>
        <c:dLbls>
          <c:dLblPos val="ctr"/>
          <c:showLegendKey val="0"/>
          <c:showVal val="1"/>
          <c:showCatName val="0"/>
          <c:showSerName val="0"/>
          <c:showPercent val="0"/>
          <c:showBubbleSize val="0"/>
        </c:dLbls>
        <c:smooth val="0"/>
        <c:axId val="344597648"/>
        <c:axId val="344599288"/>
      </c:lineChart>
      <c:catAx>
        <c:axId val="34459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344599288"/>
        <c:crosses val="autoZero"/>
        <c:auto val="1"/>
        <c:lblAlgn val="ctr"/>
        <c:lblOffset val="100"/>
        <c:tickLblSkip val="12"/>
        <c:noMultiLvlLbl val="1"/>
      </c:catAx>
      <c:valAx>
        <c:axId val="344599288"/>
        <c:scaling>
          <c:orientation val="minMax"/>
          <c:max val="4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597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Chinese Imports from North Korea</a:t>
            </a:r>
          </a:p>
          <a:p>
            <a:pPr>
              <a:defRPr/>
            </a:pPr>
            <a:r>
              <a:rPr lang="en-US" sz="1000" b="1"/>
              <a:t>million US dollars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66875668319238"/>
          <c:y val="0.13539910067351307"/>
          <c:w val="0.71392971711869346"/>
          <c:h val="0.57941111787460486"/>
        </c:manualLayout>
      </c:layout>
      <c:barChart>
        <c:barDir val="col"/>
        <c:grouping val="stacked"/>
        <c:varyColors val="0"/>
        <c:ser>
          <c:idx val="0"/>
          <c:order val="0"/>
          <c:tx>
            <c:strRef>
              <c:f>Sheet1!$O$5</c:f>
              <c:strCache>
                <c:ptCount val="1"/>
                <c:pt idx="0">
                  <c:v>Iron And Steel</c:v>
                </c:pt>
              </c:strCache>
            </c:strRef>
          </c:tx>
          <c:spPr>
            <a:solidFill>
              <a:schemeClr val="accent1"/>
            </a:solidFill>
            <a:ln>
              <a:noFill/>
            </a:ln>
            <a:effectLst/>
          </c:spPr>
          <c:invertIfNegative val="0"/>
          <c:cat>
            <c:strRef>
              <c:f>Sheet1!$P$4:$R$4</c:f>
              <c:strCache>
                <c:ptCount val="3"/>
                <c:pt idx="0">
                  <c:v>Jan-Feb 2016</c:v>
                </c:pt>
                <c:pt idx="1">
                  <c:v>Jan-Feb 2019</c:v>
                </c:pt>
                <c:pt idx="2">
                  <c:v>Jan-Feb 2020</c:v>
                </c:pt>
              </c:strCache>
            </c:strRef>
          </c:cat>
          <c:val>
            <c:numRef>
              <c:f>Sheet1!$P$5:$R$5</c:f>
              <c:numCache>
                <c:formatCode>General</c:formatCode>
                <c:ptCount val="3"/>
                <c:pt idx="0">
                  <c:v>5</c:v>
                </c:pt>
                <c:pt idx="1">
                  <c:v>5</c:v>
                </c:pt>
                <c:pt idx="2">
                  <c:v>2</c:v>
                </c:pt>
              </c:numCache>
            </c:numRef>
          </c:val>
          <c:extLst>
            <c:ext xmlns:c16="http://schemas.microsoft.com/office/drawing/2014/chart" uri="{C3380CC4-5D6E-409C-BE32-E72D297353CC}">
              <c16:uniqueId val="{00000000-BC71-440F-B9AD-52A5E419564A}"/>
            </c:ext>
          </c:extLst>
        </c:ser>
        <c:ser>
          <c:idx val="1"/>
          <c:order val="1"/>
          <c:tx>
            <c:strRef>
              <c:f>Sheet1!$O$6</c:f>
              <c:strCache>
                <c:ptCount val="1"/>
                <c:pt idx="0">
                  <c:v>Wigs Etc.</c:v>
                </c:pt>
              </c:strCache>
            </c:strRef>
          </c:tx>
          <c:spPr>
            <a:solidFill>
              <a:schemeClr val="accent2"/>
            </a:solidFill>
            <a:ln>
              <a:noFill/>
            </a:ln>
            <a:effectLst/>
          </c:spPr>
          <c:invertIfNegative val="0"/>
          <c:cat>
            <c:strRef>
              <c:f>Sheet1!$P$4:$R$4</c:f>
              <c:strCache>
                <c:ptCount val="3"/>
                <c:pt idx="0">
                  <c:v>Jan-Feb 2016</c:v>
                </c:pt>
                <c:pt idx="1">
                  <c:v>Jan-Feb 2019</c:v>
                </c:pt>
                <c:pt idx="2">
                  <c:v>Jan-Feb 2020</c:v>
                </c:pt>
              </c:strCache>
            </c:strRef>
          </c:cat>
          <c:val>
            <c:numRef>
              <c:f>Sheet1!$P$6:$R$6</c:f>
              <c:numCache>
                <c:formatCode>General</c:formatCode>
                <c:ptCount val="3"/>
                <c:pt idx="0">
                  <c:v>0</c:v>
                </c:pt>
                <c:pt idx="1">
                  <c:v>6</c:v>
                </c:pt>
                <c:pt idx="2">
                  <c:v>2</c:v>
                </c:pt>
              </c:numCache>
            </c:numRef>
          </c:val>
          <c:extLst>
            <c:ext xmlns:c16="http://schemas.microsoft.com/office/drawing/2014/chart" uri="{C3380CC4-5D6E-409C-BE32-E72D297353CC}">
              <c16:uniqueId val="{00000001-BC71-440F-B9AD-52A5E419564A}"/>
            </c:ext>
          </c:extLst>
        </c:ser>
        <c:ser>
          <c:idx val="2"/>
          <c:order val="2"/>
          <c:tx>
            <c:strRef>
              <c:f>Sheet1!$O$7</c:f>
              <c:strCache>
                <c:ptCount val="1"/>
                <c:pt idx="0">
                  <c:v>Ores</c:v>
                </c:pt>
              </c:strCache>
            </c:strRef>
          </c:tx>
          <c:spPr>
            <a:solidFill>
              <a:schemeClr val="accent3"/>
            </a:solidFill>
            <a:ln>
              <a:noFill/>
            </a:ln>
            <a:effectLst/>
          </c:spPr>
          <c:invertIfNegative val="0"/>
          <c:cat>
            <c:strRef>
              <c:f>Sheet1!$P$4:$R$4</c:f>
              <c:strCache>
                <c:ptCount val="3"/>
                <c:pt idx="0">
                  <c:v>Jan-Feb 2016</c:v>
                </c:pt>
                <c:pt idx="1">
                  <c:v>Jan-Feb 2019</c:v>
                </c:pt>
                <c:pt idx="2">
                  <c:v>Jan-Feb 2020</c:v>
                </c:pt>
              </c:strCache>
            </c:strRef>
          </c:cat>
          <c:val>
            <c:numRef>
              <c:f>Sheet1!$P$7:$R$7</c:f>
              <c:numCache>
                <c:formatCode>General</c:formatCode>
                <c:ptCount val="3"/>
                <c:pt idx="0">
                  <c:v>20</c:v>
                </c:pt>
                <c:pt idx="1">
                  <c:v>2</c:v>
                </c:pt>
                <c:pt idx="2">
                  <c:v>2</c:v>
                </c:pt>
              </c:numCache>
            </c:numRef>
          </c:val>
          <c:extLst>
            <c:ext xmlns:c16="http://schemas.microsoft.com/office/drawing/2014/chart" uri="{C3380CC4-5D6E-409C-BE32-E72D297353CC}">
              <c16:uniqueId val="{00000002-BC71-440F-B9AD-52A5E419564A}"/>
            </c:ext>
          </c:extLst>
        </c:ser>
        <c:ser>
          <c:idx val="3"/>
          <c:order val="3"/>
          <c:tx>
            <c:strRef>
              <c:f>Sheet1!$O$8</c:f>
              <c:strCache>
                <c:ptCount val="1"/>
                <c:pt idx="0">
                  <c:v>Watches</c:v>
                </c:pt>
              </c:strCache>
            </c:strRef>
          </c:tx>
          <c:spPr>
            <a:solidFill>
              <a:schemeClr val="accent4"/>
            </a:solidFill>
            <a:ln>
              <a:noFill/>
            </a:ln>
            <a:effectLst/>
          </c:spPr>
          <c:invertIfNegative val="0"/>
          <c:cat>
            <c:strRef>
              <c:f>Sheet1!$P$4:$R$4</c:f>
              <c:strCache>
                <c:ptCount val="3"/>
                <c:pt idx="0">
                  <c:v>Jan-Feb 2016</c:v>
                </c:pt>
                <c:pt idx="1">
                  <c:v>Jan-Feb 2019</c:v>
                </c:pt>
                <c:pt idx="2">
                  <c:v>Jan-Feb 2020</c:v>
                </c:pt>
              </c:strCache>
            </c:strRef>
          </c:cat>
          <c:val>
            <c:numRef>
              <c:f>Sheet1!$P$8:$R$8</c:f>
              <c:numCache>
                <c:formatCode>General</c:formatCode>
                <c:ptCount val="3"/>
                <c:pt idx="0">
                  <c:v>0</c:v>
                </c:pt>
                <c:pt idx="1">
                  <c:v>14</c:v>
                </c:pt>
                <c:pt idx="2">
                  <c:v>0</c:v>
                </c:pt>
              </c:numCache>
            </c:numRef>
          </c:val>
          <c:extLst>
            <c:ext xmlns:c16="http://schemas.microsoft.com/office/drawing/2014/chart" uri="{C3380CC4-5D6E-409C-BE32-E72D297353CC}">
              <c16:uniqueId val="{00000003-BC71-440F-B9AD-52A5E419564A}"/>
            </c:ext>
          </c:extLst>
        </c:ser>
        <c:ser>
          <c:idx val="4"/>
          <c:order val="4"/>
          <c:tx>
            <c:strRef>
              <c:f>Sheet1!$O$9</c:f>
              <c:strCache>
                <c:ptCount val="1"/>
                <c:pt idx="0">
                  <c:v>Coal</c:v>
                </c:pt>
              </c:strCache>
            </c:strRef>
          </c:tx>
          <c:spPr>
            <a:solidFill>
              <a:schemeClr val="accent5"/>
            </a:solidFill>
            <a:ln>
              <a:noFill/>
            </a:ln>
            <a:effectLst/>
          </c:spPr>
          <c:invertIfNegative val="0"/>
          <c:cat>
            <c:strRef>
              <c:f>Sheet1!$P$4:$R$4</c:f>
              <c:strCache>
                <c:ptCount val="3"/>
                <c:pt idx="0">
                  <c:v>Jan-Feb 2016</c:v>
                </c:pt>
                <c:pt idx="1">
                  <c:v>Jan-Feb 2019</c:v>
                </c:pt>
                <c:pt idx="2">
                  <c:v>Jan-Feb 2020</c:v>
                </c:pt>
              </c:strCache>
            </c:strRef>
          </c:cat>
          <c:val>
            <c:numRef>
              <c:f>Sheet1!$P$9:$R$9</c:f>
              <c:numCache>
                <c:formatCode>General</c:formatCode>
                <c:ptCount val="3"/>
                <c:pt idx="0">
                  <c:v>146</c:v>
                </c:pt>
                <c:pt idx="1">
                  <c:v>2</c:v>
                </c:pt>
                <c:pt idx="2">
                  <c:v>0</c:v>
                </c:pt>
              </c:numCache>
            </c:numRef>
          </c:val>
          <c:extLst>
            <c:ext xmlns:c16="http://schemas.microsoft.com/office/drawing/2014/chart" uri="{C3380CC4-5D6E-409C-BE32-E72D297353CC}">
              <c16:uniqueId val="{00000004-BC71-440F-B9AD-52A5E419564A}"/>
            </c:ext>
          </c:extLst>
        </c:ser>
        <c:ser>
          <c:idx val="5"/>
          <c:order val="5"/>
          <c:tx>
            <c:strRef>
              <c:f>Sheet1!$O$10</c:f>
              <c:strCache>
                <c:ptCount val="1"/>
                <c:pt idx="0">
                  <c:v>Textiles</c:v>
                </c:pt>
              </c:strCache>
            </c:strRef>
          </c:tx>
          <c:spPr>
            <a:solidFill>
              <a:schemeClr val="accent6"/>
            </a:solidFill>
            <a:ln>
              <a:noFill/>
            </a:ln>
            <a:effectLst/>
          </c:spPr>
          <c:invertIfNegative val="0"/>
          <c:cat>
            <c:strRef>
              <c:f>Sheet1!$P$4:$R$4</c:f>
              <c:strCache>
                <c:ptCount val="3"/>
                <c:pt idx="0">
                  <c:v>Jan-Feb 2016</c:v>
                </c:pt>
                <c:pt idx="1">
                  <c:v>Jan-Feb 2019</c:v>
                </c:pt>
                <c:pt idx="2">
                  <c:v>Jan-Feb 2020</c:v>
                </c:pt>
              </c:strCache>
            </c:strRef>
          </c:cat>
          <c:val>
            <c:numRef>
              <c:f>Sheet1!$P$10:$R$10</c:f>
              <c:numCache>
                <c:formatCode>General</c:formatCode>
                <c:ptCount val="3"/>
                <c:pt idx="0">
                  <c:v>126</c:v>
                </c:pt>
                <c:pt idx="1">
                  <c:v>0</c:v>
                </c:pt>
                <c:pt idx="2">
                  <c:v>0</c:v>
                </c:pt>
              </c:numCache>
            </c:numRef>
          </c:val>
          <c:extLst>
            <c:ext xmlns:c16="http://schemas.microsoft.com/office/drawing/2014/chart" uri="{C3380CC4-5D6E-409C-BE32-E72D297353CC}">
              <c16:uniqueId val="{00000005-BC71-440F-B9AD-52A5E419564A}"/>
            </c:ext>
          </c:extLst>
        </c:ser>
        <c:ser>
          <c:idx val="6"/>
          <c:order val="6"/>
          <c:tx>
            <c:strRef>
              <c:f>Sheet1!$O$11</c:f>
              <c:strCache>
                <c:ptCount val="1"/>
                <c:pt idx="0">
                  <c:v>Other</c:v>
                </c:pt>
              </c:strCache>
            </c:strRef>
          </c:tx>
          <c:spPr>
            <a:solidFill>
              <a:schemeClr val="accent1">
                <a:lumMod val="60000"/>
              </a:schemeClr>
            </a:solidFill>
            <a:ln>
              <a:noFill/>
            </a:ln>
            <a:effectLst/>
          </c:spPr>
          <c:invertIfNegative val="0"/>
          <c:cat>
            <c:strRef>
              <c:f>Sheet1!$P$4:$R$4</c:f>
              <c:strCache>
                <c:ptCount val="3"/>
                <c:pt idx="0">
                  <c:v>Jan-Feb 2016</c:v>
                </c:pt>
                <c:pt idx="1">
                  <c:v>Jan-Feb 2019</c:v>
                </c:pt>
                <c:pt idx="2">
                  <c:v>Jan-Feb 2020</c:v>
                </c:pt>
              </c:strCache>
            </c:strRef>
          </c:cat>
          <c:val>
            <c:numRef>
              <c:f>Sheet1!$P$11:$R$11</c:f>
              <c:numCache>
                <c:formatCode>General</c:formatCode>
                <c:ptCount val="3"/>
                <c:pt idx="0">
                  <c:v>43</c:v>
                </c:pt>
                <c:pt idx="1">
                  <c:v>9</c:v>
                </c:pt>
                <c:pt idx="2">
                  <c:v>4</c:v>
                </c:pt>
              </c:numCache>
            </c:numRef>
          </c:val>
          <c:extLst>
            <c:ext xmlns:c16="http://schemas.microsoft.com/office/drawing/2014/chart" uri="{C3380CC4-5D6E-409C-BE32-E72D297353CC}">
              <c16:uniqueId val="{00000006-BC71-440F-B9AD-52A5E419564A}"/>
            </c:ext>
          </c:extLst>
        </c:ser>
        <c:dLbls>
          <c:showLegendKey val="0"/>
          <c:showVal val="0"/>
          <c:showCatName val="0"/>
          <c:showSerName val="0"/>
          <c:showPercent val="0"/>
          <c:showBubbleSize val="0"/>
        </c:dLbls>
        <c:gapWidth val="150"/>
        <c:overlap val="100"/>
        <c:axId val="543859080"/>
        <c:axId val="823328336"/>
      </c:barChart>
      <c:catAx>
        <c:axId val="543859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328336"/>
        <c:crosses val="autoZero"/>
        <c:auto val="1"/>
        <c:lblAlgn val="ctr"/>
        <c:lblOffset val="100"/>
        <c:noMultiLvlLbl val="0"/>
      </c:catAx>
      <c:valAx>
        <c:axId val="82332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859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Chinese  Exports to North Korea</a:t>
            </a:r>
          </a:p>
          <a:p>
            <a:pPr>
              <a:defRPr/>
            </a:pPr>
            <a:r>
              <a:rPr lang="en-US" sz="1000"/>
              <a:t>million US dollars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Sheet1!$C$50</c:f>
              <c:strCache>
                <c:ptCount val="1"/>
                <c:pt idx="0">
                  <c:v>Plastics</c:v>
                </c:pt>
              </c:strCache>
            </c:strRef>
          </c:tx>
          <c:spPr>
            <a:solidFill>
              <a:schemeClr val="accent1"/>
            </a:solidFill>
            <a:ln>
              <a:noFill/>
            </a:ln>
            <a:effectLst/>
          </c:spPr>
          <c:invertIfNegative val="0"/>
          <c:cat>
            <c:strRef>
              <c:f>Sheet1!$D$48:$F$48</c:f>
              <c:strCache>
                <c:ptCount val="3"/>
                <c:pt idx="0">
                  <c:v>Jan-Feb 2016</c:v>
                </c:pt>
                <c:pt idx="1">
                  <c:v>Jan-Feb 2019</c:v>
                </c:pt>
                <c:pt idx="2">
                  <c:v>Jan-Feb 2020</c:v>
                </c:pt>
              </c:strCache>
            </c:strRef>
          </c:cat>
          <c:val>
            <c:numRef>
              <c:f>Sheet1!$D$50:$F$50</c:f>
              <c:numCache>
                <c:formatCode>General</c:formatCode>
                <c:ptCount val="3"/>
                <c:pt idx="0">
                  <c:v>18</c:v>
                </c:pt>
                <c:pt idx="1">
                  <c:v>22</c:v>
                </c:pt>
                <c:pt idx="2">
                  <c:v>16</c:v>
                </c:pt>
              </c:numCache>
            </c:numRef>
          </c:val>
          <c:extLst>
            <c:ext xmlns:c16="http://schemas.microsoft.com/office/drawing/2014/chart" uri="{C3380CC4-5D6E-409C-BE32-E72D297353CC}">
              <c16:uniqueId val="{00000000-75C7-4435-9D15-967C255D62A7}"/>
            </c:ext>
          </c:extLst>
        </c:ser>
        <c:ser>
          <c:idx val="1"/>
          <c:order val="1"/>
          <c:tx>
            <c:strRef>
              <c:f>Sheet1!$C$51</c:f>
              <c:strCache>
                <c:ptCount val="1"/>
                <c:pt idx="0">
                  <c:v>Textiles</c:v>
                </c:pt>
              </c:strCache>
            </c:strRef>
          </c:tx>
          <c:spPr>
            <a:solidFill>
              <a:schemeClr val="accent2"/>
            </a:solidFill>
            <a:ln>
              <a:noFill/>
            </a:ln>
            <a:effectLst/>
          </c:spPr>
          <c:invertIfNegative val="0"/>
          <c:cat>
            <c:strRef>
              <c:f>Sheet1!$D$48:$F$48</c:f>
              <c:strCache>
                <c:ptCount val="3"/>
                <c:pt idx="0">
                  <c:v>Jan-Feb 2016</c:v>
                </c:pt>
                <c:pt idx="1">
                  <c:v>Jan-Feb 2019</c:v>
                </c:pt>
                <c:pt idx="2">
                  <c:v>Jan-Feb 2020</c:v>
                </c:pt>
              </c:strCache>
            </c:strRef>
          </c:cat>
          <c:val>
            <c:numRef>
              <c:f>Sheet1!$D$51:$F$51</c:f>
              <c:numCache>
                <c:formatCode>General</c:formatCode>
                <c:ptCount val="3"/>
                <c:pt idx="0">
                  <c:v>68</c:v>
                </c:pt>
                <c:pt idx="1">
                  <c:v>44</c:v>
                </c:pt>
                <c:pt idx="2">
                  <c:v>14</c:v>
                </c:pt>
              </c:numCache>
            </c:numRef>
          </c:val>
          <c:extLst>
            <c:ext xmlns:c16="http://schemas.microsoft.com/office/drawing/2014/chart" uri="{C3380CC4-5D6E-409C-BE32-E72D297353CC}">
              <c16:uniqueId val="{00000001-75C7-4435-9D15-967C255D62A7}"/>
            </c:ext>
          </c:extLst>
        </c:ser>
        <c:ser>
          <c:idx val="2"/>
          <c:order val="2"/>
          <c:tx>
            <c:strRef>
              <c:f>Sheet1!$C$52</c:f>
              <c:strCache>
                <c:ptCount val="1"/>
                <c:pt idx="0">
                  <c:v>Tobacco</c:v>
                </c:pt>
              </c:strCache>
            </c:strRef>
          </c:tx>
          <c:spPr>
            <a:solidFill>
              <a:schemeClr val="accent3"/>
            </a:solidFill>
            <a:ln>
              <a:noFill/>
            </a:ln>
            <a:effectLst/>
          </c:spPr>
          <c:invertIfNegative val="0"/>
          <c:cat>
            <c:strRef>
              <c:f>Sheet1!$D$48:$F$48</c:f>
              <c:strCache>
                <c:ptCount val="3"/>
                <c:pt idx="0">
                  <c:v>Jan-Feb 2016</c:v>
                </c:pt>
                <c:pt idx="1">
                  <c:v>Jan-Feb 2019</c:v>
                </c:pt>
                <c:pt idx="2">
                  <c:v>Jan-Feb 2020</c:v>
                </c:pt>
              </c:strCache>
            </c:strRef>
          </c:cat>
          <c:val>
            <c:numRef>
              <c:f>Sheet1!$D$52:$F$52</c:f>
              <c:numCache>
                <c:formatCode>General</c:formatCode>
                <c:ptCount val="3"/>
                <c:pt idx="0">
                  <c:v>2</c:v>
                </c:pt>
                <c:pt idx="1">
                  <c:v>13</c:v>
                </c:pt>
                <c:pt idx="2">
                  <c:v>14</c:v>
                </c:pt>
              </c:numCache>
            </c:numRef>
          </c:val>
          <c:extLst>
            <c:ext xmlns:c16="http://schemas.microsoft.com/office/drawing/2014/chart" uri="{C3380CC4-5D6E-409C-BE32-E72D297353CC}">
              <c16:uniqueId val="{00000002-75C7-4435-9D15-967C255D62A7}"/>
            </c:ext>
          </c:extLst>
        </c:ser>
        <c:ser>
          <c:idx val="3"/>
          <c:order val="3"/>
          <c:tx>
            <c:strRef>
              <c:f>Sheet1!$C$53</c:f>
              <c:strCache>
                <c:ptCount val="1"/>
                <c:pt idx="0">
                  <c:v>Foodstuffs</c:v>
                </c:pt>
              </c:strCache>
            </c:strRef>
          </c:tx>
          <c:spPr>
            <a:solidFill>
              <a:schemeClr val="accent4"/>
            </a:solidFill>
            <a:ln>
              <a:noFill/>
            </a:ln>
            <a:effectLst/>
          </c:spPr>
          <c:invertIfNegative val="0"/>
          <c:cat>
            <c:strRef>
              <c:f>Sheet1!$D$48:$F$48</c:f>
              <c:strCache>
                <c:ptCount val="3"/>
                <c:pt idx="0">
                  <c:v>Jan-Feb 2016</c:v>
                </c:pt>
                <c:pt idx="1">
                  <c:v>Jan-Feb 2019</c:v>
                </c:pt>
                <c:pt idx="2">
                  <c:v>Jan-Feb 2020</c:v>
                </c:pt>
              </c:strCache>
            </c:strRef>
          </c:cat>
          <c:val>
            <c:numRef>
              <c:f>Sheet1!$D$53:$F$53</c:f>
              <c:numCache>
                <c:formatCode>General</c:formatCode>
                <c:ptCount val="3"/>
                <c:pt idx="0">
                  <c:v>61</c:v>
                </c:pt>
                <c:pt idx="1">
                  <c:v>35</c:v>
                </c:pt>
                <c:pt idx="2">
                  <c:v>26</c:v>
                </c:pt>
              </c:numCache>
            </c:numRef>
          </c:val>
          <c:extLst>
            <c:ext xmlns:c16="http://schemas.microsoft.com/office/drawing/2014/chart" uri="{C3380CC4-5D6E-409C-BE32-E72D297353CC}">
              <c16:uniqueId val="{00000003-75C7-4435-9D15-967C255D62A7}"/>
            </c:ext>
          </c:extLst>
        </c:ser>
        <c:ser>
          <c:idx val="4"/>
          <c:order val="4"/>
          <c:tx>
            <c:strRef>
              <c:f>Sheet1!$C$54</c:f>
              <c:strCache>
                <c:ptCount val="1"/>
                <c:pt idx="0">
                  <c:v>Watches</c:v>
                </c:pt>
              </c:strCache>
            </c:strRef>
          </c:tx>
          <c:spPr>
            <a:solidFill>
              <a:schemeClr val="accent5"/>
            </a:solidFill>
            <a:ln>
              <a:noFill/>
            </a:ln>
            <a:effectLst/>
          </c:spPr>
          <c:invertIfNegative val="0"/>
          <c:cat>
            <c:strRef>
              <c:f>Sheet1!$D$48:$F$48</c:f>
              <c:strCache>
                <c:ptCount val="3"/>
                <c:pt idx="0">
                  <c:v>Jan-Feb 2016</c:v>
                </c:pt>
                <c:pt idx="1">
                  <c:v>Jan-Feb 2019</c:v>
                </c:pt>
                <c:pt idx="2">
                  <c:v>Jan-Feb 2020</c:v>
                </c:pt>
              </c:strCache>
            </c:strRef>
          </c:cat>
          <c:val>
            <c:numRef>
              <c:f>Sheet1!$D$54:$F$54</c:f>
              <c:numCache>
                <c:formatCode>General</c:formatCode>
                <c:ptCount val="3"/>
                <c:pt idx="0">
                  <c:v>0</c:v>
                </c:pt>
                <c:pt idx="1">
                  <c:v>10</c:v>
                </c:pt>
                <c:pt idx="2">
                  <c:v>8</c:v>
                </c:pt>
              </c:numCache>
            </c:numRef>
          </c:val>
          <c:extLst>
            <c:ext xmlns:c16="http://schemas.microsoft.com/office/drawing/2014/chart" uri="{C3380CC4-5D6E-409C-BE32-E72D297353CC}">
              <c16:uniqueId val="{00000004-75C7-4435-9D15-967C255D62A7}"/>
            </c:ext>
          </c:extLst>
        </c:ser>
        <c:ser>
          <c:idx val="5"/>
          <c:order val="5"/>
          <c:tx>
            <c:strRef>
              <c:f>Sheet1!$C$55</c:f>
              <c:strCache>
                <c:ptCount val="1"/>
                <c:pt idx="0">
                  <c:v>Drugs</c:v>
                </c:pt>
              </c:strCache>
            </c:strRef>
          </c:tx>
          <c:spPr>
            <a:solidFill>
              <a:schemeClr val="accent6"/>
            </a:solidFill>
            <a:ln>
              <a:noFill/>
            </a:ln>
            <a:effectLst/>
          </c:spPr>
          <c:invertIfNegative val="0"/>
          <c:cat>
            <c:strRef>
              <c:f>Sheet1!$D$48:$F$48</c:f>
              <c:strCache>
                <c:ptCount val="3"/>
                <c:pt idx="0">
                  <c:v>Jan-Feb 2016</c:v>
                </c:pt>
                <c:pt idx="1">
                  <c:v>Jan-Feb 2019</c:v>
                </c:pt>
                <c:pt idx="2">
                  <c:v>Jan-Feb 2020</c:v>
                </c:pt>
              </c:strCache>
            </c:strRef>
          </c:cat>
          <c:val>
            <c:numRef>
              <c:f>Sheet1!$D$55:$F$55</c:f>
              <c:numCache>
                <c:formatCode>General</c:formatCode>
                <c:ptCount val="3"/>
                <c:pt idx="0">
                  <c:v>1</c:v>
                </c:pt>
                <c:pt idx="1">
                  <c:v>4</c:v>
                </c:pt>
                <c:pt idx="2">
                  <c:v>6</c:v>
                </c:pt>
              </c:numCache>
            </c:numRef>
          </c:val>
          <c:extLst>
            <c:ext xmlns:c16="http://schemas.microsoft.com/office/drawing/2014/chart" uri="{C3380CC4-5D6E-409C-BE32-E72D297353CC}">
              <c16:uniqueId val="{00000005-75C7-4435-9D15-967C255D62A7}"/>
            </c:ext>
          </c:extLst>
        </c:ser>
        <c:ser>
          <c:idx val="6"/>
          <c:order val="6"/>
          <c:tx>
            <c:strRef>
              <c:f>Sheet1!$C$56</c:f>
              <c:strCache>
                <c:ptCount val="1"/>
                <c:pt idx="0">
                  <c:v>Fertilizer</c:v>
                </c:pt>
              </c:strCache>
            </c:strRef>
          </c:tx>
          <c:spPr>
            <a:solidFill>
              <a:schemeClr val="accent1">
                <a:lumMod val="60000"/>
              </a:schemeClr>
            </a:solidFill>
            <a:ln>
              <a:noFill/>
            </a:ln>
            <a:effectLst/>
          </c:spPr>
          <c:invertIfNegative val="0"/>
          <c:cat>
            <c:strRef>
              <c:f>Sheet1!$D$48:$F$48</c:f>
              <c:strCache>
                <c:ptCount val="3"/>
                <c:pt idx="0">
                  <c:v>Jan-Feb 2016</c:v>
                </c:pt>
                <c:pt idx="1">
                  <c:v>Jan-Feb 2019</c:v>
                </c:pt>
                <c:pt idx="2">
                  <c:v>Jan-Feb 2020</c:v>
                </c:pt>
              </c:strCache>
            </c:strRef>
          </c:cat>
          <c:val>
            <c:numRef>
              <c:f>Sheet1!$D$56:$F$56</c:f>
              <c:numCache>
                <c:formatCode>General</c:formatCode>
                <c:ptCount val="3"/>
                <c:pt idx="0">
                  <c:v>27</c:v>
                </c:pt>
                <c:pt idx="1">
                  <c:v>2</c:v>
                </c:pt>
                <c:pt idx="2">
                  <c:v>2</c:v>
                </c:pt>
              </c:numCache>
            </c:numRef>
          </c:val>
          <c:extLst>
            <c:ext xmlns:c16="http://schemas.microsoft.com/office/drawing/2014/chart" uri="{C3380CC4-5D6E-409C-BE32-E72D297353CC}">
              <c16:uniqueId val="{00000006-75C7-4435-9D15-967C255D62A7}"/>
            </c:ext>
          </c:extLst>
        </c:ser>
        <c:ser>
          <c:idx val="7"/>
          <c:order val="7"/>
          <c:tx>
            <c:strRef>
              <c:f>Sheet1!$C$57</c:f>
              <c:strCache>
                <c:ptCount val="1"/>
                <c:pt idx="0">
                  <c:v>Machinery</c:v>
                </c:pt>
              </c:strCache>
            </c:strRef>
          </c:tx>
          <c:spPr>
            <a:solidFill>
              <a:schemeClr val="accent2">
                <a:lumMod val="60000"/>
              </a:schemeClr>
            </a:solidFill>
            <a:ln>
              <a:noFill/>
            </a:ln>
            <a:effectLst/>
          </c:spPr>
          <c:invertIfNegative val="0"/>
          <c:cat>
            <c:strRef>
              <c:f>Sheet1!$D$48:$F$48</c:f>
              <c:strCache>
                <c:ptCount val="3"/>
                <c:pt idx="0">
                  <c:v>Jan-Feb 2016</c:v>
                </c:pt>
                <c:pt idx="1">
                  <c:v>Jan-Feb 2019</c:v>
                </c:pt>
                <c:pt idx="2">
                  <c:v>Jan-Feb 2020</c:v>
                </c:pt>
              </c:strCache>
            </c:strRef>
          </c:cat>
          <c:val>
            <c:numRef>
              <c:f>Sheet1!$D$57:$F$57</c:f>
              <c:numCache>
                <c:formatCode>General</c:formatCode>
                <c:ptCount val="3"/>
                <c:pt idx="0">
                  <c:v>74</c:v>
                </c:pt>
                <c:pt idx="1">
                  <c:v>0</c:v>
                </c:pt>
                <c:pt idx="2">
                  <c:v>0</c:v>
                </c:pt>
              </c:numCache>
            </c:numRef>
          </c:val>
          <c:extLst>
            <c:ext xmlns:c16="http://schemas.microsoft.com/office/drawing/2014/chart" uri="{C3380CC4-5D6E-409C-BE32-E72D297353CC}">
              <c16:uniqueId val="{00000007-75C7-4435-9D15-967C255D62A7}"/>
            </c:ext>
          </c:extLst>
        </c:ser>
        <c:ser>
          <c:idx val="8"/>
          <c:order val="8"/>
          <c:tx>
            <c:strRef>
              <c:f>Sheet1!$C$62</c:f>
              <c:strCache>
                <c:ptCount val="1"/>
                <c:pt idx="0">
                  <c:v>Other</c:v>
                </c:pt>
              </c:strCache>
            </c:strRef>
          </c:tx>
          <c:spPr>
            <a:solidFill>
              <a:schemeClr val="accent3">
                <a:lumMod val="60000"/>
              </a:schemeClr>
            </a:solidFill>
            <a:ln>
              <a:noFill/>
            </a:ln>
            <a:effectLst/>
          </c:spPr>
          <c:invertIfNegative val="0"/>
          <c:cat>
            <c:strRef>
              <c:f>Sheet1!$D$48:$F$48</c:f>
              <c:strCache>
                <c:ptCount val="3"/>
                <c:pt idx="0">
                  <c:v>Jan-Feb 2016</c:v>
                </c:pt>
                <c:pt idx="1">
                  <c:v>Jan-Feb 2019</c:v>
                </c:pt>
                <c:pt idx="2">
                  <c:v>Jan-Feb 2020</c:v>
                </c:pt>
              </c:strCache>
            </c:strRef>
          </c:cat>
          <c:val>
            <c:numRef>
              <c:f>Sheet1!$D$62:$F$62</c:f>
              <c:numCache>
                <c:formatCode>General</c:formatCode>
                <c:ptCount val="3"/>
                <c:pt idx="0">
                  <c:v>81</c:v>
                </c:pt>
                <c:pt idx="1">
                  <c:v>114</c:v>
                </c:pt>
                <c:pt idx="2">
                  <c:v>105</c:v>
                </c:pt>
              </c:numCache>
            </c:numRef>
          </c:val>
          <c:extLst>
            <c:ext xmlns:c16="http://schemas.microsoft.com/office/drawing/2014/chart" uri="{C3380CC4-5D6E-409C-BE32-E72D297353CC}">
              <c16:uniqueId val="{00000008-75C7-4435-9D15-967C255D62A7}"/>
            </c:ext>
          </c:extLst>
        </c:ser>
        <c:dLbls>
          <c:showLegendKey val="0"/>
          <c:showVal val="0"/>
          <c:showCatName val="0"/>
          <c:showSerName val="0"/>
          <c:showPercent val="0"/>
          <c:showBubbleSize val="0"/>
        </c:dLbls>
        <c:gapWidth val="150"/>
        <c:overlap val="100"/>
        <c:axId val="543859080"/>
        <c:axId val="823328336"/>
      </c:barChart>
      <c:catAx>
        <c:axId val="543859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328336"/>
        <c:crosses val="autoZero"/>
        <c:auto val="1"/>
        <c:lblAlgn val="ctr"/>
        <c:lblOffset val="100"/>
        <c:noMultiLvlLbl val="0"/>
      </c:catAx>
      <c:valAx>
        <c:axId val="82332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859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EBD92-1097-4106-B37F-ACE5734E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Bill Brown</cp:lastModifiedBy>
  <cp:revision>3</cp:revision>
  <dcterms:created xsi:type="dcterms:W3CDTF">2020-04-07T18:30:00Z</dcterms:created>
  <dcterms:modified xsi:type="dcterms:W3CDTF">2020-04-07T18:34:00Z</dcterms:modified>
</cp:coreProperties>
</file>