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70F" w:rsidRDefault="000F6301">
      <w:pPr>
        <w:rPr>
          <w:rFonts w:ascii="Times New Roman" w:hAnsi="Times New Roman" w:cs="Times New Roman"/>
          <w:b/>
          <w:sz w:val="48"/>
          <w:szCs w:val="48"/>
        </w:rPr>
      </w:pPr>
      <w:r w:rsidRPr="000F6301">
        <w:rPr>
          <w:rFonts w:ascii="Times New Roman" w:hAnsi="Times New Roman" w:cs="Times New Roman"/>
          <w:b/>
          <w:sz w:val="48"/>
          <w:szCs w:val="48"/>
        </w:rPr>
        <w:t xml:space="preserve">Stabilize edilmiş Akut </w:t>
      </w:r>
      <w:proofErr w:type="spellStart"/>
      <w:r w:rsidRPr="000F6301">
        <w:rPr>
          <w:rFonts w:ascii="Times New Roman" w:hAnsi="Times New Roman" w:cs="Times New Roman"/>
          <w:b/>
          <w:sz w:val="48"/>
          <w:szCs w:val="48"/>
        </w:rPr>
        <w:t>KY'nin</w:t>
      </w:r>
      <w:proofErr w:type="spellEnd"/>
      <w:r w:rsidRPr="000F6301">
        <w:rPr>
          <w:rFonts w:ascii="Times New Roman" w:hAnsi="Times New Roman" w:cs="Times New Roman"/>
          <w:b/>
          <w:sz w:val="48"/>
          <w:szCs w:val="48"/>
        </w:rPr>
        <w:t xml:space="preserve"> Zorlu Tedavi sürecinde </w:t>
      </w:r>
      <w:proofErr w:type="spellStart"/>
      <w:r w:rsidRPr="000F6301">
        <w:rPr>
          <w:rFonts w:ascii="Times New Roman" w:hAnsi="Times New Roman" w:cs="Times New Roman"/>
          <w:b/>
          <w:sz w:val="48"/>
          <w:szCs w:val="48"/>
        </w:rPr>
        <w:t>Empagliflozin</w:t>
      </w:r>
      <w:proofErr w:type="spellEnd"/>
      <w:r w:rsidRPr="000F6301">
        <w:rPr>
          <w:rFonts w:ascii="Times New Roman" w:hAnsi="Times New Roman" w:cs="Times New Roman"/>
          <w:b/>
          <w:sz w:val="48"/>
          <w:szCs w:val="48"/>
        </w:rPr>
        <w:t xml:space="preserve"> Etkili</w:t>
      </w:r>
    </w:p>
    <w:p w:rsidR="000F6301" w:rsidRPr="006A1ABF" w:rsidRDefault="006A1ABF">
      <w:pPr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6A1ABF">
        <w:rPr>
          <w:rFonts w:ascii="Times New Roman" w:hAnsi="Times New Roman" w:cs="Times New Roman"/>
          <w:b/>
          <w:color w:val="C00000"/>
          <w:sz w:val="48"/>
          <w:szCs w:val="48"/>
        </w:rPr>
        <w:t>EMPULSE</w:t>
      </w:r>
    </w:p>
    <w:p w:rsidR="006A1ABF" w:rsidRDefault="006A1ABF">
      <w:pPr>
        <w:rPr>
          <w:rFonts w:ascii="Times New Roman" w:hAnsi="Times New Roman" w:cs="Times New Roman"/>
          <w:b/>
          <w:sz w:val="48"/>
          <w:szCs w:val="48"/>
        </w:rPr>
      </w:pPr>
    </w:p>
    <w:p w:rsidR="000F6301" w:rsidRDefault="000F6301">
      <w:pPr>
        <w:rPr>
          <w:rFonts w:ascii="Arial" w:hAnsi="Arial" w:cs="Arial"/>
          <w:sz w:val="24"/>
          <w:szCs w:val="24"/>
        </w:rPr>
      </w:pPr>
      <w:r w:rsidRPr="000F6301">
        <w:rPr>
          <w:rFonts w:ascii="Times New Roman" w:hAnsi="Times New Roman" w:cs="Times New Roman"/>
          <w:i/>
          <w:sz w:val="28"/>
          <w:szCs w:val="28"/>
          <w:u w:val="single"/>
        </w:rPr>
        <w:t>AHA. Kasım2021</w:t>
      </w:r>
      <w:r w:rsidRPr="000F6301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0F6301">
        <w:t xml:space="preserve"> </w:t>
      </w:r>
      <w:r w:rsidRPr="000F6301">
        <w:rPr>
          <w:rFonts w:ascii="Arial" w:hAnsi="Arial" w:cs="Arial"/>
          <w:sz w:val="24"/>
          <w:szCs w:val="24"/>
        </w:rPr>
        <w:t xml:space="preserve">SGLT2 inhibitörleri, </w:t>
      </w:r>
      <w:r>
        <w:rPr>
          <w:rFonts w:ascii="Arial" w:hAnsi="Arial" w:cs="Arial"/>
          <w:sz w:val="24"/>
          <w:szCs w:val="24"/>
        </w:rPr>
        <w:t xml:space="preserve">2021 ESC ve 2022 AHA/HFSA </w:t>
      </w:r>
      <w:proofErr w:type="gramStart"/>
      <w:r>
        <w:rPr>
          <w:rFonts w:ascii="Arial" w:hAnsi="Arial" w:cs="Arial"/>
          <w:sz w:val="24"/>
          <w:szCs w:val="24"/>
        </w:rPr>
        <w:t>kılavuzlarında  sınıf</w:t>
      </w:r>
      <w:proofErr w:type="gramEnd"/>
      <w:r>
        <w:rPr>
          <w:rFonts w:ascii="Arial" w:hAnsi="Arial" w:cs="Arial"/>
          <w:sz w:val="24"/>
          <w:szCs w:val="24"/>
        </w:rPr>
        <w:t xml:space="preserve"> I tavsiye ile </w:t>
      </w:r>
      <w:r w:rsidRPr="000F6301">
        <w:rPr>
          <w:rFonts w:ascii="Arial" w:hAnsi="Arial" w:cs="Arial"/>
          <w:sz w:val="24"/>
          <w:szCs w:val="24"/>
        </w:rPr>
        <w:t xml:space="preserve">kronik KY için birinci basamak ajanlar arasında </w:t>
      </w:r>
      <w:r>
        <w:rPr>
          <w:rFonts w:ascii="Arial" w:hAnsi="Arial" w:cs="Arial"/>
          <w:sz w:val="24"/>
          <w:szCs w:val="24"/>
        </w:rPr>
        <w:t xml:space="preserve">yerini alan </w:t>
      </w:r>
      <w:r w:rsidR="00465E40">
        <w:rPr>
          <w:rFonts w:ascii="Arial" w:hAnsi="Arial" w:cs="Arial"/>
          <w:sz w:val="24"/>
          <w:szCs w:val="24"/>
        </w:rPr>
        <w:t xml:space="preserve">ve “4’lü tedavi olarak </w:t>
      </w:r>
      <w:proofErr w:type="spellStart"/>
      <w:r w:rsidR="00465E40">
        <w:rPr>
          <w:rFonts w:ascii="Arial" w:hAnsi="Arial" w:cs="Arial"/>
          <w:sz w:val="24"/>
          <w:szCs w:val="24"/>
        </w:rPr>
        <w:t>adlandırlan</w:t>
      </w:r>
      <w:proofErr w:type="spellEnd"/>
      <w:r w:rsidR="00465E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yeni ilaç sınıfıdır</w:t>
      </w:r>
      <w:r w:rsidRPr="000F6301">
        <w:rPr>
          <w:rFonts w:ascii="Arial" w:hAnsi="Arial" w:cs="Arial"/>
          <w:sz w:val="24"/>
          <w:szCs w:val="24"/>
        </w:rPr>
        <w:t>,</w:t>
      </w:r>
      <w:r w:rsidR="00B47F74" w:rsidRPr="00B47F74">
        <w:t xml:space="preserve"> </w:t>
      </w:r>
      <w:r w:rsidR="00B47F74">
        <w:rPr>
          <w:rFonts w:ascii="Arial" w:hAnsi="Arial" w:cs="Arial"/>
          <w:sz w:val="24"/>
          <w:szCs w:val="24"/>
        </w:rPr>
        <w:t>EMPULSE çalışması</w:t>
      </w:r>
      <w:r w:rsidR="00B47F74" w:rsidRPr="00B47F74">
        <w:rPr>
          <w:rFonts w:ascii="Arial" w:hAnsi="Arial" w:cs="Arial"/>
          <w:sz w:val="24"/>
          <w:szCs w:val="24"/>
        </w:rPr>
        <w:t xml:space="preserve"> bu </w:t>
      </w:r>
      <w:r w:rsidR="00B47F74">
        <w:rPr>
          <w:rFonts w:ascii="Arial" w:hAnsi="Arial" w:cs="Arial"/>
          <w:sz w:val="24"/>
          <w:szCs w:val="24"/>
        </w:rPr>
        <w:t xml:space="preserve">konuda  katkı sağlayabilir ve </w:t>
      </w:r>
      <w:r w:rsidR="00B47F74" w:rsidRPr="00B47F74">
        <w:rPr>
          <w:rFonts w:ascii="Arial" w:hAnsi="Arial" w:cs="Arial"/>
          <w:sz w:val="24"/>
          <w:szCs w:val="24"/>
        </w:rPr>
        <w:t xml:space="preserve"> akut KY ile hastaneye</w:t>
      </w:r>
      <w:r w:rsidR="00B47F74">
        <w:rPr>
          <w:rFonts w:ascii="Arial" w:hAnsi="Arial" w:cs="Arial"/>
          <w:sz w:val="24"/>
          <w:szCs w:val="24"/>
        </w:rPr>
        <w:t xml:space="preserve"> yatırılanlarda kronik KY gibi ayni şekilde tedaviye eklenebilir</w:t>
      </w:r>
      <w:r w:rsidR="00B47F74" w:rsidRPr="00B47F74">
        <w:rPr>
          <w:rFonts w:ascii="Arial" w:hAnsi="Arial" w:cs="Arial"/>
          <w:sz w:val="24"/>
          <w:szCs w:val="24"/>
        </w:rPr>
        <w:t>.</w:t>
      </w:r>
    </w:p>
    <w:p w:rsidR="00A4450B" w:rsidRDefault="00A4450B" w:rsidP="00A4450B">
      <w:pPr>
        <w:pStyle w:val="ListeParagraf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4450B">
        <w:rPr>
          <w:rFonts w:ascii="Arial" w:hAnsi="Arial" w:cs="Arial"/>
          <w:sz w:val="24"/>
          <w:szCs w:val="24"/>
        </w:rPr>
        <w:t xml:space="preserve">Çalışmadaki bu tür 530 hastadan, </w:t>
      </w:r>
      <w:proofErr w:type="gramStart"/>
      <w:r w:rsidRPr="00A4450B">
        <w:rPr>
          <w:rFonts w:ascii="Arial" w:hAnsi="Arial" w:cs="Arial"/>
          <w:sz w:val="24"/>
          <w:szCs w:val="24"/>
        </w:rPr>
        <w:t>stabilize</w:t>
      </w:r>
      <w:proofErr w:type="gramEnd"/>
      <w:r w:rsidRPr="00A4450B">
        <w:rPr>
          <w:rFonts w:ascii="Arial" w:hAnsi="Arial" w:cs="Arial"/>
          <w:sz w:val="24"/>
          <w:szCs w:val="24"/>
        </w:rPr>
        <w:t xml:space="preserve"> olduktan hemen sonra günlük </w:t>
      </w:r>
      <w:proofErr w:type="spellStart"/>
      <w:r w:rsidRPr="00A4450B">
        <w:rPr>
          <w:rFonts w:ascii="Arial" w:hAnsi="Arial" w:cs="Arial"/>
          <w:sz w:val="24"/>
          <w:szCs w:val="24"/>
        </w:rPr>
        <w:t>empagliflozin</w:t>
      </w:r>
      <w:proofErr w:type="spellEnd"/>
      <w:r w:rsidRPr="00A4450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4450B">
        <w:rPr>
          <w:rFonts w:ascii="Arial" w:hAnsi="Arial" w:cs="Arial"/>
          <w:sz w:val="24"/>
          <w:szCs w:val="24"/>
        </w:rPr>
        <w:t>Jardiance</w:t>
      </w:r>
      <w:proofErr w:type="spellEnd"/>
      <w:r w:rsidRPr="00A4450B">
        <w:rPr>
          <w:rFonts w:ascii="Arial" w:hAnsi="Arial" w:cs="Arial"/>
          <w:sz w:val="24"/>
          <w:szCs w:val="24"/>
        </w:rPr>
        <w:t>) tedavisine başlayanların, bir kontrol grubuyla karşılaştırıldığında, sonraki 3 ay içinde KY nedeniyle ölme veya yeniden hastaneye yatma olasılığı daha düşüktü.</w:t>
      </w:r>
    </w:p>
    <w:p w:rsidR="008925BB" w:rsidRDefault="008925BB" w:rsidP="008925BB">
      <w:pPr>
        <w:pStyle w:val="ListeParagraf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925BB">
        <w:rPr>
          <w:rFonts w:ascii="Arial" w:hAnsi="Arial" w:cs="Arial"/>
          <w:sz w:val="24"/>
          <w:szCs w:val="24"/>
        </w:rPr>
        <w:t xml:space="preserve">Yaşam kalitesinde bir </w:t>
      </w:r>
      <w:proofErr w:type="gramStart"/>
      <w:r w:rsidR="006A58F2">
        <w:rPr>
          <w:rFonts w:ascii="Arial" w:hAnsi="Arial" w:cs="Arial"/>
          <w:sz w:val="24"/>
          <w:szCs w:val="24"/>
        </w:rPr>
        <w:t xml:space="preserve">düzelme </w:t>
      </w:r>
      <w:r w:rsidRPr="008925BB">
        <w:rPr>
          <w:rFonts w:ascii="Arial" w:hAnsi="Arial" w:cs="Arial"/>
          <w:sz w:val="24"/>
          <w:szCs w:val="24"/>
        </w:rPr>
        <w:t xml:space="preserve"> gör</w:t>
      </w:r>
      <w:r w:rsidR="006A58F2">
        <w:rPr>
          <w:rFonts w:ascii="Arial" w:hAnsi="Arial" w:cs="Arial"/>
          <w:sz w:val="24"/>
          <w:szCs w:val="24"/>
        </w:rPr>
        <w:t>üldü</w:t>
      </w:r>
      <w:proofErr w:type="gramEnd"/>
      <w:r w:rsidRPr="008925BB">
        <w:rPr>
          <w:rFonts w:ascii="Arial" w:hAnsi="Arial" w:cs="Arial"/>
          <w:sz w:val="24"/>
          <w:szCs w:val="24"/>
        </w:rPr>
        <w:t>, vücut ağırlığında daha büyük bir azalma gör</w:t>
      </w:r>
      <w:r w:rsidR="006A58F2">
        <w:rPr>
          <w:rFonts w:ascii="Arial" w:hAnsi="Arial" w:cs="Arial"/>
          <w:sz w:val="24"/>
          <w:szCs w:val="24"/>
        </w:rPr>
        <w:t>üldü</w:t>
      </w:r>
      <w:r w:rsidRPr="008925BB">
        <w:rPr>
          <w:rFonts w:ascii="Arial" w:hAnsi="Arial" w:cs="Arial"/>
          <w:sz w:val="24"/>
          <w:szCs w:val="24"/>
        </w:rPr>
        <w:t xml:space="preserve"> ve bu çok </w:t>
      </w:r>
      <w:r w:rsidR="006A58F2">
        <w:rPr>
          <w:rFonts w:ascii="Arial" w:hAnsi="Arial" w:cs="Arial"/>
          <w:sz w:val="24"/>
          <w:szCs w:val="24"/>
        </w:rPr>
        <w:t>hassas</w:t>
      </w:r>
      <w:r w:rsidRPr="008925BB">
        <w:rPr>
          <w:rFonts w:ascii="Arial" w:hAnsi="Arial" w:cs="Arial"/>
          <w:sz w:val="24"/>
          <w:szCs w:val="24"/>
        </w:rPr>
        <w:t xml:space="preserve"> ve </w:t>
      </w:r>
      <w:r w:rsidR="006A58F2">
        <w:rPr>
          <w:rFonts w:ascii="Arial" w:hAnsi="Arial" w:cs="Arial"/>
          <w:sz w:val="24"/>
          <w:szCs w:val="24"/>
        </w:rPr>
        <w:t>durumu kötü</w:t>
      </w:r>
      <w:r w:rsidRPr="008925BB">
        <w:rPr>
          <w:rFonts w:ascii="Arial" w:hAnsi="Arial" w:cs="Arial"/>
          <w:sz w:val="24"/>
          <w:szCs w:val="24"/>
        </w:rPr>
        <w:t xml:space="preserve"> hasta popülasyonunda herhangi bir güvenlik endişesi </w:t>
      </w:r>
      <w:proofErr w:type="spellStart"/>
      <w:r w:rsidRPr="008925BB">
        <w:rPr>
          <w:rFonts w:ascii="Arial" w:hAnsi="Arial" w:cs="Arial"/>
          <w:sz w:val="24"/>
          <w:szCs w:val="24"/>
        </w:rPr>
        <w:t>gö</w:t>
      </w:r>
      <w:r w:rsidR="006A58F2">
        <w:rPr>
          <w:rFonts w:ascii="Arial" w:hAnsi="Arial" w:cs="Arial"/>
          <w:sz w:val="24"/>
          <w:szCs w:val="24"/>
        </w:rPr>
        <w:t>ülmedi</w:t>
      </w:r>
      <w:proofErr w:type="spellEnd"/>
      <w:r w:rsidR="00CD3D20">
        <w:rPr>
          <w:rFonts w:ascii="Arial" w:hAnsi="Arial" w:cs="Arial"/>
          <w:sz w:val="24"/>
          <w:szCs w:val="24"/>
        </w:rPr>
        <w:t xml:space="preserve"> (2021AHA Bilimsel toplantısında </w:t>
      </w:r>
      <w:proofErr w:type="spellStart"/>
      <w:r w:rsidR="00CD3D20">
        <w:rPr>
          <w:rFonts w:ascii="Arial" w:hAnsi="Arial" w:cs="Arial"/>
          <w:sz w:val="24"/>
          <w:szCs w:val="24"/>
        </w:rPr>
        <w:t>snuldu</w:t>
      </w:r>
      <w:proofErr w:type="spellEnd"/>
      <w:r w:rsidR="00A73453">
        <w:rPr>
          <w:rFonts w:ascii="Arial" w:hAnsi="Arial" w:cs="Arial"/>
          <w:sz w:val="24"/>
          <w:szCs w:val="24"/>
        </w:rPr>
        <w:t xml:space="preserve"> – </w:t>
      </w:r>
      <w:r w:rsidR="00A73453" w:rsidRPr="00A73453">
        <w:rPr>
          <w:rFonts w:ascii="Arial" w:hAnsi="Arial" w:cs="Arial"/>
          <w:i/>
          <w:sz w:val="24"/>
          <w:szCs w:val="24"/>
        </w:rPr>
        <w:t>Makalenin sonu</w:t>
      </w:r>
      <w:r w:rsidR="00A73453">
        <w:rPr>
          <w:rFonts w:ascii="Arial" w:hAnsi="Arial" w:cs="Arial"/>
          <w:i/>
          <w:sz w:val="24"/>
          <w:szCs w:val="24"/>
        </w:rPr>
        <w:t>nda yayınlanmış özeti verilmiştir</w:t>
      </w:r>
      <w:r w:rsidR="00CD3D20">
        <w:rPr>
          <w:rFonts w:ascii="Arial" w:hAnsi="Arial" w:cs="Arial"/>
          <w:sz w:val="24"/>
          <w:szCs w:val="24"/>
        </w:rPr>
        <w:t>)</w:t>
      </w:r>
      <w:r w:rsidRPr="008925BB">
        <w:rPr>
          <w:rFonts w:ascii="Arial" w:hAnsi="Arial" w:cs="Arial"/>
          <w:sz w:val="24"/>
          <w:szCs w:val="24"/>
        </w:rPr>
        <w:t>.</w:t>
      </w:r>
    </w:p>
    <w:p w:rsidR="00F01FC1" w:rsidRDefault="00F01FC1" w:rsidP="00911309">
      <w:pPr>
        <w:pStyle w:val="ListeParagraf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F01FC1">
        <w:rPr>
          <w:rFonts w:ascii="Arial" w:hAnsi="Arial" w:cs="Arial"/>
          <w:sz w:val="24"/>
          <w:szCs w:val="24"/>
        </w:rPr>
        <w:t>Empagliflozin</w:t>
      </w:r>
      <w:proofErr w:type="spellEnd"/>
      <w:r w:rsidRPr="00F01FC1">
        <w:rPr>
          <w:rFonts w:ascii="Arial" w:hAnsi="Arial" w:cs="Arial"/>
          <w:sz w:val="24"/>
          <w:szCs w:val="24"/>
        </w:rPr>
        <w:t xml:space="preserve"> atanan hastaların, </w:t>
      </w:r>
      <w:proofErr w:type="spellStart"/>
      <w:r>
        <w:rPr>
          <w:rFonts w:ascii="Arial" w:hAnsi="Arial" w:cs="Arial"/>
          <w:sz w:val="24"/>
          <w:szCs w:val="24"/>
        </w:rPr>
        <w:t>kardiyovasküler</w:t>
      </w:r>
      <w:proofErr w:type="spellEnd"/>
      <w:r w:rsidRPr="00F01FC1">
        <w:rPr>
          <w:rFonts w:ascii="Arial" w:hAnsi="Arial" w:cs="Arial"/>
          <w:sz w:val="24"/>
          <w:szCs w:val="24"/>
        </w:rPr>
        <w:t xml:space="preserve"> klinik </w:t>
      </w:r>
      <w:r>
        <w:rPr>
          <w:rFonts w:ascii="Arial" w:hAnsi="Arial" w:cs="Arial"/>
          <w:sz w:val="24"/>
          <w:szCs w:val="24"/>
        </w:rPr>
        <w:t>çalışmalarında</w:t>
      </w:r>
      <w:r w:rsidRPr="00F01FC1">
        <w:rPr>
          <w:rFonts w:ascii="Arial" w:hAnsi="Arial" w:cs="Arial"/>
          <w:sz w:val="24"/>
          <w:szCs w:val="24"/>
        </w:rPr>
        <w:t xml:space="preserve"> sonuçla</w:t>
      </w:r>
      <w:r>
        <w:rPr>
          <w:rFonts w:ascii="Arial" w:hAnsi="Arial" w:cs="Arial"/>
          <w:sz w:val="24"/>
          <w:szCs w:val="24"/>
        </w:rPr>
        <w:t>rı ifade etmek için ortaya konulan</w:t>
      </w:r>
      <w:r w:rsidR="00D97E7D">
        <w:rPr>
          <w:rFonts w:ascii="Arial" w:hAnsi="Arial" w:cs="Arial"/>
          <w:sz w:val="24"/>
          <w:szCs w:val="24"/>
        </w:rPr>
        <w:t xml:space="preserve"> bir yol olan </w:t>
      </w:r>
      <w:proofErr w:type="spellStart"/>
      <w:r w:rsidR="00D97E7D">
        <w:rPr>
          <w:rFonts w:ascii="Arial" w:hAnsi="Arial" w:cs="Arial"/>
          <w:sz w:val="24"/>
          <w:szCs w:val="24"/>
        </w:rPr>
        <w:t>plasebo</w:t>
      </w:r>
      <w:proofErr w:type="spellEnd"/>
      <w:r w:rsidR="00D97E7D">
        <w:rPr>
          <w:rFonts w:ascii="Arial" w:hAnsi="Arial" w:cs="Arial"/>
          <w:sz w:val="24"/>
          <w:szCs w:val="24"/>
        </w:rPr>
        <w:t xml:space="preserve"> ile</w:t>
      </w:r>
      <w:r w:rsidRPr="00F01FC1">
        <w:rPr>
          <w:rFonts w:ascii="Arial" w:hAnsi="Arial" w:cs="Arial"/>
          <w:sz w:val="24"/>
          <w:szCs w:val="24"/>
        </w:rPr>
        <w:t xml:space="preserve"> karşı</w:t>
      </w:r>
      <w:r w:rsidR="00D97E7D">
        <w:rPr>
          <w:rFonts w:ascii="Arial" w:hAnsi="Arial" w:cs="Arial"/>
          <w:sz w:val="24"/>
          <w:szCs w:val="24"/>
        </w:rPr>
        <w:t xml:space="preserve">laştırıldığında; </w:t>
      </w:r>
      <w:r w:rsidRPr="00F01FC1">
        <w:rPr>
          <w:rFonts w:ascii="Arial" w:hAnsi="Arial" w:cs="Arial"/>
          <w:sz w:val="24"/>
          <w:szCs w:val="24"/>
        </w:rPr>
        <w:t xml:space="preserve"> tedavinin kazan</w:t>
      </w:r>
      <w:r w:rsidR="00D97E7D">
        <w:rPr>
          <w:rFonts w:ascii="Arial" w:hAnsi="Arial" w:cs="Arial"/>
          <w:sz w:val="24"/>
          <w:szCs w:val="24"/>
        </w:rPr>
        <w:t>ım</w:t>
      </w:r>
      <w:r w:rsidRPr="00F01FC1">
        <w:rPr>
          <w:rFonts w:ascii="Arial" w:hAnsi="Arial" w:cs="Arial"/>
          <w:sz w:val="24"/>
          <w:szCs w:val="24"/>
        </w:rPr>
        <w:t xml:space="preserve"> oranına yansıtıldığı gibi, %36 daha fazla fayda gösterme olasılığı vardı.</w:t>
      </w:r>
      <w:r w:rsidR="00911309" w:rsidRPr="00911309">
        <w:t xml:space="preserve"> </w:t>
      </w:r>
      <w:r w:rsidR="00911309" w:rsidRPr="00911309">
        <w:rPr>
          <w:rFonts w:ascii="Arial" w:hAnsi="Arial" w:cs="Arial"/>
          <w:sz w:val="24"/>
          <w:szCs w:val="24"/>
        </w:rPr>
        <w:t xml:space="preserve">SGLT2 inhibitörünün </w:t>
      </w:r>
      <w:proofErr w:type="spellStart"/>
      <w:r w:rsidR="00911309">
        <w:rPr>
          <w:rFonts w:ascii="Arial" w:hAnsi="Arial" w:cs="Arial"/>
          <w:sz w:val="24"/>
          <w:szCs w:val="24"/>
        </w:rPr>
        <w:t>primer</w:t>
      </w:r>
      <w:proofErr w:type="spellEnd"/>
      <w:r w:rsidR="00911309" w:rsidRPr="00911309">
        <w:rPr>
          <w:rFonts w:ascii="Arial" w:hAnsi="Arial" w:cs="Arial"/>
          <w:sz w:val="24"/>
          <w:szCs w:val="24"/>
        </w:rPr>
        <w:t xml:space="preserve"> </w:t>
      </w:r>
      <w:r w:rsidR="00911309">
        <w:rPr>
          <w:rFonts w:ascii="Arial" w:hAnsi="Arial" w:cs="Arial"/>
          <w:sz w:val="24"/>
          <w:szCs w:val="24"/>
        </w:rPr>
        <w:t>sonlanım</w:t>
      </w:r>
      <w:r w:rsidR="00911309" w:rsidRPr="00911309">
        <w:rPr>
          <w:rFonts w:ascii="Arial" w:hAnsi="Arial" w:cs="Arial"/>
          <w:sz w:val="24"/>
          <w:szCs w:val="24"/>
        </w:rPr>
        <w:t xml:space="preserve"> noktası için kazanma oranı 1,36'dır (%95 GA, 1,09 - 1,68, P = ,0054)</w:t>
      </w:r>
      <w:r w:rsidR="00911309">
        <w:rPr>
          <w:rFonts w:ascii="Arial" w:hAnsi="Arial" w:cs="Arial"/>
          <w:sz w:val="24"/>
          <w:szCs w:val="24"/>
        </w:rPr>
        <w:t>.</w:t>
      </w:r>
    </w:p>
    <w:p w:rsidR="00911309" w:rsidRDefault="00911309" w:rsidP="00911309">
      <w:pPr>
        <w:pStyle w:val="ListeParagraf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11309">
        <w:rPr>
          <w:rFonts w:ascii="Arial" w:hAnsi="Arial" w:cs="Arial"/>
          <w:sz w:val="24"/>
          <w:szCs w:val="24"/>
        </w:rPr>
        <w:t>Sonuç, ölüm, KY olaylarının sayısı, ilk KY olayına kadar geçen süre ve yaşam kalitesi skorlarındaki 90 günlük değişimi içeriyordu.</w:t>
      </w:r>
    </w:p>
    <w:p w:rsidR="00911309" w:rsidRDefault="00911309" w:rsidP="00911309">
      <w:pPr>
        <w:ind w:left="720"/>
        <w:rPr>
          <w:rFonts w:ascii="Arial" w:hAnsi="Arial" w:cs="Arial"/>
          <w:sz w:val="24"/>
          <w:szCs w:val="24"/>
        </w:rPr>
      </w:pPr>
      <w:r w:rsidRPr="00911309">
        <w:rPr>
          <w:rFonts w:ascii="Arial" w:hAnsi="Arial" w:cs="Arial"/>
          <w:sz w:val="24"/>
          <w:szCs w:val="24"/>
        </w:rPr>
        <w:t xml:space="preserve">Kronik </w:t>
      </w:r>
      <w:proofErr w:type="spellStart"/>
      <w:r w:rsidRPr="00911309">
        <w:rPr>
          <w:rFonts w:ascii="Arial" w:hAnsi="Arial" w:cs="Arial"/>
          <w:sz w:val="24"/>
          <w:szCs w:val="24"/>
        </w:rPr>
        <w:t>KY'de</w:t>
      </w:r>
      <w:proofErr w:type="spellEnd"/>
      <w:r w:rsidRPr="00911309">
        <w:rPr>
          <w:rFonts w:ascii="Arial" w:hAnsi="Arial" w:cs="Arial"/>
          <w:sz w:val="24"/>
          <w:szCs w:val="24"/>
        </w:rPr>
        <w:t xml:space="preserve"> kullanılan ilaçlara </w:t>
      </w:r>
      <w:r>
        <w:rPr>
          <w:rFonts w:ascii="Arial" w:hAnsi="Arial" w:cs="Arial"/>
          <w:sz w:val="24"/>
          <w:szCs w:val="24"/>
        </w:rPr>
        <w:t xml:space="preserve">(çoğunlukla </w:t>
      </w:r>
      <w:proofErr w:type="spellStart"/>
      <w:r>
        <w:rPr>
          <w:rFonts w:ascii="Arial" w:hAnsi="Arial" w:cs="Arial"/>
          <w:sz w:val="24"/>
          <w:szCs w:val="24"/>
        </w:rPr>
        <w:t>diüretikler</w:t>
      </w:r>
      <w:proofErr w:type="spellEnd"/>
      <w:r>
        <w:rPr>
          <w:rFonts w:ascii="Arial" w:hAnsi="Arial" w:cs="Arial"/>
          <w:sz w:val="24"/>
          <w:szCs w:val="24"/>
        </w:rPr>
        <w:t xml:space="preserve"> hariç beta-</w:t>
      </w:r>
      <w:proofErr w:type="spellStart"/>
      <w:r>
        <w:rPr>
          <w:rFonts w:ascii="Arial" w:hAnsi="Arial" w:cs="Arial"/>
          <w:sz w:val="24"/>
          <w:szCs w:val="24"/>
        </w:rPr>
        <w:t>bloker</w:t>
      </w:r>
      <w:proofErr w:type="spellEnd"/>
      <w:r>
        <w:rPr>
          <w:rFonts w:ascii="Arial" w:hAnsi="Arial" w:cs="Arial"/>
          <w:sz w:val="24"/>
          <w:szCs w:val="24"/>
        </w:rPr>
        <w:t xml:space="preserve"> ve RAAS inhibitörleri) </w:t>
      </w:r>
      <w:proofErr w:type="spellStart"/>
      <w:r w:rsidRPr="00911309">
        <w:rPr>
          <w:rFonts w:ascii="Arial" w:hAnsi="Arial" w:cs="Arial"/>
          <w:sz w:val="24"/>
          <w:szCs w:val="24"/>
        </w:rPr>
        <w:t>dekompansasyondan</w:t>
      </w:r>
      <w:proofErr w:type="spellEnd"/>
      <w:r w:rsidRPr="00911309">
        <w:rPr>
          <w:rFonts w:ascii="Arial" w:hAnsi="Arial" w:cs="Arial"/>
          <w:sz w:val="24"/>
          <w:szCs w:val="24"/>
        </w:rPr>
        <w:t xml:space="preserve"> hemen sonra başlanması konusunda pratikte isteksizlik vardır.</w:t>
      </w:r>
    </w:p>
    <w:p w:rsidR="00911309" w:rsidRDefault="00911309" w:rsidP="00911309">
      <w:pPr>
        <w:pStyle w:val="ListeParagraf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11309">
        <w:rPr>
          <w:rFonts w:ascii="Arial" w:hAnsi="Arial" w:cs="Arial"/>
          <w:sz w:val="24"/>
          <w:szCs w:val="24"/>
        </w:rPr>
        <w:t xml:space="preserve">Çalışmadaki </w:t>
      </w:r>
      <w:proofErr w:type="spellStart"/>
      <w:r w:rsidRPr="00911309">
        <w:rPr>
          <w:rFonts w:ascii="Arial" w:hAnsi="Arial" w:cs="Arial"/>
          <w:sz w:val="24"/>
          <w:szCs w:val="24"/>
        </w:rPr>
        <w:t>empagliflozin</w:t>
      </w:r>
      <w:proofErr w:type="spellEnd"/>
      <w:r w:rsidRPr="00911309">
        <w:rPr>
          <w:rFonts w:ascii="Arial" w:hAnsi="Arial" w:cs="Arial"/>
          <w:sz w:val="24"/>
          <w:szCs w:val="24"/>
        </w:rPr>
        <w:t xml:space="preserve">, hastaneye yatıştan ortalama 3 gün sonra </w:t>
      </w:r>
      <w:proofErr w:type="gramStart"/>
      <w:r w:rsidRPr="00911309">
        <w:rPr>
          <w:rFonts w:ascii="Arial" w:hAnsi="Arial" w:cs="Arial"/>
          <w:sz w:val="24"/>
          <w:szCs w:val="24"/>
        </w:rPr>
        <w:t>stabilize</w:t>
      </w:r>
      <w:proofErr w:type="gramEnd"/>
      <w:r w:rsidRPr="00911309">
        <w:rPr>
          <w:rFonts w:ascii="Arial" w:hAnsi="Arial" w:cs="Arial"/>
          <w:sz w:val="24"/>
          <w:szCs w:val="24"/>
        </w:rPr>
        <w:t xml:space="preserve"> ortamda başlatıldı.</w:t>
      </w:r>
    </w:p>
    <w:p w:rsidR="00260E1C" w:rsidRDefault="00260E1C" w:rsidP="00260E1C">
      <w:pPr>
        <w:pStyle w:val="ListeParagraf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Çalışma</w:t>
      </w:r>
      <w:r w:rsidR="00131290">
        <w:rPr>
          <w:rFonts w:ascii="Arial" w:hAnsi="Arial" w:cs="Arial"/>
          <w:sz w:val="24"/>
          <w:szCs w:val="24"/>
        </w:rPr>
        <w:t xml:space="preserve">, doktorlara ilacın </w:t>
      </w:r>
      <w:r w:rsidRPr="00260E1C">
        <w:rPr>
          <w:rFonts w:ascii="Arial" w:hAnsi="Arial" w:cs="Arial"/>
          <w:sz w:val="24"/>
          <w:szCs w:val="24"/>
        </w:rPr>
        <w:t>hastanede erken dönemde başla</w:t>
      </w:r>
      <w:r>
        <w:rPr>
          <w:rFonts w:ascii="Arial" w:hAnsi="Arial" w:cs="Arial"/>
          <w:sz w:val="24"/>
          <w:szCs w:val="24"/>
        </w:rPr>
        <w:t>nmasının sadece güvenli değil</w:t>
      </w:r>
      <w:r w:rsidRPr="00260E1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 ayni zamanda </w:t>
      </w:r>
      <w:r w:rsidRPr="00260E1C">
        <w:rPr>
          <w:rFonts w:ascii="Arial" w:hAnsi="Arial" w:cs="Arial"/>
          <w:sz w:val="24"/>
          <w:szCs w:val="24"/>
        </w:rPr>
        <w:t>hastane</w:t>
      </w:r>
      <w:r>
        <w:rPr>
          <w:rFonts w:ascii="Arial" w:hAnsi="Arial" w:cs="Arial"/>
          <w:sz w:val="24"/>
          <w:szCs w:val="24"/>
        </w:rPr>
        <w:t xml:space="preserve">de erken </w:t>
      </w:r>
      <w:proofErr w:type="gramStart"/>
      <w:r>
        <w:rPr>
          <w:rFonts w:ascii="Arial" w:hAnsi="Arial" w:cs="Arial"/>
          <w:sz w:val="24"/>
          <w:szCs w:val="24"/>
        </w:rPr>
        <w:t>başlandığında   faydalı</w:t>
      </w:r>
      <w:proofErr w:type="gramEnd"/>
      <w:r>
        <w:rPr>
          <w:rFonts w:ascii="Arial" w:hAnsi="Arial" w:cs="Arial"/>
          <w:sz w:val="24"/>
          <w:szCs w:val="24"/>
        </w:rPr>
        <w:t xml:space="preserve"> olduğu konusunda da</w:t>
      </w:r>
      <w:r w:rsidR="006A1A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güvence vermektedir</w:t>
      </w:r>
      <w:r w:rsidR="00131290">
        <w:rPr>
          <w:rFonts w:ascii="Arial" w:hAnsi="Arial" w:cs="Arial"/>
          <w:sz w:val="24"/>
          <w:szCs w:val="24"/>
        </w:rPr>
        <w:t>.</w:t>
      </w:r>
    </w:p>
    <w:p w:rsidR="00131290" w:rsidRDefault="00131290" w:rsidP="0026291A">
      <w:pPr>
        <w:pStyle w:val="ListeParagraf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31290">
        <w:rPr>
          <w:rFonts w:ascii="Arial" w:hAnsi="Arial" w:cs="Arial"/>
          <w:sz w:val="24"/>
          <w:szCs w:val="24"/>
        </w:rPr>
        <w:t xml:space="preserve">EMPULSE, diğer yeni çalışmalardan alınan </w:t>
      </w:r>
      <w:r>
        <w:rPr>
          <w:rFonts w:ascii="Arial" w:hAnsi="Arial" w:cs="Arial"/>
          <w:sz w:val="24"/>
          <w:szCs w:val="24"/>
        </w:rPr>
        <w:t xml:space="preserve">pozitif </w:t>
      </w:r>
      <w:r w:rsidR="0026291A">
        <w:rPr>
          <w:rFonts w:ascii="Arial" w:hAnsi="Arial" w:cs="Arial"/>
          <w:sz w:val="24"/>
          <w:szCs w:val="24"/>
        </w:rPr>
        <w:t>destekle birleştiğinde, klinik pratiği değiştirmeli:  “</w:t>
      </w:r>
      <w:r w:rsidR="0026291A" w:rsidRPr="0026291A">
        <w:rPr>
          <w:rFonts w:ascii="Arial" w:hAnsi="Arial" w:cs="Arial"/>
          <w:sz w:val="24"/>
          <w:szCs w:val="24"/>
        </w:rPr>
        <w:t>SGLT2 inhibitörü tedavisinin b</w:t>
      </w:r>
      <w:r w:rsidR="0026291A">
        <w:rPr>
          <w:rFonts w:ascii="Arial" w:hAnsi="Arial" w:cs="Arial"/>
          <w:sz w:val="24"/>
          <w:szCs w:val="24"/>
        </w:rPr>
        <w:t>aşlatılmasının geciktirilmesi</w:t>
      </w:r>
      <w:r w:rsidR="0026291A" w:rsidRPr="0026291A">
        <w:rPr>
          <w:rFonts w:ascii="Arial" w:hAnsi="Arial" w:cs="Arial"/>
          <w:sz w:val="24"/>
          <w:szCs w:val="24"/>
        </w:rPr>
        <w:t>, hastaları gereksiz zararlara maruz bırakabileceğinin ve sağlık durumunun iyileştirilmesinde gecikmelere yol açabileceğinin açık bir şekilde kabul edilmesiyle birlikte</w:t>
      </w:r>
      <w:r w:rsidRPr="00131290">
        <w:rPr>
          <w:rFonts w:ascii="Arial" w:hAnsi="Arial" w:cs="Arial"/>
          <w:sz w:val="24"/>
          <w:szCs w:val="24"/>
        </w:rPr>
        <w:t xml:space="preserve"> KY ile hastaneye yatırılan hastalarda SGLT2 inhibitörlerinin hastanede erken başlanması beklentidir</w:t>
      </w:r>
      <w:proofErr w:type="gramStart"/>
      <w:r w:rsidRPr="00131290">
        <w:rPr>
          <w:rFonts w:ascii="Arial" w:hAnsi="Arial" w:cs="Arial"/>
          <w:sz w:val="24"/>
          <w:szCs w:val="24"/>
        </w:rPr>
        <w:t>,</w:t>
      </w:r>
      <w:r w:rsidR="00E4747D">
        <w:rPr>
          <w:rFonts w:ascii="Arial" w:hAnsi="Arial" w:cs="Arial"/>
          <w:sz w:val="24"/>
          <w:szCs w:val="24"/>
        </w:rPr>
        <w:t>.</w:t>
      </w:r>
      <w:proofErr w:type="gramEnd"/>
    </w:p>
    <w:p w:rsidR="00E4747D" w:rsidRDefault="00E4747D" w:rsidP="00E4747D">
      <w:pPr>
        <w:pStyle w:val="ListeParagraf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E4747D">
        <w:rPr>
          <w:rFonts w:ascii="Arial" w:hAnsi="Arial" w:cs="Arial"/>
          <w:sz w:val="24"/>
          <w:szCs w:val="24"/>
        </w:rPr>
        <w:lastRenderedPageBreak/>
        <w:t>EF'den</w:t>
      </w:r>
      <w:proofErr w:type="spellEnd"/>
      <w:r w:rsidRPr="00E4747D">
        <w:rPr>
          <w:rFonts w:ascii="Arial" w:hAnsi="Arial" w:cs="Arial"/>
          <w:sz w:val="24"/>
          <w:szCs w:val="24"/>
        </w:rPr>
        <w:t xml:space="preserve"> bağımsız olarak </w:t>
      </w:r>
      <w:proofErr w:type="spellStart"/>
      <w:r w:rsidRPr="00E4747D">
        <w:rPr>
          <w:rFonts w:ascii="Arial" w:hAnsi="Arial" w:cs="Arial"/>
          <w:sz w:val="24"/>
          <w:szCs w:val="24"/>
        </w:rPr>
        <w:t>KY'li</w:t>
      </w:r>
      <w:proofErr w:type="spellEnd"/>
      <w:r w:rsidRPr="00E4747D">
        <w:rPr>
          <w:rFonts w:ascii="Arial" w:hAnsi="Arial" w:cs="Arial"/>
          <w:sz w:val="24"/>
          <w:szCs w:val="24"/>
        </w:rPr>
        <w:t xml:space="preserve"> hastalar için, SGLT2 inhibitörlerinin bir kez </w:t>
      </w:r>
      <w:proofErr w:type="gramStart"/>
      <w:r w:rsidRPr="00E4747D">
        <w:rPr>
          <w:rFonts w:ascii="Arial" w:hAnsi="Arial" w:cs="Arial"/>
          <w:sz w:val="24"/>
          <w:szCs w:val="24"/>
        </w:rPr>
        <w:t>stabilize</w:t>
      </w:r>
      <w:proofErr w:type="gramEnd"/>
      <w:r w:rsidRPr="00E4747D">
        <w:rPr>
          <w:rFonts w:ascii="Arial" w:hAnsi="Arial" w:cs="Arial"/>
          <w:sz w:val="24"/>
          <w:szCs w:val="24"/>
        </w:rPr>
        <w:t xml:space="preserve"> edildikten sonra ve </w:t>
      </w:r>
      <w:proofErr w:type="spellStart"/>
      <w:r w:rsidRPr="00E4747D">
        <w:rPr>
          <w:rFonts w:ascii="Arial" w:hAnsi="Arial" w:cs="Arial"/>
          <w:sz w:val="24"/>
          <w:szCs w:val="24"/>
        </w:rPr>
        <w:t>kontrendikasyon</w:t>
      </w:r>
      <w:proofErr w:type="spellEnd"/>
      <w:r w:rsidRPr="00E4747D">
        <w:rPr>
          <w:rFonts w:ascii="Arial" w:hAnsi="Arial" w:cs="Arial"/>
          <w:sz w:val="24"/>
          <w:szCs w:val="24"/>
        </w:rPr>
        <w:t xml:space="preserve"> yokluğunda hastane içinde erken başlanması yeni bir bakım standardı olarak düşünülmelidir.</w:t>
      </w:r>
    </w:p>
    <w:p w:rsidR="00E77965" w:rsidRDefault="00D217E2" w:rsidP="00D217E2">
      <w:pPr>
        <w:pStyle w:val="ListeParagraf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217E2">
        <w:rPr>
          <w:rFonts w:ascii="Arial" w:hAnsi="Arial" w:cs="Arial"/>
          <w:sz w:val="24"/>
          <w:szCs w:val="24"/>
        </w:rPr>
        <w:t xml:space="preserve">Deneme ayrıca, stabilize edildikten sonra </w:t>
      </w:r>
      <w:proofErr w:type="spellStart"/>
      <w:r>
        <w:rPr>
          <w:rFonts w:ascii="Arial" w:hAnsi="Arial" w:cs="Arial"/>
          <w:sz w:val="24"/>
          <w:szCs w:val="24"/>
        </w:rPr>
        <w:t>KYd</w:t>
      </w:r>
      <w:r w:rsidRPr="00D217E2">
        <w:rPr>
          <w:rFonts w:ascii="Arial" w:hAnsi="Arial" w:cs="Arial"/>
          <w:sz w:val="24"/>
          <w:szCs w:val="24"/>
        </w:rPr>
        <w:t>EF</w:t>
      </w:r>
      <w:proofErr w:type="spellEnd"/>
      <w:r w:rsidRPr="00D217E2">
        <w:rPr>
          <w:rFonts w:ascii="Arial" w:hAnsi="Arial" w:cs="Arial"/>
          <w:sz w:val="24"/>
          <w:szCs w:val="24"/>
        </w:rPr>
        <w:t xml:space="preserve"> ile hastaneye yatırılan hastalarda </w:t>
      </w:r>
      <w:proofErr w:type="spellStart"/>
      <w:r>
        <w:rPr>
          <w:rFonts w:ascii="Arial" w:hAnsi="Arial" w:cs="Arial"/>
          <w:sz w:val="24"/>
          <w:szCs w:val="24"/>
        </w:rPr>
        <w:t>KYd</w:t>
      </w:r>
      <w:r w:rsidRPr="00D217E2">
        <w:rPr>
          <w:rFonts w:ascii="Arial" w:hAnsi="Arial" w:cs="Arial"/>
          <w:sz w:val="24"/>
          <w:szCs w:val="24"/>
        </w:rPr>
        <w:t>EF'</w:t>
      </w:r>
      <w:r>
        <w:rPr>
          <w:rFonts w:ascii="Arial" w:hAnsi="Arial" w:cs="Arial"/>
          <w:sz w:val="24"/>
          <w:szCs w:val="24"/>
        </w:rPr>
        <w:t>n</w:t>
      </w:r>
      <w:r w:rsidRPr="00D217E2">
        <w:rPr>
          <w:rFonts w:ascii="Arial" w:hAnsi="Arial" w:cs="Arial"/>
          <w:sz w:val="24"/>
          <w:szCs w:val="24"/>
        </w:rPr>
        <w:t>in</w:t>
      </w:r>
      <w:proofErr w:type="spellEnd"/>
      <w:r w:rsidRPr="00D217E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217E2">
        <w:rPr>
          <w:rFonts w:ascii="Arial" w:hAnsi="Arial" w:cs="Arial"/>
          <w:sz w:val="24"/>
          <w:szCs w:val="24"/>
        </w:rPr>
        <w:t>kılavuz</w:t>
      </w:r>
      <w:r>
        <w:rPr>
          <w:rFonts w:ascii="Arial" w:hAnsi="Arial" w:cs="Arial"/>
          <w:sz w:val="24"/>
          <w:szCs w:val="24"/>
        </w:rPr>
        <w:t>unyönlendirdiği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D217E2">
        <w:rPr>
          <w:rFonts w:ascii="Arial" w:hAnsi="Arial" w:cs="Arial"/>
          <w:sz w:val="24"/>
          <w:szCs w:val="24"/>
        </w:rPr>
        <w:t xml:space="preserve"> tıbbi</w:t>
      </w:r>
      <w:proofErr w:type="gramEnd"/>
      <w:r w:rsidRPr="00D217E2">
        <w:rPr>
          <w:rFonts w:ascii="Arial" w:hAnsi="Arial" w:cs="Arial"/>
          <w:sz w:val="24"/>
          <w:szCs w:val="24"/>
        </w:rPr>
        <w:t xml:space="preserve"> tedavisinin dört ayağı</w:t>
      </w:r>
      <w:r>
        <w:rPr>
          <w:rFonts w:ascii="Arial" w:hAnsi="Arial" w:cs="Arial"/>
          <w:sz w:val="24"/>
          <w:szCs w:val="24"/>
        </w:rPr>
        <w:t xml:space="preserve"> (Beta-</w:t>
      </w:r>
      <w:proofErr w:type="spellStart"/>
      <w:r>
        <w:rPr>
          <w:rFonts w:ascii="Arial" w:hAnsi="Arial" w:cs="Arial"/>
          <w:sz w:val="24"/>
          <w:szCs w:val="24"/>
        </w:rPr>
        <w:t>bloker</w:t>
      </w:r>
      <w:proofErr w:type="spellEnd"/>
      <w:r>
        <w:rPr>
          <w:rFonts w:ascii="Arial" w:hAnsi="Arial" w:cs="Arial"/>
          <w:sz w:val="24"/>
          <w:szCs w:val="24"/>
        </w:rPr>
        <w:t>-  MRA- SGLT2i ve ACEİ/ ARB/ ARNİ</w:t>
      </w:r>
      <w:r w:rsidR="009D5C3D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>’den birisi )</w:t>
      </w:r>
      <w:r w:rsidRPr="00D217E2">
        <w:rPr>
          <w:rFonts w:ascii="Arial" w:hAnsi="Arial" w:cs="Arial"/>
          <w:sz w:val="24"/>
          <w:szCs w:val="24"/>
        </w:rPr>
        <w:t xml:space="preserve"> olarak adlandırılan "eşzamanlı veya hızlı ardışık başlatma" stratejisine yeni bir ağırlık kazandırmaktadır.</w:t>
      </w:r>
    </w:p>
    <w:p w:rsidR="00CC1594" w:rsidRPr="00CC1594" w:rsidRDefault="00CC1594" w:rsidP="00CC1594">
      <w:pPr>
        <w:pStyle w:val="ListeParagraf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C1594">
        <w:rPr>
          <w:rFonts w:ascii="Arial" w:hAnsi="Arial" w:cs="Arial"/>
          <w:sz w:val="24"/>
          <w:szCs w:val="24"/>
        </w:rPr>
        <w:t xml:space="preserve">EMPULSE çalışmasındaki hastalar yeni bir KY tanısıyla </w:t>
      </w:r>
      <w:r>
        <w:rPr>
          <w:rFonts w:ascii="Arial" w:hAnsi="Arial" w:cs="Arial"/>
          <w:sz w:val="24"/>
          <w:szCs w:val="24"/>
        </w:rPr>
        <w:t xml:space="preserve">çalışmaya </w:t>
      </w:r>
      <w:proofErr w:type="gramStart"/>
      <w:r>
        <w:rPr>
          <w:rFonts w:ascii="Arial" w:hAnsi="Arial" w:cs="Arial"/>
          <w:sz w:val="24"/>
          <w:szCs w:val="24"/>
        </w:rPr>
        <w:t xml:space="preserve">alındıkları </w:t>
      </w:r>
      <w:r w:rsidRPr="00CC1594">
        <w:rPr>
          <w:rFonts w:ascii="Arial" w:hAnsi="Arial" w:cs="Arial"/>
          <w:sz w:val="24"/>
          <w:szCs w:val="24"/>
        </w:rPr>
        <w:t xml:space="preserve"> için</w:t>
      </w:r>
      <w:proofErr w:type="gramEnd"/>
      <w:r w:rsidRPr="00CC1594">
        <w:rPr>
          <w:rFonts w:ascii="Arial" w:hAnsi="Arial" w:cs="Arial"/>
          <w:sz w:val="24"/>
          <w:szCs w:val="24"/>
        </w:rPr>
        <w:t>, tanımları gereği, hepsi kronik kılavuza yönelik KY tedavisi almıyordu.</w:t>
      </w:r>
    </w:p>
    <w:p w:rsidR="00CC1594" w:rsidRPr="00CC1594" w:rsidRDefault="00CC1594" w:rsidP="00CC1594">
      <w:pPr>
        <w:pStyle w:val="ListeParagraf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C1594">
        <w:rPr>
          <w:rFonts w:ascii="Arial" w:hAnsi="Arial" w:cs="Arial"/>
          <w:sz w:val="24"/>
          <w:szCs w:val="24"/>
        </w:rPr>
        <w:t>Bununla birlikte, bu tür hastalar çalışma müdahalesinden eşit şekilde yararlandı,</w:t>
      </w:r>
    </w:p>
    <w:p w:rsidR="00E4747D" w:rsidRDefault="00E4747D" w:rsidP="00E4747D">
      <w:pPr>
        <w:pStyle w:val="ListeParagraf"/>
        <w:ind w:left="1080"/>
        <w:rPr>
          <w:rFonts w:ascii="Arial" w:hAnsi="Arial" w:cs="Arial"/>
          <w:sz w:val="24"/>
          <w:szCs w:val="24"/>
        </w:rPr>
      </w:pPr>
    </w:p>
    <w:p w:rsidR="00AB294F" w:rsidRDefault="00AB294F" w:rsidP="00E4747D">
      <w:pPr>
        <w:pStyle w:val="ListeParagraf"/>
        <w:ind w:left="1080"/>
        <w:rPr>
          <w:rFonts w:ascii="Arial" w:hAnsi="Arial" w:cs="Arial"/>
          <w:sz w:val="24"/>
          <w:szCs w:val="24"/>
        </w:rPr>
      </w:pPr>
    </w:p>
    <w:p w:rsidR="00AB294F" w:rsidRDefault="00AB294F" w:rsidP="00E4747D">
      <w:pPr>
        <w:pStyle w:val="ListeParagraf"/>
        <w:ind w:left="1080"/>
        <w:rPr>
          <w:rFonts w:ascii="Arial" w:hAnsi="Arial" w:cs="Arial"/>
          <w:sz w:val="24"/>
          <w:szCs w:val="24"/>
        </w:rPr>
      </w:pPr>
    </w:p>
    <w:p w:rsidR="00AB294F" w:rsidRDefault="00AB294F" w:rsidP="00AB294F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0CF3">
        <w:rPr>
          <w:rFonts w:ascii="Times New Roman" w:hAnsi="Times New Roman" w:cs="Times New Roman"/>
          <w:sz w:val="24"/>
          <w:szCs w:val="24"/>
        </w:rPr>
        <w:t>Voors</w:t>
      </w:r>
      <w:proofErr w:type="spellEnd"/>
      <w:r w:rsidRPr="00C90CF3">
        <w:rPr>
          <w:rFonts w:ascii="Times New Roman" w:hAnsi="Times New Roman" w:cs="Times New Roman"/>
          <w:sz w:val="24"/>
          <w:szCs w:val="24"/>
        </w:rPr>
        <w:t xml:space="preserve"> AA , </w:t>
      </w:r>
      <w:proofErr w:type="spellStart"/>
      <w:r w:rsidRPr="00C90CF3">
        <w:rPr>
          <w:rFonts w:ascii="Times New Roman" w:hAnsi="Times New Roman" w:cs="Times New Roman"/>
          <w:sz w:val="24"/>
          <w:szCs w:val="24"/>
        </w:rPr>
        <w:t>Angermann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CF3">
        <w:rPr>
          <w:rFonts w:ascii="Times New Roman" w:hAnsi="Times New Roman" w:cs="Times New Roman"/>
          <w:sz w:val="24"/>
          <w:szCs w:val="24"/>
        </w:rPr>
        <w:t xml:space="preserve">CE   , </w:t>
      </w:r>
      <w:proofErr w:type="spellStart"/>
      <w:r w:rsidRPr="00C90CF3">
        <w:rPr>
          <w:rFonts w:ascii="Times New Roman" w:hAnsi="Times New Roman" w:cs="Times New Roman"/>
          <w:sz w:val="24"/>
          <w:szCs w:val="24"/>
        </w:rPr>
        <w:t>Teerlink</w:t>
      </w:r>
      <w:proofErr w:type="spellEnd"/>
      <w:r w:rsidRPr="00C90C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0CF3">
        <w:rPr>
          <w:rFonts w:ascii="Times New Roman" w:hAnsi="Times New Roman" w:cs="Times New Roman"/>
          <w:sz w:val="24"/>
          <w:szCs w:val="24"/>
        </w:rPr>
        <w:t xml:space="preserve">JR , </w:t>
      </w:r>
      <w:proofErr w:type="spellStart"/>
      <w:r w:rsidRPr="00C90CF3">
        <w:rPr>
          <w:rFonts w:ascii="Times New Roman" w:hAnsi="Times New Roman" w:cs="Times New Roman"/>
          <w:sz w:val="24"/>
          <w:szCs w:val="24"/>
        </w:rPr>
        <w:t>Collins</w:t>
      </w:r>
      <w:proofErr w:type="spellEnd"/>
      <w:proofErr w:type="gramEnd"/>
      <w:r w:rsidRPr="00C90CF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90CF3">
        <w:rPr>
          <w:rFonts w:ascii="Times New Roman" w:hAnsi="Times New Roman" w:cs="Times New Roman"/>
          <w:sz w:val="24"/>
          <w:szCs w:val="24"/>
        </w:rPr>
        <w:t>SP,Kosiborod</w:t>
      </w:r>
      <w:proofErr w:type="spellEnd"/>
      <w:r w:rsidRPr="00C90CF3">
        <w:rPr>
          <w:rFonts w:ascii="Times New Roman" w:hAnsi="Times New Roman" w:cs="Times New Roman"/>
          <w:sz w:val="24"/>
          <w:szCs w:val="24"/>
        </w:rPr>
        <w:t xml:space="preserve"> M et al.</w:t>
      </w:r>
      <w:r w:rsidRPr="00C90C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0CF3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C90CF3">
        <w:rPr>
          <w:rFonts w:ascii="Times New Roman" w:hAnsi="Times New Roman" w:cs="Times New Roman"/>
          <w:b/>
          <w:sz w:val="24"/>
          <w:szCs w:val="24"/>
        </w:rPr>
        <w:t xml:space="preserve"> SGLT2 </w:t>
      </w:r>
      <w:proofErr w:type="spellStart"/>
      <w:r w:rsidRPr="00C90CF3">
        <w:rPr>
          <w:rFonts w:ascii="Times New Roman" w:hAnsi="Times New Roman" w:cs="Times New Roman"/>
          <w:b/>
          <w:sz w:val="24"/>
          <w:szCs w:val="24"/>
        </w:rPr>
        <w:t>inhibitor</w:t>
      </w:r>
      <w:proofErr w:type="spellEnd"/>
      <w:r w:rsidRPr="00C90C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0CF3">
        <w:rPr>
          <w:rFonts w:ascii="Times New Roman" w:hAnsi="Times New Roman" w:cs="Times New Roman"/>
          <w:b/>
          <w:sz w:val="24"/>
          <w:szCs w:val="24"/>
        </w:rPr>
        <w:t>empagliflozin</w:t>
      </w:r>
      <w:proofErr w:type="spellEnd"/>
      <w:r w:rsidRPr="00C90CF3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C90CF3">
        <w:rPr>
          <w:rFonts w:ascii="Times New Roman" w:hAnsi="Times New Roman" w:cs="Times New Roman"/>
          <w:b/>
          <w:sz w:val="24"/>
          <w:szCs w:val="24"/>
        </w:rPr>
        <w:t>patients</w:t>
      </w:r>
      <w:proofErr w:type="spellEnd"/>
      <w:r w:rsidRPr="00C90C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0CF3">
        <w:rPr>
          <w:rFonts w:ascii="Times New Roman" w:hAnsi="Times New Roman" w:cs="Times New Roman"/>
          <w:b/>
          <w:sz w:val="24"/>
          <w:szCs w:val="24"/>
        </w:rPr>
        <w:t>hospitalized</w:t>
      </w:r>
      <w:proofErr w:type="spellEnd"/>
      <w:r w:rsidRPr="00C90C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0CF3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C90C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0CF3">
        <w:rPr>
          <w:rFonts w:ascii="Times New Roman" w:hAnsi="Times New Roman" w:cs="Times New Roman"/>
          <w:b/>
          <w:sz w:val="24"/>
          <w:szCs w:val="24"/>
        </w:rPr>
        <w:t>acute</w:t>
      </w:r>
      <w:proofErr w:type="spellEnd"/>
      <w:r w:rsidRPr="00C90C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0CF3">
        <w:rPr>
          <w:rFonts w:ascii="Times New Roman" w:hAnsi="Times New Roman" w:cs="Times New Roman"/>
          <w:b/>
          <w:sz w:val="24"/>
          <w:szCs w:val="24"/>
        </w:rPr>
        <w:t>heart</w:t>
      </w:r>
      <w:proofErr w:type="spellEnd"/>
      <w:r w:rsidRPr="00C90C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0CF3">
        <w:rPr>
          <w:rFonts w:ascii="Times New Roman" w:hAnsi="Times New Roman" w:cs="Times New Roman"/>
          <w:b/>
          <w:sz w:val="24"/>
          <w:szCs w:val="24"/>
        </w:rPr>
        <w:t>failure</w:t>
      </w:r>
      <w:proofErr w:type="spellEnd"/>
      <w:r w:rsidRPr="00C90CF3">
        <w:rPr>
          <w:rFonts w:ascii="Times New Roman" w:hAnsi="Times New Roman" w:cs="Times New Roman"/>
          <w:b/>
          <w:sz w:val="24"/>
          <w:szCs w:val="24"/>
        </w:rPr>
        <w:t xml:space="preserve">: a </w:t>
      </w:r>
      <w:proofErr w:type="spellStart"/>
      <w:r w:rsidRPr="00C90CF3">
        <w:rPr>
          <w:rFonts w:ascii="Times New Roman" w:hAnsi="Times New Roman" w:cs="Times New Roman"/>
          <w:b/>
          <w:sz w:val="24"/>
          <w:szCs w:val="24"/>
        </w:rPr>
        <w:t>multinational</w:t>
      </w:r>
      <w:proofErr w:type="spellEnd"/>
      <w:r w:rsidRPr="00C90C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0CF3">
        <w:rPr>
          <w:rFonts w:ascii="Times New Roman" w:hAnsi="Times New Roman" w:cs="Times New Roman"/>
          <w:b/>
          <w:sz w:val="24"/>
          <w:szCs w:val="24"/>
        </w:rPr>
        <w:t>randomized</w:t>
      </w:r>
      <w:proofErr w:type="spellEnd"/>
      <w:r w:rsidRPr="00C90C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0CF3">
        <w:rPr>
          <w:rFonts w:ascii="Times New Roman" w:hAnsi="Times New Roman" w:cs="Times New Roman"/>
          <w:b/>
          <w:sz w:val="24"/>
          <w:szCs w:val="24"/>
        </w:rPr>
        <w:t>trial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51A53">
        <w:rPr>
          <w:rFonts w:ascii="Times New Roman" w:hAnsi="Times New Roman" w:cs="Times New Roman"/>
          <w:b/>
          <w:sz w:val="24"/>
          <w:szCs w:val="24"/>
        </w:rPr>
        <w:t xml:space="preserve">Nature </w:t>
      </w:r>
      <w:proofErr w:type="spellStart"/>
      <w:r w:rsidRPr="00751A53">
        <w:rPr>
          <w:rFonts w:ascii="Times New Roman" w:hAnsi="Times New Roman" w:cs="Times New Roman"/>
          <w:b/>
          <w:sz w:val="24"/>
          <w:szCs w:val="24"/>
        </w:rPr>
        <w:t>Medicine</w:t>
      </w:r>
      <w:proofErr w:type="spellEnd"/>
      <w:r w:rsidRPr="00751A53">
        <w:rPr>
          <w:rFonts w:ascii="Times New Roman" w:hAnsi="Times New Roman" w:cs="Times New Roman"/>
          <w:b/>
          <w:sz w:val="24"/>
          <w:szCs w:val="24"/>
        </w:rPr>
        <w:t xml:space="preserve"> | VOL 28 | </w:t>
      </w:r>
      <w:proofErr w:type="spellStart"/>
      <w:r w:rsidRPr="00751A53">
        <w:rPr>
          <w:rFonts w:ascii="Times New Roman" w:hAnsi="Times New Roman" w:cs="Times New Roman"/>
          <w:b/>
          <w:sz w:val="24"/>
          <w:szCs w:val="24"/>
        </w:rPr>
        <w:t>March</w:t>
      </w:r>
      <w:proofErr w:type="spellEnd"/>
      <w:r w:rsidRPr="00751A53">
        <w:rPr>
          <w:rFonts w:ascii="Times New Roman" w:hAnsi="Times New Roman" w:cs="Times New Roman"/>
          <w:b/>
          <w:sz w:val="24"/>
          <w:szCs w:val="24"/>
        </w:rPr>
        <w:t xml:space="preserve"> 2022 | 568–574</w:t>
      </w:r>
    </w:p>
    <w:p w:rsidR="00AB294F" w:rsidRPr="00751A53" w:rsidRDefault="00AB294F" w:rsidP="00AB294F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4"/>
          <w:szCs w:val="24"/>
        </w:rPr>
      </w:pPr>
    </w:p>
    <w:p w:rsidR="00AB294F" w:rsidRDefault="00AB294F" w:rsidP="00E4747D">
      <w:pPr>
        <w:pStyle w:val="ListeParagraf"/>
        <w:ind w:left="1080"/>
        <w:rPr>
          <w:rFonts w:ascii="Arial" w:hAnsi="Arial" w:cs="Arial"/>
          <w:sz w:val="24"/>
          <w:szCs w:val="24"/>
        </w:rPr>
      </w:pPr>
    </w:p>
    <w:p w:rsidR="00AB294F" w:rsidRDefault="00AB294F" w:rsidP="00E4747D">
      <w:pPr>
        <w:pStyle w:val="ListeParagraf"/>
        <w:ind w:left="1080"/>
        <w:rPr>
          <w:rFonts w:ascii="Arial" w:hAnsi="Arial" w:cs="Arial"/>
          <w:sz w:val="24"/>
          <w:szCs w:val="24"/>
        </w:rPr>
      </w:pPr>
    </w:p>
    <w:p w:rsidR="00AB294F" w:rsidRPr="00AB294F" w:rsidRDefault="00AB294F" w:rsidP="00AB294F">
      <w:pPr>
        <w:rPr>
          <w:rFonts w:ascii="Times New Roman" w:eastAsia="Calibri" w:hAnsi="Times New Roman" w:cs="Times New Roman"/>
          <w:b/>
          <w:sz w:val="32"/>
          <w:szCs w:val="32"/>
          <w:highlight w:val="yellow"/>
        </w:rPr>
      </w:pPr>
      <w:r w:rsidRPr="00AB294F">
        <w:rPr>
          <w:rFonts w:ascii="Times New Roman" w:eastAsia="Calibri" w:hAnsi="Times New Roman" w:cs="Times New Roman"/>
          <w:b/>
          <w:sz w:val="32"/>
          <w:szCs w:val="32"/>
        </w:rPr>
        <w:t xml:space="preserve">Akut kalp yetersizliği nedeniyle hastaneye yatırılan hastalarda SGLT2 inhibitörü </w:t>
      </w:r>
      <w:proofErr w:type="spellStart"/>
      <w:r w:rsidRPr="00AB294F">
        <w:rPr>
          <w:rFonts w:ascii="Times New Roman" w:eastAsia="Calibri" w:hAnsi="Times New Roman" w:cs="Times New Roman"/>
          <w:b/>
          <w:sz w:val="32"/>
          <w:szCs w:val="32"/>
        </w:rPr>
        <w:t>empagliflozin</w:t>
      </w:r>
      <w:proofErr w:type="spellEnd"/>
      <w:r w:rsidRPr="00AB294F">
        <w:rPr>
          <w:rFonts w:ascii="Times New Roman" w:eastAsia="Calibri" w:hAnsi="Times New Roman" w:cs="Times New Roman"/>
          <w:b/>
          <w:sz w:val="32"/>
          <w:szCs w:val="32"/>
        </w:rPr>
        <w:t xml:space="preserve">: çok uluslu bir </w:t>
      </w:r>
      <w:proofErr w:type="spellStart"/>
      <w:r w:rsidRPr="00AB294F">
        <w:rPr>
          <w:rFonts w:ascii="Times New Roman" w:eastAsia="Calibri" w:hAnsi="Times New Roman" w:cs="Times New Roman"/>
          <w:b/>
          <w:sz w:val="32"/>
          <w:szCs w:val="32"/>
        </w:rPr>
        <w:t>randomize</w:t>
      </w:r>
      <w:proofErr w:type="spellEnd"/>
      <w:r w:rsidRPr="00AB294F">
        <w:rPr>
          <w:rFonts w:ascii="Times New Roman" w:eastAsia="Calibri" w:hAnsi="Times New Roman" w:cs="Times New Roman"/>
          <w:b/>
          <w:sz w:val="32"/>
          <w:szCs w:val="32"/>
        </w:rPr>
        <w:t xml:space="preserve"> çalışma</w:t>
      </w:r>
    </w:p>
    <w:p w:rsidR="00AB294F" w:rsidRDefault="00AB294F" w:rsidP="00AB294F">
      <w:pPr>
        <w:rPr>
          <w:rFonts w:ascii="Times New Roman" w:hAnsi="Times New Roman" w:cs="Times New Roman"/>
          <w:b/>
          <w:sz w:val="28"/>
          <w:szCs w:val="28"/>
        </w:rPr>
      </w:pPr>
    </w:p>
    <w:p w:rsidR="00AB294F" w:rsidRPr="00AB294F" w:rsidRDefault="00AB294F" w:rsidP="00AB294F">
      <w:pPr>
        <w:rPr>
          <w:rFonts w:ascii="Times New Roman" w:hAnsi="Times New Roman" w:cs="Times New Roman"/>
          <w:b/>
          <w:sz w:val="28"/>
          <w:szCs w:val="28"/>
        </w:rPr>
      </w:pPr>
      <w:r w:rsidRPr="00AB294F">
        <w:rPr>
          <w:rFonts w:ascii="Times New Roman" w:hAnsi="Times New Roman" w:cs="Times New Roman"/>
          <w:b/>
          <w:sz w:val="28"/>
          <w:szCs w:val="28"/>
        </w:rPr>
        <w:t>ÖZET</w:t>
      </w:r>
    </w:p>
    <w:p w:rsidR="00AB294F" w:rsidRPr="00AB294F" w:rsidRDefault="00AB294F" w:rsidP="00AB294F">
      <w:pPr>
        <w:rPr>
          <w:rFonts w:ascii="Times New Roman" w:hAnsi="Times New Roman" w:cs="Times New Roman"/>
        </w:rPr>
      </w:pPr>
      <w:r w:rsidRPr="00AB294F">
        <w:rPr>
          <w:rFonts w:ascii="Times New Roman" w:hAnsi="Times New Roman" w:cs="Times New Roman"/>
        </w:rPr>
        <w:t xml:space="preserve">SGLT2 inhibitörü </w:t>
      </w:r>
      <w:proofErr w:type="spellStart"/>
      <w:r w:rsidRPr="00AB294F">
        <w:rPr>
          <w:rFonts w:ascii="Times New Roman" w:hAnsi="Times New Roman" w:cs="Times New Roman"/>
        </w:rPr>
        <w:t>empagliflozin</w:t>
      </w:r>
      <w:proofErr w:type="spellEnd"/>
      <w:r w:rsidRPr="00AB294F">
        <w:rPr>
          <w:rFonts w:ascii="Times New Roman" w:hAnsi="Times New Roman" w:cs="Times New Roman"/>
        </w:rPr>
        <w:t xml:space="preserve">, kronik KY hastalarında </w:t>
      </w:r>
      <w:proofErr w:type="spellStart"/>
      <w:r w:rsidRPr="00AB294F">
        <w:rPr>
          <w:rFonts w:ascii="Times New Roman" w:hAnsi="Times New Roman" w:cs="Times New Roman"/>
        </w:rPr>
        <w:t>kardiyovasküler</w:t>
      </w:r>
      <w:proofErr w:type="spellEnd"/>
      <w:r w:rsidRPr="00AB294F">
        <w:rPr>
          <w:rFonts w:ascii="Times New Roman" w:hAnsi="Times New Roman" w:cs="Times New Roman"/>
        </w:rPr>
        <w:t xml:space="preserve"> ölüm veya KY nedeniyle hastaneye yatış riskini azaltır, ancak </w:t>
      </w:r>
      <w:proofErr w:type="spellStart"/>
      <w:r w:rsidRPr="00AB294F">
        <w:rPr>
          <w:rFonts w:ascii="Times New Roman" w:hAnsi="Times New Roman" w:cs="Times New Roman"/>
        </w:rPr>
        <w:t>empagliflozin'in</w:t>
      </w:r>
      <w:proofErr w:type="spellEnd"/>
      <w:r w:rsidRPr="00AB294F">
        <w:rPr>
          <w:rFonts w:ascii="Times New Roman" w:hAnsi="Times New Roman" w:cs="Times New Roman"/>
        </w:rPr>
        <w:t xml:space="preserve"> akut KY nedeniyle hastaneye yatırılan hastalarda başlandığında klinik sonuçları düzeltip düzeltmediği bilinmemektedir.</w:t>
      </w:r>
    </w:p>
    <w:p w:rsidR="00AB294F" w:rsidRPr="00AB294F" w:rsidRDefault="00AB294F" w:rsidP="00AB294F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AB294F">
        <w:rPr>
          <w:rFonts w:ascii="Times New Roman" w:hAnsi="Times New Roman" w:cs="Times New Roman"/>
        </w:rPr>
        <w:t xml:space="preserve">Bu çift kör çalışmada (EMPULSE; NCT04157751), sol </w:t>
      </w:r>
      <w:proofErr w:type="spellStart"/>
      <w:r w:rsidRPr="00AB294F">
        <w:rPr>
          <w:rFonts w:ascii="Times New Roman" w:hAnsi="Times New Roman" w:cs="Times New Roman"/>
        </w:rPr>
        <w:t>ventrikül</w:t>
      </w:r>
      <w:proofErr w:type="spellEnd"/>
      <w:r w:rsidRPr="00AB294F">
        <w:rPr>
          <w:rFonts w:ascii="Times New Roman" w:hAnsi="Times New Roman" w:cs="Times New Roman"/>
        </w:rPr>
        <w:t xml:space="preserve"> </w:t>
      </w:r>
      <w:proofErr w:type="spellStart"/>
      <w:r w:rsidRPr="00AB294F">
        <w:rPr>
          <w:rFonts w:ascii="Times New Roman" w:hAnsi="Times New Roman" w:cs="Times New Roman"/>
        </w:rPr>
        <w:t>ejeksiyon</w:t>
      </w:r>
      <w:proofErr w:type="spellEnd"/>
      <w:r w:rsidRPr="00AB294F">
        <w:rPr>
          <w:rFonts w:ascii="Times New Roman" w:hAnsi="Times New Roman" w:cs="Times New Roman"/>
        </w:rPr>
        <w:t xml:space="preserve"> fraksiyonu(SVEF)'den bağımsız olarak </w:t>
      </w:r>
      <w:proofErr w:type="spellStart"/>
      <w:proofErr w:type="gramStart"/>
      <w:r w:rsidRPr="00AB294F">
        <w:rPr>
          <w:rFonts w:ascii="Times New Roman" w:hAnsi="Times New Roman" w:cs="Times New Roman"/>
        </w:rPr>
        <w:t>primer</w:t>
      </w:r>
      <w:proofErr w:type="spellEnd"/>
      <w:r w:rsidRPr="00AB294F">
        <w:rPr>
          <w:rFonts w:ascii="Times New Roman" w:hAnsi="Times New Roman" w:cs="Times New Roman"/>
        </w:rPr>
        <w:t xml:space="preserve">  akut</w:t>
      </w:r>
      <w:proofErr w:type="gramEnd"/>
      <w:r w:rsidRPr="00AB294F">
        <w:rPr>
          <w:rFonts w:ascii="Times New Roman" w:hAnsi="Times New Roman" w:cs="Times New Roman"/>
        </w:rPr>
        <w:t xml:space="preserve"> de </w:t>
      </w:r>
      <w:proofErr w:type="spellStart"/>
      <w:r w:rsidRPr="00AB294F">
        <w:rPr>
          <w:rFonts w:ascii="Times New Roman" w:hAnsi="Times New Roman" w:cs="Times New Roman"/>
        </w:rPr>
        <w:t>novo</w:t>
      </w:r>
      <w:proofErr w:type="spellEnd"/>
      <w:r w:rsidRPr="00AB294F">
        <w:rPr>
          <w:rFonts w:ascii="Times New Roman" w:hAnsi="Times New Roman" w:cs="Times New Roman"/>
        </w:rPr>
        <w:t xml:space="preserve"> (yeni) veya </w:t>
      </w:r>
      <w:proofErr w:type="spellStart"/>
      <w:r w:rsidRPr="00AB294F">
        <w:rPr>
          <w:rFonts w:ascii="Times New Roman" w:hAnsi="Times New Roman" w:cs="Times New Roman"/>
        </w:rPr>
        <w:t>dekompanse</w:t>
      </w:r>
      <w:proofErr w:type="spellEnd"/>
      <w:r w:rsidRPr="00AB294F">
        <w:rPr>
          <w:rFonts w:ascii="Times New Roman" w:hAnsi="Times New Roman" w:cs="Times New Roman"/>
        </w:rPr>
        <w:t xml:space="preserve"> kronik KY tanısı alan 530 hasta, günde bir kez 10 mg </w:t>
      </w:r>
      <w:proofErr w:type="spellStart"/>
      <w:r w:rsidRPr="00AB294F">
        <w:rPr>
          <w:rFonts w:ascii="Times New Roman" w:hAnsi="Times New Roman" w:cs="Times New Roman"/>
        </w:rPr>
        <w:t>empagliflozin</w:t>
      </w:r>
      <w:proofErr w:type="spellEnd"/>
      <w:r w:rsidRPr="00AB294F">
        <w:rPr>
          <w:rFonts w:ascii="Times New Roman" w:hAnsi="Times New Roman" w:cs="Times New Roman"/>
        </w:rPr>
        <w:t xml:space="preserve"> veya </w:t>
      </w:r>
      <w:proofErr w:type="spellStart"/>
      <w:r w:rsidRPr="00AB294F">
        <w:rPr>
          <w:rFonts w:ascii="Times New Roman" w:hAnsi="Times New Roman" w:cs="Times New Roman"/>
        </w:rPr>
        <w:t>plasebo</w:t>
      </w:r>
      <w:proofErr w:type="spellEnd"/>
      <w:r w:rsidRPr="00AB294F">
        <w:rPr>
          <w:rFonts w:ascii="Times New Roman" w:hAnsi="Times New Roman" w:cs="Times New Roman"/>
        </w:rPr>
        <w:t xml:space="preserve"> almak üzere </w:t>
      </w:r>
      <w:proofErr w:type="spellStart"/>
      <w:r w:rsidRPr="00AB294F">
        <w:rPr>
          <w:rFonts w:ascii="Times New Roman" w:hAnsi="Times New Roman" w:cs="Times New Roman"/>
        </w:rPr>
        <w:t>randomize</w:t>
      </w:r>
      <w:proofErr w:type="spellEnd"/>
      <w:r w:rsidRPr="00AB294F">
        <w:rPr>
          <w:rFonts w:ascii="Times New Roman" w:hAnsi="Times New Roman" w:cs="Times New Roman"/>
        </w:rPr>
        <w:t xml:space="preserve"> edildi.</w:t>
      </w:r>
    </w:p>
    <w:p w:rsidR="00AB294F" w:rsidRPr="00AB294F" w:rsidRDefault="00AB294F" w:rsidP="00E1595C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AB294F">
        <w:rPr>
          <w:rFonts w:ascii="Times New Roman" w:hAnsi="Times New Roman" w:cs="Times New Roman"/>
        </w:rPr>
        <w:t xml:space="preserve">Hastalar klinik olarak </w:t>
      </w:r>
      <w:proofErr w:type="gramStart"/>
      <w:r w:rsidRPr="00AB294F">
        <w:rPr>
          <w:rFonts w:ascii="Times New Roman" w:hAnsi="Times New Roman" w:cs="Times New Roman"/>
        </w:rPr>
        <w:t>stabil</w:t>
      </w:r>
      <w:proofErr w:type="gramEnd"/>
      <w:r w:rsidRPr="00AB294F">
        <w:rPr>
          <w:rFonts w:ascii="Times New Roman" w:hAnsi="Times New Roman" w:cs="Times New Roman"/>
        </w:rPr>
        <w:t xml:space="preserve"> olduklarında (hastaneye kabulden </w:t>
      </w:r>
      <w:proofErr w:type="spellStart"/>
      <w:r w:rsidRPr="00AB294F">
        <w:rPr>
          <w:rFonts w:ascii="Times New Roman" w:hAnsi="Times New Roman" w:cs="Times New Roman"/>
        </w:rPr>
        <w:t>randomizasyona</w:t>
      </w:r>
      <w:proofErr w:type="spellEnd"/>
      <w:r w:rsidRPr="00AB294F">
        <w:rPr>
          <w:rFonts w:ascii="Times New Roman" w:hAnsi="Times New Roman" w:cs="Times New Roman"/>
        </w:rPr>
        <w:t xml:space="preserve"> kadar geçen medyan süre, 3 gün) hastane içinde </w:t>
      </w:r>
      <w:proofErr w:type="spellStart"/>
      <w:r w:rsidRPr="00AB294F">
        <w:rPr>
          <w:rFonts w:ascii="Times New Roman" w:hAnsi="Times New Roman" w:cs="Times New Roman"/>
        </w:rPr>
        <w:t>randomize</w:t>
      </w:r>
      <w:proofErr w:type="spellEnd"/>
      <w:r w:rsidRPr="00AB294F">
        <w:rPr>
          <w:rFonts w:ascii="Times New Roman" w:hAnsi="Times New Roman" w:cs="Times New Roman"/>
        </w:rPr>
        <w:t xml:space="preserve"> edildi ve 90 güne kadar tedavi edildi.</w:t>
      </w:r>
    </w:p>
    <w:p w:rsidR="00E1595C" w:rsidRPr="00E1595C" w:rsidRDefault="00E1595C" w:rsidP="00E1595C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E1595C">
        <w:rPr>
          <w:rFonts w:ascii="Times New Roman" w:hAnsi="Times New Roman" w:cs="Times New Roman"/>
        </w:rPr>
        <w:t xml:space="preserve">Çalışmanın </w:t>
      </w:r>
      <w:proofErr w:type="spellStart"/>
      <w:proofErr w:type="gramStart"/>
      <w:r w:rsidRPr="00E1595C">
        <w:rPr>
          <w:rFonts w:ascii="Times New Roman" w:hAnsi="Times New Roman" w:cs="Times New Roman"/>
        </w:rPr>
        <w:t>primer</w:t>
      </w:r>
      <w:proofErr w:type="spellEnd"/>
      <w:r w:rsidRPr="00E1595C">
        <w:rPr>
          <w:rFonts w:ascii="Times New Roman" w:hAnsi="Times New Roman" w:cs="Times New Roman"/>
        </w:rPr>
        <w:t xml:space="preserve">  sonucu</w:t>
      </w:r>
      <w:proofErr w:type="gramEnd"/>
      <w:r w:rsidRPr="00E1595C">
        <w:rPr>
          <w:rFonts w:ascii="Times New Roman" w:hAnsi="Times New Roman" w:cs="Times New Roman"/>
        </w:rPr>
        <w:t>,</w:t>
      </w:r>
      <w:r w:rsidRPr="00E1595C">
        <w:t xml:space="preserve"> ‘</w:t>
      </w:r>
      <w:r w:rsidRPr="00E1595C">
        <w:rPr>
          <w:rFonts w:ascii="Times New Roman" w:hAnsi="Times New Roman" w:cs="Times New Roman"/>
          <w:b/>
        </w:rPr>
        <w:t>Kazanım oranı’</w:t>
      </w:r>
      <w:r w:rsidRPr="00E1595C">
        <w:rPr>
          <w:rFonts w:ascii="Times New Roman" w:hAnsi="Times New Roman" w:cs="Times New Roman"/>
        </w:rPr>
        <w:t xml:space="preserve"> kullanılarak  herhangi bir nedene bağlı ölüm, KY olaylarının sayısı ve ilk KY olayına kadar geçen sürenin hiyerarşik bir bileşimi veya KCCQ Toplam Semptom Skorunda başlangıca göre 5 puan veya daha fazla fark olarak tanımlanan klinik faydaydı. </w:t>
      </w:r>
    </w:p>
    <w:p w:rsidR="00E1595C" w:rsidRPr="00E1595C" w:rsidRDefault="00E1595C" w:rsidP="00E1595C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E1595C">
        <w:rPr>
          <w:rFonts w:ascii="Times New Roman" w:hAnsi="Times New Roman" w:cs="Times New Roman"/>
        </w:rPr>
        <w:t>Empagliflozin</w:t>
      </w:r>
      <w:proofErr w:type="spellEnd"/>
      <w:r w:rsidRPr="00E1595C">
        <w:rPr>
          <w:rFonts w:ascii="Times New Roman" w:hAnsi="Times New Roman" w:cs="Times New Roman"/>
        </w:rPr>
        <w:t xml:space="preserve"> ile tedavi edilen daha fazla hasta </w:t>
      </w:r>
      <w:proofErr w:type="spellStart"/>
      <w:r w:rsidRPr="00E1595C">
        <w:rPr>
          <w:rFonts w:ascii="Times New Roman" w:hAnsi="Times New Roman" w:cs="Times New Roman"/>
        </w:rPr>
        <w:t>plaseboya</w:t>
      </w:r>
      <w:proofErr w:type="spellEnd"/>
      <w:r w:rsidRPr="00E1595C">
        <w:rPr>
          <w:rFonts w:ascii="Times New Roman" w:hAnsi="Times New Roman" w:cs="Times New Roman"/>
        </w:rPr>
        <w:t xml:space="preserve"> kıyasla klinik fayda sağladı (katmanlı kazanma oranı, 1,36; %95 güven </w:t>
      </w:r>
      <w:proofErr w:type="gramStart"/>
      <w:r w:rsidRPr="00E1595C">
        <w:rPr>
          <w:rFonts w:ascii="Times New Roman" w:hAnsi="Times New Roman" w:cs="Times New Roman"/>
        </w:rPr>
        <w:t>aralığı</w:t>
      </w:r>
      <w:proofErr w:type="gramEnd"/>
      <w:r w:rsidRPr="00E1595C">
        <w:rPr>
          <w:rFonts w:ascii="Times New Roman" w:hAnsi="Times New Roman" w:cs="Times New Roman"/>
        </w:rPr>
        <w:t>, 1,09–1,68; P= 0,0054), birincil son noktasını karşıladı.</w:t>
      </w:r>
    </w:p>
    <w:p w:rsidR="00E1595C" w:rsidRPr="00E1595C" w:rsidRDefault="00E1595C" w:rsidP="00E1595C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E1595C">
        <w:rPr>
          <w:rFonts w:ascii="Times New Roman" w:hAnsi="Times New Roman" w:cs="Times New Roman"/>
        </w:rPr>
        <w:t xml:space="preserve">Hem akut de </w:t>
      </w:r>
      <w:proofErr w:type="spellStart"/>
      <w:r w:rsidRPr="00E1595C">
        <w:rPr>
          <w:rFonts w:ascii="Times New Roman" w:hAnsi="Times New Roman" w:cs="Times New Roman"/>
        </w:rPr>
        <w:t>novo</w:t>
      </w:r>
      <w:proofErr w:type="spellEnd"/>
      <w:r w:rsidRPr="00E1595C">
        <w:rPr>
          <w:rFonts w:ascii="Times New Roman" w:hAnsi="Times New Roman" w:cs="Times New Roman"/>
        </w:rPr>
        <w:t xml:space="preserve"> hem de </w:t>
      </w:r>
      <w:proofErr w:type="spellStart"/>
      <w:r w:rsidRPr="00E1595C">
        <w:rPr>
          <w:rFonts w:ascii="Times New Roman" w:hAnsi="Times New Roman" w:cs="Times New Roman"/>
        </w:rPr>
        <w:t>dekompanse</w:t>
      </w:r>
      <w:proofErr w:type="spellEnd"/>
      <w:r w:rsidRPr="00E1595C">
        <w:rPr>
          <w:rFonts w:ascii="Times New Roman" w:hAnsi="Times New Roman" w:cs="Times New Roman"/>
        </w:rPr>
        <w:t xml:space="preserve"> kronik KY için klinik fayda;  </w:t>
      </w:r>
      <w:proofErr w:type="spellStart"/>
      <w:r w:rsidRPr="00E1595C">
        <w:rPr>
          <w:rFonts w:ascii="Times New Roman" w:hAnsi="Times New Roman" w:cs="Times New Roman"/>
        </w:rPr>
        <w:t>EF'ye</w:t>
      </w:r>
      <w:proofErr w:type="spellEnd"/>
      <w:r w:rsidRPr="00E159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veya diyabetin varlığı</w:t>
      </w:r>
      <w:r w:rsidRPr="00E1595C">
        <w:rPr>
          <w:rFonts w:ascii="Times New Roman" w:hAnsi="Times New Roman" w:cs="Times New Roman"/>
        </w:rPr>
        <w:t xml:space="preserve"> veya yokluğuna bakılmaksızın gözlendi.</w:t>
      </w:r>
    </w:p>
    <w:p w:rsidR="00E1595C" w:rsidRDefault="00E1595C" w:rsidP="00D03830">
      <w:pPr>
        <w:pStyle w:val="ListeParagraf"/>
        <w:numPr>
          <w:ilvl w:val="0"/>
          <w:numId w:val="2"/>
        </w:numPr>
        <w:pBdr>
          <w:bottom w:val="single" w:sz="4" w:space="1" w:color="auto"/>
        </w:pBdr>
        <w:rPr>
          <w:rFonts w:ascii="Times New Roman" w:hAnsi="Times New Roman" w:cs="Times New Roman"/>
        </w:rPr>
      </w:pPr>
      <w:proofErr w:type="spellStart"/>
      <w:r w:rsidRPr="00E1595C">
        <w:rPr>
          <w:rFonts w:ascii="Times New Roman" w:hAnsi="Times New Roman" w:cs="Times New Roman"/>
        </w:rPr>
        <w:t>Empagliflozin</w:t>
      </w:r>
      <w:proofErr w:type="spellEnd"/>
      <w:r w:rsidRPr="00E1595C">
        <w:rPr>
          <w:rFonts w:ascii="Times New Roman" w:hAnsi="Times New Roman" w:cs="Times New Roman"/>
        </w:rPr>
        <w:t xml:space="preserve"> iyi </w:t>
      </w:r>
      <w:proofErr w:type="spellStart"/>
      <w:r w:rsidRPr="00E1595C">
        <w:rPr>
          <w:rFonts w:ascii="Times New Roman" w:hAnsi="Times New Roman" w:cs="Times New Roman"/>
        </w:rPr>
        <w:t>tolere</w:t>
      </w:r>
      <w:proofErr w:type="spellEnd"/>
      <w:r w:rsidRPr="00E1595C">
        <w:rPr>
          <w:rFonts w:ascii="Times New Roman" w:hAnsi="Times New Roman" w:cs="Times New Roman"/>
        </w:rPr>
        <w:t xml:space="preserve"> edilmiştir; </w:t>
      </w:r>
      <w:proofErr w:type="spellStart"/>
      <w:r w:rsidRPr="00E1595C">
        <w:rPr>
          <w:rFonts w:ascii="Times New Roman" w:hAnsi="Times New Roman" w:cs="Times New Roman"/>
        </w:rPr>
        <w:t>empagliflozin</w:t>
      </w:r>
      <w:proofErr w:type="spellEnd"/>
      <w:r w:rsidRPr="00E1595C">
        <w:rPr>
          <w:rFonts w:ascii="Times New Roman" w:hAnsi="Times New Roman" w:cs="Times New Roman"/>
        </w:rPr>
        <w:t xml:space="preserve"> ve </w:t>
      </w:r>
      <w:proofErr w:type="spellStart"/>
      <w:r w:rsidRPr="00E1595C">
        <w:rPr>
          <w:rFonts w:ascii="Times New Roman" w:hAnsi="Times New Roman" w:cs="Times New Roman"/>
        </w:rPr>
        <w:t>plasebo</w:t>
      </w:r>
      <w:proofErr w:type="spellEnd"/>
      <w:r w:rsidRPr="00E1595C">
        <w:rPr>
          <w:rFonts w:ascii="Times New Roman" w:hAnsi="Times New Roman" w:cs="Times New Roman"/>
        </w:rPr>
        <w:t xml:space="preserve"> ile tedavi edilen hastaların sırasıyla %32,3 ve %43,6'sında ciddi yan etkiler bildirilmiştir.</w:t>
      </w:r>
      <w:r w:rsidR="00D03830">
        <w:rPr>
          <w:rFonts w:ascii="Times New Roman" w:hAnsi="Times New Roman" w:cs="Times New Roman"/>
        </w:rPr>
        <w:t xml:space="preserve"> </w:t>
      </w:r>
      <w:r w:rsidRPr="00D03830">
        <w:rPr>
          <w:rFonts w:ascii="Times New Roman" w:hAnsi="Times New Roman" w:cs="Times New Roman"/>
        </w:rPr>
        <w:t xml:space="preserve">Bu bulgular, akut KY nedeniyle hastaneye yatırılan hastalarda </w:t>
      </w:r>
      <w:proofErr w:type="spellStart"/>
      <w:r w:rsidRPr="00D03830">
        <w:rPr>
          <w:rFonts w:ascii="Times New Roman" w:hAnsi="Times New Roman" w:cs="Times New Roman"/>
        </w:rPr>
        <w:t>empagliflozin</w:t>
      </w:r>
      <w:proofErr w:type="spellEnd"/>
      <w:r w:rsidRPr="00D03830">
        <w:rPr>
          <w:rFonts w:ascii="Times New Roman" w:hAnsi="Times New Roman" w:cs="Times New Roman"/>
        </w:rPr>
        <w:t xml:space="preserve"> başlanmasının iyi </w:t>
      </w:r>
      <w:proofErr w:type="spellStart"/>
      <w:r w:rsidRPr="00D03830">
        <w:rPr>
          <w:rFonts w:ascii="Times New Roman" w:hAnsi="Times New Roman" w:cs="Times New Roman"/>
        </w:rPr>
        <w:t>tolere</w:t>
      </w:r>
      <w:proofErr w:type="spellEnd"/>
      <w:r w:rsidRPr="00D03830">
        <w:rPr>
          <w:rFonts w:ascii="Times New Roman" w:hAnsi="Times New Roman" w:cs="Times New Roman"/>
        </w:rPr>
        <w:t xml:space="preserve"> edildiğini ve tedaviye başladıktan sonraki 90 gün içinde önemli klinik fayda sağladığını göstermektedir.</w:t>
      </w:r>
    </w:p>
    <w:p w:rsidR="00D86D53" w:rsidRDefault="00D86D53" w:rsidP="00D86D53">
      <w:pPr>
        <w:rPr>
          <w:rFonts w:ascii="Times New Roman" w:hAnsi="Times New Roman" w:cs="Times New Roman"/>
        </w:rPr>
      </w:pPr>
    </w:p>
    <w:p w:rsidR="00D86D53" w:rsidRPr="00D86D53" w:rsidRDefault="00D86D53" w:rsidP="00D86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40"/>
          <w:szCs w:val="40"/>
        </w:rPr>
      </w:pPr>
      <w:r w:rsidRPr="00D86D53">
        <w:rPr>
          <w:rFonts w:ascii="Times New Roman" w:hAnsi="Times New Roman" w:cs="Times New Roman"/>
          <w:noProof/>
          <w:sz w:val="40"/>
          <w:szCs w:val="40"/>
          <w:lang w:eastAsia="tr-TR"/>
        </w:rPr>
        <w:drawing>
          <wp:inline distT="0" distB="0" distL="0" distR="0" wp14:anchorId="40F52D09" wp14:editId="76DBEBAD">
            <wp:extent cx="5760720" cy="323977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D53" w:rsidRDefault="00D86D53" w:rsidP="00D86D53">
      <w:pPr>
        <w:rPr>
          <w:rFonts w:ascii="Times New Roman" w:hAnsi="Times New Roman" w:cs="Times New Roman"/>
        </w:rPr>
      </w:pPr>
    </w:p>
    <w:p w:rsidR="00D86D53" w:rsidRPr="004C23A9" w:rsidRDefault="00D86D53" w:rsidP="00D86D53">
      <w:pPr>
        <w:rPr>
          <w:rFonts w:ascii="Times New Roman" w:hAnsi="Times New Roman" w:cs="Times New Roman"/>
        </w:rPr>
      </w:pPr>
      <w:r w:rsidRPr="00D86D53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Figür</w:t>
      </w:r>
      <w:r w:rsidR="004C23A9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2</w:t>
      </w:r>
      <w:r w:rsidRPr="00D86D53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.</w:t>
      </w:r>
      <w:r w:rsidRPr="00D86D5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gramStart"/>
      <w:r w:rsidRPr="00D86D53">
        <w:rPr>
          <w:rFonts w:ascii="Times New Roman" w:hAnsi="Times New Roman" w:cs="Times New Roman"/>
          <w:b/>
          <w:sz w:val="24"/>
          <w:szCs w:val="24"/>
        </w:rPr>
        <w:t>Birincil etkinlik sonucu ve bileşenleri.</w:t>
      </w:r>
      <w:r w:rsidRPr="00D86D53">
        <w:t xml:space="preserve"> </w:t>
      </w:r>
      <w:proofErr w:type="gramEnd"/>
      <w:r w:rsidRPr="00D86D53">
        <w:rPr>
          <w:rFonts w:ascii="Times New Roman" w:hAnsi="Times New Roman" w:cs="Times New Roman"/>
          <w:sz w:val="24"/>
          <w:szCs w:val="24"/>
        </w:rPr>
        <w:t xml:space="preserve">Katmanlı kazanma oranı, </w:t>
      </w:r>
      <w:r w:rsidRPr="004C23A9">
        <w:rPr>
          <w:rFonts w:ascii="Times New Roman" w:hAnsi="Times New Roman" w:cs="Times New Roman"/>
        </w:rPr>
        <w:t>KY durum katmanları içinde parametrik olmayan genelleştirilmiş bir ikili karşılaştırma kullanılarak hesaplandı;</w:t>
      </w:r>
      <w:r w:rsidRPr="004C23A9">
        <w:t xml:space="preserve"> </w:t>
      </w:r>
      <w:r w:rsidRPr="004C23A9">
        <w:rPr>
          <w:rFonts w:ascii="Times New Roman" w:hAnsi="Times New Roman" w:cs="Times New Roman"/>
        </w:rPr>
        <w:t>veriler, nokta tahmini ve iki taraflı bir P değeri ile %95 GA olarak sunulur.</w:t>
      </w:r>
      <w:r w:rsidRPr="004C23A9">
        <w:t xml:space="preserve"> </w:t>
      </w:r>
      <w:r w:rsidRPr="004C23A9">
        <w:rPr>
          <w:rFonts w:ascii="Times New Roman" w:hAnsi="Times New Roman" w:cs="Times New Roman"/>
        </w:rPr>
        <w:t xml:space="preserve">Kazanma oranının bileşenleri için yüzdeler </w:t>
      </w:r>
      <w:proofErr w:type="spellStart"/>
      <w:r w:rsidRPr="004C23A9">
        <w:rPr>
          <w:rFonts w:ascii="Times New Roman" w:hAnsi="Times New Roman" w:cs="Times New Roman"/>
        </w:rPr>
        <w:t>randomize</w:t>
      </w:r>
      <w:proofErr w:type="spellEnd"/>
      <w:r w:rsidRPr="004C23A9">
        <w:rPr>
          <w:rFonts w:ascii="Times New Roman" w:hAnsi="Times New Roman" w:cs="Times New Roman"/>
        </w:rPr>
        <w:t xml:space="preserve"> karşılaştırmaları yansıtmaz.</w:t>
      </w:r>
      <w:r w:rsidRPr="004C23A9">
        <w:t xml:space="preserve"> </w:t>
      </w:r>
      <w:r w:rsidRPr="004C23A9">
        <w:rPr>
          <w:rFonts w:ascii="Times New Roman" w:hAnsi="Times New Roman" w:cs="Times New Roman"/>
        </w:rPr>
        <w:t xml:space="preserve">Genel olay sayısı ve KCCQ-TSS verileri için lütfen </w:t>
      </w:r>
      <w:r w:rsidRPr="004C23A9">
        <w:rPr>
          <w:rFonts w:ascii="Times New Roman" w:hAnsi="Times New Roman" w:cs="Times New Roman"/>
          <w:b/>
          <w:color w:val="FF0000"/>
        </w:rPr>
        <w:t>Tablo</w:t>
      </w:r>
      <w:r w:rsidR="004C23A9" w:rsidRPr="004C23A9">
        <w:rPr>
          <w:rFonts w:ascii="Times New Roman" w:hAnsi="Times New Roman" w:cs="Times New Roman"/>
          <w:b/>
          <w:color w:val="FF0000"/>
        </w:rPr>
        <w:t xml:space="preserve"> 2</w:t>
      </w:r>
      <w:r w:rsidRPr="004C23A9">
        <w:rPr>
          <w:rFonts w:ascii="Times New Roman" w:hAnsi="Times New Roman" w:cs="Times New Roman"/>
          <w:color w:val="FF0000"/>
        </w:rPr>
        <w:t xml:space="preserve"> </w:t>
      </w:r>
      <w:r w:rsidRPr="004C23A9">
        <w:rPr>
          <w:rFonts w:ascii="Times New Roman" w:hAnsi="Times New Roman" w:cs="Times New Roman"/>
        </w:rPr>
        <w:t>'ya bakın.</w:t>
      </w:r>
    </w:p>
    <w:p w:rsidR="00D86D53" w:rsidRPr="004C23A9" w:rsidRDefault="00D86D53" w:rsidP="004C23A9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D86D53">
        <w:rPr>
          <w:rFonts w:ascii="Times New Roman" w:hAnsi="Times New Roman" w:cs="Times New Roman"/>
          <w:b/>
          <w:color w:val="C00000"/>
          <w:sz w:val="24"/>
          <w:szCs w:val="24"/>
        </w:rPr>
        <w:t>*</w:t>
      </w:r>
      <w:r w:rsidRPr="004C23A9">
        <w:rPr>
          <w:rFonts w:ascii="Times New Roman" w:hAnsi="Times New Roman" w:cs="Times New Roman"/>
        </w:rPr>
        <w:t xml:space="preserve">90 günlük tedaviden sonra ölüm, KYG sayısı, ilk </w:t>
      </w:r>
      <w:proofErr w:type="spellStart"/>
      <w:r w:rsidRPr="004C23A9">
        <w:rPr>
          <w:rFonts w:ascii="Times New Roman" w:hAnsi="Times New Roman" w:cs="Times New Roman"/>
        </w:rPr>
        <w:t>KYG'ye</w:t>
      </w:r>
      <w:proofErr w:type="spellEnd"/>
      <w:r w:rsidRPr="004C23A9">
        <w:rPr>
          <w:rFonts w:ascii="Times New Roman" w:hAnsi="Times New Roman" w:cs="Times New Roman"/>
        </w:rPr>
        <w:t xml:space="preserve"> kadar geçen süre ve KCCQ-</w:t>
      </w:r>
      <w:proofErr w:type="spellStart"/>
      <w:r w:rsidRPr="004C23A9">
        <w:rPr>
          <w:rFonts w:ascii="Times New Roman" w:hAnsi="Times New Roman" w:cs="Times New Roman"/>
        </w:rPr>
        <w:t>TSS'de</w:t>
      </w:r>
      <w:proofErr w:type="spellEnd"/>
      <w:r w:rsidRPr="004C23A9">
        <w:rPr>
          <w:rFonts w:ascii="Times New Roman" w:hAnsi="Times New Roman" w:cs="Times New Roman"/>
        </w:rPr>
        <w:t xml:space="preserve"> başlangıca göre değişimin hiyerarşik bileşimi</w:t>
      </w:r>
      <w:r w:rsidR="00787DB2" w:rsidRPr="004C23A9">
        <w:rPr>
          <w:rFonts w:ascii="Times New Roman" w:hAnsi="Times New Roman" w:cs="Times New Roman"/>
        </w:rPr>
        <w:t>.</w:t>
      </w:r>
    </w:p>
    <w:p w:rsidR="00D86D53" w:rsidRPr="00D86D53" w:rsidRDefault="00D86D53" w:rsidP="00D86D53">
      <w:pPr>
        <w:rPr>
          <w:rFonts w:ascii="Times New Roman" w:hAnsi="Times New Roman" w:cs="Times New Roman"/>
        </w:rPr>
      </w:pPr>
    </w:p>
    <w:p w:rsidR="00787DB2" w:rsidRDefault="00787DB2" w:rsidP="00E4747D">
      <w:pPr>
        <w:pStyle w:val="ListeParagraf"/>
        <w:ind w:left="1080"/>
        <w:rPr>
          <w:rFonts w:ascii="Arial" w:hAnsi="Arial" w:cs="Arial"/>
        </w:rPr>
      </w:pPr>
    </w:p>
    <w:p w:rsidR="00787DB2" w:rsidRPr="00A7765E" w:rsidRDefault="00A7765E" w:rsidP="00A7765E">
      <w:pPr>
        <w:pStyle w:val="ListeParagraf"/>
        <w:ind w:left="1080"/>
        <w:rPr>
          <w:rFonts w:ascii="Arial" w:hAnsi="Arial" w:cs="Arial"/>
          <w:sz w:val="40"/>
          <w:szCs w:val="40"/>
        </w:rPr>
      </w:pPr>
      <w:r w:rsidRPr="00A7765E">
        <w:rPr>
          <w:rFonts w:ascii="Arial" w:hAnsi="Arial" w:cs="Arial"/>
          <w:noProof/>
          <w:sz w:val="40"/>
          <w:szCs w:val="40"/>
          <w:lang w:eastAsia="tr-TR"/>
        </w:rPr>
        <w:drawing>
          <wp:inline distT="0" distB="0" distL="0" distR="0" wp14:anchorId="2C23D4E2" wp14:editId="5EFD3AFF">
            <wp:extent cx="5845175" cy="4541227"/>
            <wp:effectExtent l="0" t="0" r="317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93009" cy="457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DB2" w:rsidRDefault="00787DB2" w:rsidP="00E4747D">
      <w:pPr>
        <w:pStyle w:val="ListeParagraf"/>
        <w:ind w:left="1080"/>
        <w:rPr>
          <w:rFonts w:ascii="Arial" w:hAnsi="Arial" w:cs="Arial"/>
        </w:rPr>
      </w:pPr>
    </w:p>
    <w:p w:rsidR="00AB294F" w:rsidRDefault="004C23A9" w:rsidP="004C23A9">
      <w:pPr>
        <w:pStyle w:val="ListeParagraf"/>
        <w:pBdr>
          <w:bottom w:val="single" w:sz="4" w:space="1" w:color="auto"/>
        </w:pBd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C00000"/>
          <w:sz w:val="28"/>
          <w:szCs w:val="28"/>
          <w:u w:val="single"/>
        </w:rPr>
        <w:t>Figür3</w:t>
      </w:r>
      <w:r w:rsidR="00787DB2" w:rsidRPr="00A7765E">
        <w:rPr>
          <w:rFonts w:ascii="Times New Roman" w:hAnsi="Times New Roman" w:cs="Times New Roman"/>
          <w:color w:val="C00000"/>
          <w:sz w:val="28"/>
          <w:szCs w:val="28"/>
          <w:u w:val="single"/>
        </w:rPr>
        <w:t>.</w:t>
      </w:r>
      <w:r w:rsidR="00787DB2" w:rsidRPr="00A7765E">
        <w:rPr>
          <w:rFonts w:ascii="Arial" w:hAnsi="Arial" w:cs="Arial"/>
          <w:color w:val="C00000"/>
        </w:rPr>
        <w:t xml:space="preserve"> </w:t>
      </w:r>
      <w:r w:rsidR="00787DB2" w:rsidRPr="00A7765E">
        <w:rPr>
          <w:rFonts w:ascii="Times New Roman" w:hAnsi="Times New Roman" w:cs="Times New Roman"/>
          <w:b/>
          <w:sz w:val="24"/>
          <w:szCs w:val="24"/>
        </w:rPr>
        <w:t>Önceden belirlenmiş tüm alt gruplarda birincil etkinlik sonucu.</w:t>
      </w:r>
      <w:r w:rsidR="00A7765E" w:rsidRPr="00A7765E">
        <w:rPr>
          <w:rFonts w:ascii="Times New Roman" w:hAnsi="Times New Roman" w:cs="Times New Roman"/>
          <w:sz w:val="24"/>
          <w:szCs w:val="24"/>
        </w:rPr>
        <w:t xml:space="preserve"> </w:t>
      </w:r>
      <w:r w:rsidR="00A7765E" w:rsidRPr="004C23A9">
        <w:rPr>
          <w:rFonts w:ascii="Times New Roman" w:hAnsi="Times New Roman" w:cs="Times New Roman"/>
        </w:rPr>
        <w:t>Kazanma oranları, alt grup katmanları içinde parametrik olmayan genelleştirilmiş bir ikili karşılaştırma kullanılarak hesaplandı;</w:t>
      </w:r>
      <w:r w:rsidR="00A7765E" w:rsidRPr="004C23A9">
        <w:t xml:space="preserve"> </w:t>
      </w:r>
      <w:r w:rsidR="00A7765E" w:rsidRPr="004C23A9">
        <w:rPr>
          <w:rFonts w:ascii="Times New Roman" w:hAnsi="Times New Roman" w:cs="Times New Roman"/>
        </w:rPr>
        <w:t xml:space="preserve">veriler, nokta tahminleri ve iki taraflı etkileşim </w:t>
      </w:r>
      <w:bookmarkStart w:id="0" w:name="_GoBack"/>
      <w:bookmarkEnd w:id="0"/>
      <w:r w:rsidR="00A7765E" w:rsidRPr="004C23A9">
        <w:rPr>
          <w:rFonts w:ascii="Times New Roman" w:hAnsi="Times New Roman" w:cs="Times New Roman"/>
        </w:rPr>
        <w:t>P değerleri ile %95 GA olarak sunulur.</w:t>
      </w:r>
      <w:r w:rsidR="00A7765E" w:rsidRPr="004C23A9">
        <w:t xml:space="preserve"> </w:t>
      </w:r>
      <w:r w:rsidR="00A7765E" w:rsidRPr="004C23A9">
        <w:rPr>
          <w:rFonts w:ascii="Times New Roman" w:hAnsi="Times New Roman" w:cs="Times New Roman"/>
        </w:rPr>
        <w:t>Çoklu test için herhangi bir ayarlama yapılmadı.</w:t>
      </w:r>
    </w:p>
    <w:p w:rsidR="004C23A9" w:rsidRPr="004C23A9" w:rsidRDefault="004C23A9" w:rsidP="004C23A9">
      <w:pPr>
        <w:rPr>
          <w:rFonts w:ascii="Times New Roman" w:hAnsi="Times New Roman" w:cs="Times New Roman"/>
          <w:sz w:val="24"/>
          <w:szCs w:val="24"/>
        </w:rPr>
      </w:pPr>
    </w:p>
    <w:p w:rsidR="004C23A9" w:rsidRPr="00011663" w:rsidRDefault="004C23A9" w:rsidP="004C23A9">
      <w:pPr>
        <w:spacing w:line="240" w:lineRule="auto"/>
        <w:rPr>
          <w:rFonts w:ascii="Cambria" w:eastAsia="Times New Roman" w:hAnsi="Cambria" w:cs="Times New Roman"/>
          <w:color w:val="333333"/>
          <w:sz w:val="24"/>
          <w:szCs w:val="24"/>
          <w:lang w:eastAsia="tr-TR"/>
        </w:rPr>
      </w:pPr>
      <w:r w:rsidRPr="00F2336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tr-TR"/>
        </w:rPr>
        <w:t>Tablo1.</w:t>
      </w:r>
      <w:r w:rsidRPr="00011663">
        <w:rPr>
          <w:color w:val="FF0000"/>
        </w:rPr>
        <w:t xml:space="preserve"> </w:t>
      </w:r>
      <w:r w:rsidRPr="002236A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Başlangıçtaki hastaların özellikleri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6"/>
        <w:gridCol w:w="2388"/>
        <w:gridCol w:w="2437"/>
      </w:tblGrid>
      <w:tr w:rsidR="004C23A9" w:rsidRPr="00011663" w:rsidTr="008E2B0D">
        <w:trPr>
          <w:tblHeader/>
        </w:trPr>
        <w:tc>
          <w:tcPr>
            <w:tcW w:w="4155" w:type="dxa"/>
            <w:shd w:val="clear" w:color="auto" w:fill="E7E6E6" w:themeFill="background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011663" w:rsidRDefault="004C23A9" w:rsidP="008E2B0D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E7E6E6" w:themeFill="background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4C23A9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4C2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Empagliflozin</w:t>
            </w:r>
            <w:proofErr w:type="spellEnd"/>
            <w:r w:rsidRPr="004C2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(</w:t>
            </w:r>
            <w:r w:rsidRPr="004C23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n</w:t>
            </w:r>
            <w:r w:rsidRPr="004C2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 = 265)</w:t>
            </w:r>
            <w:r w:rsidRPr="004C2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br/>
            </w:r>
            <w:proofErr w:type="spellStart"/>
            <w:r w:rsidRPr="004C2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Median</w:t>
            </w:r>
            <w:proofErr w:type="spellEnd"/>
            <w:r w:rsidRPr="004C2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(IQR) </w:t>
            </w:r>
            <w:proofErr w:type="spellStart"/>
            <w:r w:rsidRPr="004C2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</w:t>
            </w:r>
            <w:proofErr w:type="spellEnd"/>
            <w:r w:rsidRPr="004C2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  <w:r w:rsidRPr="004C23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n</w:t>
            </w:r>
            <w:r w:rsidRPr="004C2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(%)</w:t>
            </w:r>
          </w:p>
        </w:tc>
        <w:tc>
          <w:tcPr>
            <w:tcW w:w="0" w:type="auto"/>
            <w:shd w:val="clear" w:color="auto" w:fill="E7E6E6" w:themeFill="background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4C23A9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4C2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Plasebo</w:t>
            </w:r>
            <w:proofErr w:type="spellEnd"/>
            <w:r w:rsidRPr="004C2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(</w:t>
            </w:r>
            <w:r w:rsidRPr="004C23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n</w:t>
            </w:r>
            <w:r w:rsidRPr="004C2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 = 265)</w:t>
            </w:r>
            <w:r w:rsidRPr="004C2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br/>
              <w:t xml:space="preserve">Medyan (IQR) </w:t>
            </w:r>
            <w:proofErr w:type="spellStart"/>
            <w:r w:rsidRPr="004C2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</w:t>
            </w:r>
            <w:proofErr w:type="spellEnd"/>
            <w:r w:rsidRPr="004C2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  <w:r w:rsidRPr="004C23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n</w:t>
            </w:r>
            <w:r w:rsidRPr="004C2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(%)</w:t>
            </w:r>
          </w:p>
        </w:tc>
      </w:tr>
      <w:tr w:rsidR="004C23A9" w:rsidRPr="00011663" w:rsidTr="008E2B0D">
        <w:tc>
          <w:tcPr>
            <w:tcW w:w="415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Yaş (yıllar)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71 (62–78)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70 (59–78)</w:t>
            </w:r>
          </w:p>
        </w:tc>
      </w:tr>
      <w:tr w:rsidR="004C23A9" w:rsidRPr="00011663" w:rsidTr="008E2B0D">
        <w:tc>
          <w:tcPr>
            <w:tcW w:w="9351" w:type="dxa"/>
            <w:gridSpan w:val="3"/>
            <w:shd w:val="clear" w:color="auto" w:fill="FBE4D5" w:themeFill="accent2" w:themeFillTint="33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Cinsiyet</w:t>
            </w:r>
          </w:p>
        </w:tc>
      </w:tr>
      <w:tr w:rsidR="004C23A9" w:rsidRPr="00011663" w:rsidTr="008E2B0D">
        <w:tc>
          <w:tcPr>
            <w:tcW w:w="415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 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Erkek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179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67.5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172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64.9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</w:tr>
      <w:tr w:rsidR="004C23A9" w:rsidRPr="00011663" w:rsidTr="008E2B0D">
        <w:tc>
          <w:tcPr>
            <w:tcW w:w="415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 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Kadın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86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32.5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93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35.1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</w:tr>
      <w:tr w:rsidR="004C23A9" w:rsidRPr="00011663" w:rsidTr="008E2B0D">
        <w:tc>
          <w:tcPr>
            <w:tcW w:w="9351" w:type="dxa"/>
            <w:gridSpan w:val="3"/>
            <w:shd w:val="clear" w:color="auto" w:fill="FBE4D5" w:themeFill="accent2" w:themeFillTint="33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Irk veya etnik grup</w:t>
            </w:r>
          </w:p>
        </w:tc>
      </w:tr>
      <w:tr w:rsidR="004C23A9" w:rsidRPr="00011663" w:rsidTr="008E2B0D">
        <w:tc>
          <w:tcPr>
            <w:tcW w:w="9351" w:type="dxa"/>
            <w:gridSpan w:val="3"/>
            <w:shd w:val="clear" w:color="auto" w:fill="FBE4D5" w:themeFill="accent2" w:themeFillTint="33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4C23A9" w:rsidRPr="00011663" w:rsidTr="008E2B0D">
        <w:tc>
          <w:tcPr>
            <w:tcW w:w="415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 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Beyaz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211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79.6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202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76.2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</w:tr>
      <w:tr w:rsidR="004C23A9" w:rsidRPr="00011663" w:rsidTr="008E2B0D">
        <w:tc>
          <w:tcPr>
            <w:tcW w:w="415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 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Siyah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21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7.9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33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12.5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</w:tr>
      <w:tr w:rsidR="004C23A9" w:rsidRPr="00011663" w:rsidTr="008E2B0D">
        <w:tc>
          <w:tcPr>
            <w:tcW w:w="415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 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Asyalı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32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12.1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25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9.4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</w:tr>
      <w:tr w:rsidR="004C23A9" w:rsidRPr="00011663" w:rsidTr="008E2B0D">
        <w:tc>
          <w:tcPr>
            <w:tcW w:w="415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 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Diğer/karışık ırk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0.4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1.5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</w:tr>
      <w:tr w:rsidR="004C23A9" w:rsidRPr="00011663" w:rsidTr="008E2B0D">
        <w:tc>
          <w:tcPr>
            <w:tcW w:w="415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 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Eksik 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0.4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</w:tr>
      <w:tr w:rsidR="004C23A9" w:rsidRPr="00011663" w:rsidTr="008E2B0D">
        <w:tc>
          <w:tcPr>
            <w:tcW w:w="9351" w:type="dxa"/>
            <w:gridSpan w:val="3"/>
            <w:shd w:val="clear" w:color="auto" w:fill="FBE4D5" w:themeFill="accent2" w:themeFillTint="33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Coğrafi bölge</w:t>
            </w:r>
          </w:p>
        </w:tc>
      </w:tr>
      <w:tr w:rsidR="004C23A9" w:rsidRPr="00011663" w:rsidTr="008E2B0D">
        <w:tc>
          <w:tcPr>
            <w:tcW w:w="415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 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Avrupa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168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63.4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171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64.5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</w:tr>
      <w:tr w:rsidR="004C23A9" w:rsidRPr="00011663" w:rsidTr="008E2B0D">
        <w:tc>
          <w:tcPr>
            <w:tcW w:w="415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 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Kuzey Amerika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66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24.9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69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26.0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</w:tr>
      <w:tr w:rsidR="004C23A9" w:rsidRPr="00011663" w:rsidTr="008E2B0D">
        <w:tc>
          <w:tcPr>
            <w:tcW w:w="415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 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Asya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31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11.7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25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9.4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</w:tr>
      <w:tr w:rsidR="004C23A9" w:rsidRPr="00011663" w:rsidTr="008E2B0D">
        <w:tc>
          <w:tcPr>
            <w:tcW w:w="9351" w:type="dxa"/>
            <w:gridSpan w:val="3"/>
            <w:shd w:val="clear" w:color="auto" w:fill="FBE4D5" w:themeFill="accent2" w:themeFillTint="33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NYHA sınıfı</w:t>
            </w:r>
          </w:p>
        </w:tc>
      </w:tr>
      <w:tr w:rsidR="004C23A9" w:rsidRPr="00011663" w:rsidTr="008E2B0D">
        <w:tc>
          <w:tcPr>
            <w:tcW w:w="415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 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8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3.0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6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2.3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</w:tr>
      <w:tr w:rsidR="004C23A9" w:rsidRPr="00011663" w:rsidTr="008E2B0D">
        <w:tc>
          <w:tcPr>
            <w:tcW w:w="415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 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II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95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35.8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91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34.3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</w:tr>
      <w:tr w:rsidR="004C23A9" w:rsidRPr="00011663" w:rsidTr="008E2B0D">
        <w:tc>
          <w:tcPr>
            <w:tcW w:w="415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 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III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134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50.6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145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54.7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</w:tr>
      <w:tr w:rsidR="004C23A9" w:rsidRPr="00011663" w:rsidTr="008E2B0D">
        <w:tc>
          <w:tcPr>
            <w:tcW w:w="415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 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IV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26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9.8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23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8.7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</w:tr>
      <w:tr w:rsidR="004C23A9" w:rsidRPr="00011663" w:rsidTr="008E2B0D">
        <w:tc>
          <w:tcPr>
            <w:tcW w:w="415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 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Eksik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0.8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0</w:t>
            </w:r>
          </w:p>
        </w:tc>
      </w:tr>
      <w:tr w:rsidR="004C23A9" w:rsidRPr="00011663" w:rsidTr="008E2B0D">
        <w:tc>
          <w:tcPr>
            <w:tcW w:w="415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KCCQ-TSS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37.5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20.8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–58.3)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39.6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22.4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–58.3)</w:t>
            </w:r>
          </w:p>
        </w:tc>
      </w:tr>
      <w:tr w:rsidR="004C23A9" w:rsidRPr="00011663" w:rsidTr="008E2B0D">
        <w:tc>
          <w:tcPr>
            <w:tcW w:w="415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NT-</w:t>
            </w:r>
            <w:proofErr w:type="spell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proBNP</w:t>
            </w:r>
            <w:proofErr w:type="spell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pg</w:t>
            </w:r>
            <w:proofErr w:type="spell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 ml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tr-TR"/>
              </w:rPr>
              <w:t>−1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3,299 (1,843–6,130)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3,106 (1,588–6,013)</w:t>
            </w:r>
          </w:p>
        </w:tc>
      </w:tr>
      <w:tr w:rsidR="004C23A9" w:rsidRPr="00011663" w:rsidTr="008E2B0D">
        <w:tc>
          <w:tcPr>
            <w:tcW w:w="9351" w:type="dxa"/>
            <w:gridSpan w:val="3"/>
            <w:shd w:val="clear" w:color="auto" w:fill="FBE4D5" w:themeFill="accent2" w:themeFillTint="33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Kan basıncı (</w:t>
            </w:r>
            <w:proofErr w:type="spell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mmHg</w:t>
            </w:r>
            <w:proofErr w:type="spell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</w:tr>
      <w:tr w:rsidR="004C23A9" w:rsidRPr="00011663" w:rsidTr="008E2B0D">
        <w:tc>
          <w:tcPr>
            <w:tcW w:w="415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 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Sistolik</w:t>
            </w:r>
            <w:proofErr w:type="spellEnd"/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120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109.0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–135.0)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122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110.0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–138.0)</w:t>
            </w:r>
          </w:p>
        </w:tc>
      </w:tr>
      <w:tr w:rsidR="004C23A9" w:rsidRPr="00011663" w:rsidTr="008E2B0D">
        <w:tc>
          <w:tcPr>
            <w:tcW w:w="415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 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Diyastolik</w:t>
            </w:r>
            <w:proofErr w:type="spellEnd"/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72.0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64.0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–82.0)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74.0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67.0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–80.0)</w:t>
            </w:r>
          </w:p>
        </w:tc>
      </w:tr>
      <w:tr w:rsidR="004C23A9" w:rsidRPr="00011663" w:rsidTr="008E2B0D">
        <w:tc>
          <w:tcPr>
            <w:tcW w:w="415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vücut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kitle indeksi(kg m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tr-TR"/>
              </w:rPr>
              <w:t>−2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28.35 (24.54–32.46)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29.08 (24.69–33.60)</w:t>
            </w:r>
          </w:p>
        </w:tc>
      </w:tr>
      <w:tr w:rsidR="004C23A9" w:rsidRPr="00011663" w:rsidTr="008E2B0D">
        <w:tc>
          <w:tcPr>
            <w:tcW w:w="415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SVEF (%)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31.0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23.0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-45.0)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32.0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22.5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–49.0)</w:t>
            </w:r>
          </w:p>
        </w:tc>
      </w:tr>
      <w:tr w:rsidR="004C23A9" w:rsidRPr="00011663" w:rsidTr="008E2B0D">
        <w:tc>
          <w:tcPr>
            <w:tcW w:w="415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 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≤40%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182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68.7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172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64.9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</w:tr>
      <w:tr w:rsidR="004C23A9" w:rsidRPr="00011663" w:rsidTr="008E2B0D">
        <w:tc>
          <w:tcPr>
            <w:tcW w:w="415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 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&gt;40%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76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28.7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93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35.1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</w:tr>
      <w:tr w:rsidR="004C23A9" w:rsidRPr="00011663" w:rsidTr="008E2B0D">
        <w:tc>
          <w:tcPr>
            <w:tcW w:w="415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 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Eksik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7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2.6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0</w:t>
            </w:r>
          </w:p>
        </w:tc>
      </w:tr>
      <w:tr w:rsidR="004C23A9" w:rsidRPr="00011663" w:rsidTr="008E2B0D">
        <w:tc>
          <w:tcPr>
            <w:tcW w:w="415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Estimated</w:t>
            </w:r>
            <w:proofErr w:type="spell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GFR (ml min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tr-TR"/>
              </w:rPr>
              <w:t>−1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 1.73 m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tr-TR"/>
              </w:rPr>
              <w:t>−2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50.0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36.0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–65.0)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54.0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39.0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–70.0)</w:t>
            </w:r>
          </w:p>
        </w:tc>
      </w:tr>
      <w:tr w:rsidR="004C23A9" w:rsidRPr="00011663" w:rsidTr="008E2B0D">
        <w:tc>
          <w:tcPr>
            <w:tcW w:w="415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 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&lt;30 ml min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tr-TR"/>
              </w:rPr>
              <w:t>−1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 1.73 m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tr-TR"/>
              </w:rPr>
              <w:t>−2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27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10.2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24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9.1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</w:tr>
      <w:tr w:rsidR="004C23A9" w:rsidRPr="00011663" w:rsidTr="008E2B0D">
        <w:tc>
          <w:tcPr>
            <w:tcW w:w="415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 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Eksik 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16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6.0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14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5.3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</w:tr>
      <w:tr w:rsidR="004C23A9" w:rsidRPr="00011663" w:rsidTr="008E2B0D">
        <w:tc>
          <w:tcPr>
            <w:tcW w:w="415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Hemoglobin (g dl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tr-TR"/>
              </w:rPr>
              <w:t>−1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13.2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11.8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–14.8)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13.4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11.8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–14.8)</w:t>
            </w:r>
          </w:p>
        </w:tc>
      </w:tr>
      <w:tr w:rsidR="004C23A9" w:rsidRPr="00011663" w:rsidTr="008E2B0D">
        <w:tc>
          <w:tcPr>
            <w:tcW w:w="9351" w:type="dxa"/>
            <w:gridSpan w:val="3"/>
            <w:shd w:val="clear" w:color="auto" w:fill="FBE4D5" w:themeFill="accent2" w:themeFillTint="33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Tıbbi 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hikaye</w:t>
            </w:r>
            <w:proofErr w:type="gramEnd"/>
          </w:p>
        </w:tc>
      </w:tr>
      <w:tr w:rsidR="004C23A9" w:rsidRPr="00011663" w:rsidTr="008E2B0D">
        <w:tc>
          <w:tcPr>
            <w:tcW w:w="415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 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Diyabet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124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46.8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116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43.8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</w:tr>
      <w:tr w:rsidR="004C23A9" w:rsidRPr="00011663" w:rsidTr="008E2B0D">
        <w:tc>
          <w:tcPr>
            <w:tcW w:w="415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 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Hipertansiyon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205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77.4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221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83.4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</w:tr>
      <w:tr w:rsidR="004C23A9" w:rsidRPr="00011663" w:rsidTr="008E2B0D">
        <w:tc>
          <w:tcPr>
            <w:tcW w:w="415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 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Miyokart </w:t>
            </w:r>
            <w:proofErr w:type="spell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infarktüsü</w:t>
            </w:r>
            <w:proofErr w:type="spellEnd"/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66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24.9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62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23.4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</w:tr>
      <w:tr w:rsidR="004C23A9" w:rsidRPr="00011663" w:rsidTr="008E2B0D">
        <w:tc>
          <w:tcPr>
            <w:tcW w:w="415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 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Atriyal</w:t>
            </w:r>
            <w:proofErr w:type="spell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fibrilasyon</w:t>
            </w:r>
            <w:proofErr w:type="spellEnd"/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134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50.6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128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48.3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</w:tr>
      <w:tr w:rsidR="004C23A9" w:rsidRPr="00011663" w:rsidTr="008E2B0D">
        <w:tc>
          <w:tcPr>
            <w:tcW w:w="415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 </w:t>
            </w:r>
            <w:r w:rsidR="009949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Koroner arter </w:t>
            </w:r>
            <w:proofErr w:type="spellStart"/>
            <w:r w:rsidR="009949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bypas</w:t>
            </w:r>
            <w:proofErr w:type="spellEnd"/>
            <w:r w:rsidR="009949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9949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greft</w:t>
            </w:r>
            <w:proofErr w:type="spell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r w:rsidR="009949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veya </w:t>
            </w:r>
            <w:proofErr w:type="spellStart"/>
            <w:r w:rsidR="009949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Perkutan</w:t>
            </w:r>
            <w:proofErr w:type="spellEnd"/>
            <w:r w:rsidR="009949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koroner girişim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78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29.4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78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29.4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</w:tr>
      <w:tr w:rsidR="004C23A9" w:rsidRPr="00011663" w:rsidTr="008E2B0D">
        <w:tc>
          <w:tcPr>
            <w:tcW w:w="415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 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Kalp kapak hastalığı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173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65.3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167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63.0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</w:tr>
      <w:tr w:rsidR="004C23A9" w:rsidRPr="00011663" w:rsidTr="008E2B0D">
        <w:tc>
          <w:tcPr>
            <w:tcW w:w="9351" w:type="dxa"/>
            <w:gridSpan w:val="3"/>
            <w:shd w:val="clear" w:color="auto" w:fill="FBE4D5" w:themeFill="accent2" w:themeFillTint="33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44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KY durumu</w:t>
            </w:r>
          </w:p>
        </w:tc>
      </w:tr>
      <w:tr w:rsidR="004C23A9" w:rsidRPr="00011663" w:rsidTr="008E2B0D">
        <w:tc>
          <w:tcPr>
            <w:tcW w:w="415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 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Dekompanse</w:t>
            </w:r>
            <w:proofErr w:type="spell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Kronik KY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177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66.8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178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67.2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</w:tr>
      <w:tr w:rsidR="004C23A9" w:rsidRPr="00011663" w:rsidTr="008E2B0D">
        <w:tc>
          <w:tcPr>
            <w:tcW w:w="415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 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Akut yeni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88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33.2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87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32.8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</w:tr>
      <w:tr w:rsidR="004C23A9" w:rsidRPr="00011663" w:rsidTr="008E2B0D">
        <w:tc>
          <w:tcPr>
            <w:tcW w:w="9351" w:type="dxa"/>
            <w:gridSpan w:val="3"/>
            <w:shd w:val="clear" w:color="auto" w:fill="FBE4D5" w:themeFill="accent2" w:themeFillTint="33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İlaçlar</w:t>
            </w:r>
          </w:p>
        </w:tc>
      </w:tr>
      <w:tr w:rsidR="004C23A9" w:rsidRPr="00011663" w:rsidTr="008E2B0D">
        <w:tc>
          <w:tcPr>
            <w:tcW w:w="415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 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ACE </w:t>
            </w:r>
            <w:proofErr w:type="spell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inhibitor</w:t>
            </w:r>
            <w:proofErr w:type="spell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ve/veya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ARB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ve/veya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ARNi</w:t>
            </w:r>
            <w:proofErr w:type="spellEnd"/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186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70.2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185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69.8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</w:tr>
      <w:tr w:rsidR="004C23A9" w:rsidRPr="00011663" w:rsidTr="008E2B0D">
        <w:tc>
          <w:tcPr>
            <w:tcW w:w="415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 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ACE </w:t>
            </w:r>
            <w:proofErr w:type="spell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inhibitor</w:t>
            </w:r>
            <w:proofErr w:type="spellEnd"/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88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33.2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89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33.6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</w:tr>
      <w:tr w:rsidR="004C23A9" w:rsidRPr="00011663" w:rsidTr="008E2B0D">
        <w:tc>
          <w:tcPr>
            <w:tcW w:w="415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 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ARB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64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24.2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52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19.6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</w:tr>
      <w:tr w:rsidR="004C23A9" w:rsidRPr="00011663" w:rsidTr="008E2B0D">
        <w:tc>
          <w:tcPr>
            <w:tcW w:w="415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 </w:t>
            </w:r>
            <w:proofErr w:type="spell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ARNi</w:t>
            </w:r>
            <w:proofErr w:type="spellEnd"/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36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13.6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45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17.0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</w:tr>
      <w:tr w:rsidR="004C23A9" w:rsidRPr="00011663" w:rsidTr="008E2B0D">
        <w:tc>
          <w:tcPr>
            <w:tcW w:w="415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 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MRA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151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57.0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125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47.2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</w:tr>
      <w:tr w:rsidR="004C23A9" w:rsidRPr="00011663" w:rsidTr="008E2B0D">
        <w:tc>
          <w:tcPr>
            <w:tcW w:w="415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 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Beta-</w:t>
            </w:r>
            <w:proofErr w:type="spell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bloker</w:t>
            </w:r>
            <w:proofErr w:type="spellEnd"/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213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80.4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208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78.5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</w:tr>
      <w:tr w:rsidR="004C23A9" w:rsidRPr="00011663" w:rsidTr="008E2B0D">
        <w:tc>
          <w:tcPr>
            <w:tcW w:w="415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 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Kulp </w:t>
            </w:r>
            <w:proofErr w:type="spell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diüretik</w:t>
            </w:r>
            <w:proofErr w:type="spellEnd"/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233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87.9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23A9" w:rsidRPr="008F7202" w:rsidRDefault="004C23A9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204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77.0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</w:tr>
    </w:tbl>
    <w:p w:rsidR="004C23A9" w:rsidRDefault="004C23A9" w:rsidP="00E4747D">
      <w:pPr>
        <w:pStyle w:val="ListeParagraf"/>
        <w:ind w:left="1080"/>
        <w:rPr>
          <w:rFonts w:ascii="Times New Roman" w:hAnsi="Times New Roman" w:cs="Times New Roman"/>
          <w:sz w:val="24"/>
          <w:szCs w:val="24"/>
        </w:rPr>
      </w:pPr>
    </w:p>
    <w:p w:rsidR="004C23A9" w:rsidRDefault="004C23A9" w:rsidP="00E4747D">
      <w:pPr>
        <w:pStyle w:val="ListeParagraf"/>
        <w:ind w:left="1080"/>
        <w:rPr>
          <w:rFonts w:ascii="Times New Roman" w:hAnsi="Times New Roman" w:cs="Times New Roman"/>
          <w:sz w:val="24"/>
          <w:szCs w:val="24"/>
        </w:rPr>
      </w:pPr>
    </w:p>
    <w:p w:rsidR="00517825" w:rsidRDefault="00517825" w:rsidP="00E4747D">
      <w:pPr>
        <w:pStyle w:val="ListeParagraf"/>
        <w:ind w:left="1080"/>
        <w:rPr>
          <w:rFonts w:ascii="Times New Roman" w:hAnsi="Times New Roman" w:cs="Times New Roman"/>
          <w:sz w:val="24"/>
          <w:szCs w:val="24"/>
        </w:rPr>
      </w:pPr>
    </w:p>
    <w:p w:rsidR="00517825" w:rsidRDefault="00517825" w:rsidP="00E4747D">
      <w:pPr>
        <w:pStyle w:val="ListeParagraf"/>
        <w:ind w:left="1080"/>
        <w:rPr>
          <w:rFonts w:ascii="Times New Roman" w:hAnsi="Times New Roman" w:cs="Times New Roman"/>
          <w:sz w:val="24"/>
          <w:szCs w:val="24"/>
        </w:rPr>
      </w:pPr>
    </w:p>
    <w:p w:rsidR="00517825" w:rsidRDefault="00517825" w:rsidP="00E4747D">
      <w:pPr>
        <w:pStyle w:val="ListeParagraf"/>
        <w:ind w:left="1080"/>
        <w:rPr>
          <w:rFonts w:ascii="Times New Roman" w:hAnsi="Times New Roman" w:cs="Times New Roman"/>
          <w:sz w:val="24"/>
          <w:szCs w:val="24"/>
        </w:rPr>
      </w:pPr>
    </w:p>
    <w:p w:rsidR="00517825" w:rsidRPr="00011663" w:rsidRDefault="00517825" w:rsidP="00517825">
      <w:pPr>
        <w:spacing w:line="240" w:lineRule="auto"/>
        <w:rPr>
          <w:rFonts w:ascii="Cambria" w:eastAsia="Times New Roman" w:hAnsi="Cambria" w:cs="Times New Roman"/>
          <w:color w:val="333333"/>
          <w:sz w:val="24"/>
          <w:szCs w:val="24"/>
          <w:lang w:eastAsia="tr-TR"/>
        </w:rPr>
      </w:pPr>
      <w:r w:rsidRPr="007B7319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tr-TR"/>
        </w:rPr>
        <w:t>Tablo 2.</w:t>
      </w:r>
      <w:r w:rsidRPr="007B7319">
        <w:rPr>
          <w:rFonts w:ascii="Cambria" w:eastAsia="Times New Roman" w:hAnsi="Cambria" w:cs="Times New Roman"/>
          <w:color w:val="C00000"/>
          <w:sz w:val="24"/>
          <w:szCs w:val="24"/>
          <w:lang w:eastAsia="tr-TR"/>
        </w:rPr>
        <w:t xml:space="preserve"> </w:t>
      </w:r>
      <w:proofErr w:type="spellStart"/>
      <w:r w:rsidRPr="0091566A">
        <w:rPr>
          <w:rFonts w:ascii="Times New Roman" w:eastAsia="Times New Roman" w:hAnsi="Times New Roman" w:cs="Times New Roman"/>
          <w:sz w:val="24"/>
          <w:szCs w:val="24"/>
          <w:lang w:eastAsia="tr-TR"/>
        </w:rPr>
        <w:t>Primer</w:t>
      </w:r>
      <w:proofErr w:type="spellEnd"/>
      <w:r w:rsidRPr="0091566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ve </w:t>
      </w:r>
      <w:proofErr w:type="spellStart"/>
      <w:r w:rsidRPr="0091566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sekonder</w:t>
      </w:r>
      <w:proofErr w:type="spellEnd"/>
      <w:r w:rsidRPr="0091566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sonuçlar</w:t>
      </w: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6"/>
        <w:gridCol w:w="1276"/>
        <w:gridCol w:w="1167"/>
        <w:gridCol w:w="1384"/>
        <w:gridCol w:w="845"/>
      </w:tblGrid>
      <w:tr w:rsidR="00517825" w:rsidRPr="00011663" w:rsidTr="008E2B0D">
        <w:trPr>
          <w:tblHeader/>
        </w:trPr>
        <w:tc>
          <w:tcPr>
            <w:tcW w:w="5246" w:type="dxa"/>
            <w:shd w:val="clear" w:color="auto" w:fill="E7E6E6" w:themeFill="background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011663" w:rsidRDefault="00517825" w:rsidP="008E2B0D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shd w:val="clear" w:color="auto" w:fill="E7E6E6" w:themeFill="background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011663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0116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Empagliflozin</w:t>
            </w:r>
            <w:proofErr w:type="spellEnd"/>
            <w:r w:rsidRPr="000116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(</w:t>
            </w:r>
            <w:r w:rsidRPr="000116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tr-TR"/>
              </w:rPr>
              <w:t>n</w:t>
            </w:r>
            <w:r w:rsidRPr="000116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 = 265)</w:t>
            </w:r>
          </w:p>
        </w:tc>
        <w:tc>
          <w:tcPr>
            <w:tcW w:w="1167" w:type="dxa"/>
            <w:shd w:val="clear" w:color="auto" w:fill="E7E6E6" w:themeFill="background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011663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Plas</w:t>
            </w:r>
            <w:r w:rsidRPr="000116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ebo</w:t>
            </w:r>
            <w:proofErr w:type="spellEnd"/>
            <w:r w:rsidRPr="000116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(</w:t>
            </w:r>
            <w:r w:rsidRPr="000116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tr-TR"/>
              </w:rPr>
              <w:t>n</w:t>
            </w:r>
            <w:r w:rsidRPr="000116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 = 265)</w:t>
            </w:r>
          </w:p>
        </w:tc>
        <w:tc>
          <w:tcPr>
            <w:tcW w:w="1384" w:type="dxa"/>
            <w:shd w:val="clear" w:color="auto" w:fill="E7E6E6" w:themeFill="background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011663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45" w:type="dxa"/>
            <w:shd w:val="clear" w:color="auto" w:fill="E7E6E6" w:themeFill="background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011663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116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tr-TR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517825" w:rsidRPr="00011663" w:rsidTr="008E2B0D">
        <w:tc>
          <w:tcPr>
            <w:tcW w:w="5246" w:type="dxa"/>
            <w:shd w:val="clear" w:color="auto" w:fill="FBE4D5" w:themeFill="accent2" w:themeFillTint="33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8F7202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Primer</w:t>
            </w:r>
            <w:proofErr w:type="spell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sonlanım noktası</w:t>
            </w:r>
          </w:p>
        </w:tc>
        <w:tc>
          <w:tcPr>
            <w:tcW w:w="1276" w:type="dxa"/>
            <w:shd w:val="clear" w:color="auto" w:fill="FBE4D5" w:themeFill="accent2" w:themeFillTint="33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8F7202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7" w:type="dxa"/>
            <w:shd w:val="clear" w:color="auto" w:fill="FBE4D5" w:themeFill="accent2" w:themeFillTint="33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8F7202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4" w:type="dxa"/>
            <w:shd w:val="clear" w:color="auto" w:fill="FBE4D5" w:themeFill="accent2" w:themeFillTint="33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Kazanım oranı</w:t>
            </w:r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(95% CI)</w:t>
            </w:r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tr-TR"/>
              </w:rPr>
              <w:t>a</w:t>
            </w:r>
          </w:p>
        </w:tc>
        <w:tc>
          <w:tcPr>
            <w:tcW w:w="845" w:type="dxa"/>
            <w:shd w:val="clear" w:color="auto" w:fill="FBE4D5" w:themeFill="accent2" w:themeFillTint="33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011663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17825" w:rsidRPr="00011663" w:rsidTr="008E2B0D">
        <w:tc>
          <w:tcPr>
            <w:tcW w:w="5246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8F7202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</w:p>
          <w:p w:rsidR="00517825" w:rsidRPr="008F7202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Primer</w:t>
            </w:r>
            <w:proofErr w:type="spell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son nokta (%kazanımlar)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tr-TR"/>
              </w:rPr>
              <w:t>b</w:t>
            </w:r>
          </w:p>
        </w:tc>
        <w:tc>
          <w:tcPr>
            <w:tcW w:w="1276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53.89</w:t>
            </w:r>
          </w:p>
        </w:tc>
        <w:tc>
          <w:tcPr>
            <w:tcW w:w="1167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39.71</w:t>
            </w:r>
          </w:p>
        </w:tc>
        <w:tc>
          <w:tcPr>
            <w:tcW w:w="1384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1.36 (1.09–1.68)</w:t>
            </w:r>
          </w:p>
        </w:tc>
        <w:tc>
          <w:tcPr>
            <w:tcW w:w="84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011663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16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0.0054</w:t>
            </w:r>
          </w:p>
        </w:tc>
      </w:tr>
      <w:tr w:rsidR="00517825" w:rsidRPr="00011663" w:rsidTr="008E2B0D">
        <w:tc>
          <w:tcPr>
            <w:tcW w:w="5246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8F7202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</w:p>
          <w:p w:rsidR="00517825" w:rsidRPr="008F7202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Ölüm zamanı (%kazanımlar)</w:t>
            </w:r>
          </w:p>
        </w:tc>
        <w:tc>
          <w:tcPr>
            <w:tcW w:w="1276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7.15</w:t>
            </w:r>
          </w:p>
        </w:tc>
        <w:tc>
          <w:tcPr>
            <w:tcW w:w="1167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4.01</w:t>
            </w:r>
          </w:p>
        </w:tc>
        <w:tc>
          <w:tcPr>
            <w:tcW w:w="1384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4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011663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17825" w:rsidRPr="00011663" w:rsidTr="008E2B0D">
        <w:tc>
          <w:tcPr>
            <w:tcW w:w="5246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8F7202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tr-TR"/>
              </w:rPr>
              <w:t> </w:t>
            </w:r>
          </w:p>
          <w:p w:rsidR="00517825" w:rsidRPr="008F7202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KYO sıklığı (%kazanımlar)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tr-TR"/>
              </w:rPr>
              <w:t>c</w:t>
            </w:r>
          </w:p>
        </w:tc>
        <w:tc>
          <w:tcPr>
            <w:tcW w:w="1276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10.59</w:t>
            </w:r>
          </w:p>
        </w:tc>
        <w:tc>
          <w:tcPr>
            <w:tcW w:w="1167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7.65</w:t>
            </w:r>
          </w:p>
        </w:tc>
        <w:tc>
          <w:tcPr>
            <w:tcW w:w="1384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4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011663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17825" w:rsidRPr="00011663" w:rsidTr="008E2B0D">
        <w:tc>
          <w:tcPr>
            <w:tcW w:w="5246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8F7202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8F72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İlk KYO zamanı (%kazanımlar)</w:t>
            </w:r>
          </w:p>
        </w:tc>
        <w:tc>
          <w:tcPr>
            <w:tcW w:w="1276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0.24</w:t>
            </w:r>
          </w:p>
        </w:tc>
        <w:tc>
          <w:tcPr>
            <w:tcW w:w="1167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0.57</w:t>
            </w:r>
          </w:p>
        </w:tc>
        <w:tc>
          <w:tcPr>
            <w:tcW w:w="1384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4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011663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17825" w:rsidRPr="00011663" w:rsidTr="008E2B0D">
        <w:tc>
          <w:tcPr>
            <w:tcW w:w="5246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8F7202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Başlangıçtan 90 güne KCCQ-</w:t>
            </w:r>
            <w:proofErr w:type="spellStart"/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TSS’de</w:t>
            </w:r>
            <w:proofErr w:type="spell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değişiklik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≥5 puan fark (%kazanım)d</w:t>
            </w:r>
          </w:p>
        </w:tc>
        <w:tc>
          <w:tcPr>
            <w:tcW w:w="1276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35.91</w:t>
            </w:r>
          </w:p>
        </w:tc>
        <w:tc>
          <w:tcPr>
            <w:tcW w:w="1167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27.48</w:t>
            </w:r>
          </w:p>
        </w:tc>
        <w:tc>
          <w:tcPr>
            <w:tcW w:w="1384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4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011663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17825" w:rsidRPr="00011663" w:rsidTr="008E2B0D">
        <w:tc>
          <w:tcPr>
            <w:tcW w:w="5246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8F7202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8F72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Bağlantıların yüzdesi</w:t>
            </w:r>
          </w:p>
        </w:tc>
        <w:tc>
          <w:tcPr>
            <w:tcW w:w="1276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6.41</w:t>
            </w:r>
          </w:p>
        </w:tc>
        <w:tc>
          <w:tcPr>
            <w:tcW w:w="1167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6.41</w:t>
            </w:r>
          </w:p>
        </w:tc>
        <w:tc>
          <w:tcPr>
            <w:tcW w:w="1384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4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011663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17825" w:rsidRPr="00011663" w:rsidTr="008E2B0D">
        <w:tc>
          <w:tcPr>
            <w:tcW w:w="9918" w:type="dxa"/>
            <w:gridSpan w:val="5"/>
            <w:shd w:val="clear" w:color="auto" w:fill="FBE4D5" w:themeFill="accent2" w:themeFillTint="33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Tüm çalışma </w:t>
            </w:r>
            <w:proofErr w:type="gramStart"/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popülasyonunda</w:t>
            </w:r>
            <w:proofErr w:type="gramEnd"/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ayrı ayrı tanımlanan bileşenler</w:t>
            </w:r>
          </w:p>
        </w:tc>
      </w:tr>
      <w:tr w:rsidR="00517825" w:rsidRPr="00011663" w:rsidTr="008E2B0D">
        <w:tc>
          <w:tcPr>
            <w:tcW w:w="5246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8F7202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 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Ölümler, </w:t>
            </w:r>
            <w:r w:rsidRPr="008F720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n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 (%)</w:t>
            </w:r>
          </w:p>
        </w:tc>
        <w:tc>
          <w:tcPr>
            <w:tcW w:w="1276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8F7202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4.2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167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8F7202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8.3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384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4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011663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17825" w:rsidRPr="00011663" w:rsidTr="008E2B0D">
        <w:tc>
          <w:tcPr>
            <w:tcW w:w="5246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8F7202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 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KYO’lu</w:t>
            </w:r>
            <w:proofErr w:type="spell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hastalar, </w:t>
            </w:r>
            <w:r w:rsidRPr="008F720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n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 (%)</w:t>
            </w:r>
          </w:p>
        </w:tc>
        <w:tc>
          <w:tcPr>
            <w:tcW w:w="1276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8F7202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10.6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167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8F7202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39 (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14.7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384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4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011663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17825" w:rsidRPr="00011663" w:rsidTr="008E2B0D">
        <w:tc>
          <w:tcPr>
            <w:tcW w:w="5246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8F7202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 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KYO’lar</w:t>
            </w:r>
            <w:proofErr w:type="spell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, </w:t>
            </w:r>
            <w:r w:rsidRPr="008F720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n</w:t>
            </w:r>
          </w:p>
        </w:tc>
        <w:tc>
          <w:tcPr>
            <w:tcW w:w="1276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8F7202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1167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8F7202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52</w:t>
            </w:r>
          </w:p>
        </w:tc>
        <w:tc>
          <w:tcPr>
            <w:tcW w:w="1384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4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011663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17825" w:rsidRPr="00011663" w:rsidTr="008E2B0D">
        <w:tc>
          <w:tcPr>
            <w:tcW w:w="5246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8F7202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Başlangıçtan 90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tr-TR"/>
              </w:rPr>
              <w:t>d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güne  KCCQ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-TSS değişikliği </w:t>
            </w:r>
          </w:p>
          <w:p w:rsidR="00517825" w:rsidRPr="008F7202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443" w:type="dxa"/>
            <w:gridSpan w:val="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8F7202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Sekonder</w:t>
            </w:r>
            <w:proofErr w:type="spell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sonlanım noktasına bakın</w:t>
            </w:r>
          </w:p>
        </w:tc>
        <w:tc>
          <w:tcPr>
            <w:tcW w:w="1384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4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011663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17825" w:rsidRPr="00011663" w:rsidTr="008E2B0D">
        <w:tc>
          <w:tcPr>
            <w:tcW w:w="5246" w:type="dxa"/>
            <w:shd w:val="clear" w:color="auto" w:fill="FBE4D5" w:themeFill="accent2" w:themeFillTint="33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8F7202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Sekonder</w:t>
            </w:r>
            <w:proofErr w:type="spell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sonlanım noktaları</w:t>
            </w:r>
          </w:p>
        </w:tc>
        <w:tc>
          <w:tcPr>
            <w:tcW w:w="1276" w:type="dxa"/>
            <w:shd w:val="clear" w:color="auto" w:fill="FBE4D5" w:themeFill="accent2" w:themeFillTint="33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8F7202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7" w:type="dxa"/>
            <w:shd w:val="clear" w:color="auto" w:fill="FBE4D5" w:themeFill="accent2" w:themeFillTint="33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8F7202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4" w:type="dxa"/>
            <w:shd w:val="clear" w:color="auto" w:fill="FBE4D5" w:themeFill="accent2" w:themeFillTint="33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Hazard</w:t>
            </w:r>
            <w:proofErr w:type="spellEnd"/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ratio</w:t>
            </w:r>
            <w:proofErr w:type="spellEnd"/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(95% CI)</w:t>
            </w:r>
          </w:p>
        </w:tc>
        <w:tc>
          <w:tcPr>
            <w:tcW w:w="845" w:type="dxa"/>
            <w:shd w:val="clear" w:color="auto" w:fill="FBE4D5" w:themeFill="accent2" w:themeFillTint="33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011663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17825" w:rsidRPr="00011663" w:rsidTr="008E2B0D">
        <w:tc>
          <w:tcPr>
            <w:tcW w:w="5246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1782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51782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Çalışma sonu ziyaretine kadar 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VÖ veya KYO</w:t>
            </w:r>
            <w:r w:rsidRPr="0051782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100 hasta yılı başına olaylar (95% GA)</w:t>
            </w:r>
          </w:p>
        </w:tc>
        <w:tc>
          <w:tcPr>
            <w:tcW w:w="1276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1782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34 (</w:t>
            </w:r>
            <w:proofErr w:type="gramStart"/>
            <w:r w:rsidRPr="0051782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12.8</w:t>
            </w:r>
            <w:proofErr w:type="gramEnd"/>
            <w:r w:rsidRPr="0051782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), 55.01 (38.10–74.99)</w:t>
            </w:r>
          </w:p>
        </w:tc>
        <w:tc>
          <w:tcPr>
            <w:tcW w:w="1167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1782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49 (</w:t>
            </w:r>
            <w:proofErr w:type="gramStart"/>
            <w:r w:rsidRPr="0051782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18.5</w:t>
            </w:r>
            <w:proofErr w:type="gramEnd"/>
            <w:r w:rsidRPr="0051782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), 80.45 (59.52–104.49)</w:t>
            </w:r>
          </w:p>
        </w:tc>
        <w:tc>
          <w:tcPr>
            <w:tcW w:w="1384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0.69 (0.45–1.08)</w:t>
            </w:r>
          </w:p>
        </w:tc>
        <w:tc>
          <w:tcPr>
            <w:tcW w:w="84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011663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17825" w:rsidRPr="00011663" w:rsidTr="008E2B0D">
        <w:tc>
          <w:tcPr>
            <w:tcW w:w="5246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7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4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Odds</w:t>
            </w:r>
            <w:proofErr w:type="spellEnd"/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ratio</w:t>
            </w:r>
            <w:proofErr w:type="spellEnd"/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(95% CI)</w:t>
            </w:r>
          </w:p>
        </w:tc>
        <w:tc>
          <w:tcPr>
            <w:tcW w:w="84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011663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17825" w:rsidRPr="00011663" w:rsidTr="008E2B0D">
        <w:tc>
          <w:tcPr>
            <w:tcW w:w="5246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1782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51782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90 günde KCCQ-</w:t>
            </w:r>
            <w:proofErr w:type="spellStart"/>
            <w:r w:rsidR="009949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TSS</w:t>
            </w:r>
            <w:r w:rsidRPr="0051782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’de</w:t>
            </w:r>
            <w:proofErr w:type="spellEnd"/>
            <w:r w:rsidRPr="0051782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≥10 puan düzelme, n (%)</w:t>
            </w:r>
          </w:p>
        </w:tc>
        <w:tc>
          <w:tcPr>
            <w:tcW w:w="1276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1782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220.1 (</w:t>
            </w:r>
            <w:proofErr w:type="gramStart"/>
            <w:r w:rsidRPr="0051782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83.1</w:t>
            </w:r>
            <w:proofErr w:type="gramEnd"/>
            <w:r w:rsidRPr="0051782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167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1782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202.1 (</w:t>
            </w:r>
            <w:proofErr w:type="gramStart"/>
            <w:r w:rsidRPr="0051782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76.3</w:t>
            </w:r>
            <w:proofErr w:type="gramEnd"/>
            <w:r w:rsidRPr="0051782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384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1.522 (0.927–2.501)</w:t>
            </w:r>
          </w:p>
        </w:tc>
        <w:tc>
          <w:tcPr>
            <w:tcW w:w="84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011663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17825" w:rsidRPr="00011663" w:rsidTr="008E2B0D">
        <w:trPr>
          <w:trHeight w:val="747"/>
        </w:trPr>
        <w:tc>
          <w:tcPr>
            <w:tcW w:w="5246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8F7202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8F7202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7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8F7202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4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Ayarlanmış ortalama fark (95% GA)</w:t>
            </w:r>
          </w:p>
        </w:tc>
        <w:tc>
          <w:tcPr>
            <w:tcW w:w="84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011663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17825" w:rsidRPr="00011663" w:rsidTr="008E2B0D">
        <w:tc>
          <w:tcPr>
            <w:tcW w:w="5246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8F7202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r w:rsidRPr="008F72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Başlangıçtan 90 güne ayarlanmış ortalama KCCQ-TSS (%95 GA)</w:t>
            </w:r>
          </w:p>
        </w:tc>
        <w:tc>
          <w:tcPr>
            <w:tcW w:w="1276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8F7202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36.19 (33.28–39.09)</w:t>
            </w:r>
          </w:p>
        </w:tc>
        <w:tc>
          <w:tcPr>
            <w:tcW w:w="1167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8F7202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31.73 (28.80–34.67)</w:t>
            </w:r>
          </w:p>
        </w:tc>
        <w:tc>
          <w:tcPr>
            <w:tcW w:w="1384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4.45 (0.32–8.59)</w:t>
            </w:r>
          </w:p>
        </w:tc>
        <w:tc>
          <w:tcPr>
            <w:tcW w:w="84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011663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17825" w:rsidRPr="00011663" w:rsidTr="008E2B0D">
        <w:tc>
          <w:tcPr>
            <w:tcW w:w="5246" w:type="dxa"/>
            <w:shd w:val="clear" w:color="auto" w:fill="FBE4D5" w:themeFill="accent2" w:themeFillTint="33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8F7202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 </w:t>
            </w:r>
            <w:proofErr w:type="spell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Diüretik</w:t>
            </w:r>
            <w:proofErr w:type="spell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cevabı (Ortalama günlük döngü </w:t>
            </w:r>
            <w:proofErr w:type="spell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diüretik</w:t>
            </w:r>
            <w:proofErr w:type="spell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dozu başına kg </w:t>
            </w: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kilo , kaybı</w:t>
            </w:r>
            <w:proofErr w:type="gram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tr-TR"/>
              </w:rPr>
              <w:t>e</w:t>
            </w:r>
            <w:r w:rsidRPr="008F72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ayarlanmış ortalama (%95 GA)e </w:t>
            </w:r>
          </w:p>
        </w:tc>
        <w:tc>
          <w:tcPr>
            <w:tcW w:w="1276" w:type="dxa"/>
            <w:shd w:val="clear" w:color="auto" w:fill="FBE4D5" w:themeFill="accent2" w:themeFillTint="33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8F7202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7" w:type="dxa"/>
            <w:shd w:val="clear" w:color="auto" w:fill="FBE4D5" w:themeFill="accent2" w:themeFillTint="33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8F7202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4" w:type="dxa"/>
            <w:shd w:val="clear" w:color="auto" w:fill="FBE4D5" w:themeFill="accent2" w:themeFillTint="33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4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011663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17825" w:rsidRPr="00011663" w:rsidTr="008E2B0D">
        <w:tc>
          <w:tcPr>
            <w:tcW w:w="5246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 </w:t>
            </w:r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15 günde</w:t>
            </w:r>
          </w:p>
        </w:tc>
        <w:tc>
          <w:tcPr>
            <w:tcW w:w="1276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−3.33 (−4.38 </w:t>
            </w:r>
            <w:proofErr w:type="spellStart"/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</w:t>
            </w:r>
            <w:proofErr w:type="spellEnd"/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−2.29)</w:t>
            </w:r>
          </w:p>
        </w:tc>
        <w:tc>
          <w:tcPr>
            <w:tcW w:w="1167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−1.02 (−2.04 </w:t>
            </w:r>
            <w:proofErr w:type="spellStart"/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</w:t>
            </w:r>
            <w:proofErr w:type="spellEnd"/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0.00)</w:t>
            </w:r>
          </w:p>
        </w:tc>
        <w:tc>
          <w:tcPr>
            <w:tcW w:w="1384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−2.31 (−3.77 </w:t>
            </w:r>
            <w:proofErr w:type="spellStart"/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</w:t>
            </w:r>
            <w:proofErr w:type="spellEnd"/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−0.85)</w:t>
            </w:r>
          </w:p>
        </w:tc>
        <w:tc>
          <w:tcPr>
            <w:tcW w:w="84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011663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17825" w:rsidRPr="00011663" w:rsidTr="008E2B0D">
        <w:tc>
          <w:tcPr>
            <w:tcW w:w="5246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 </w:t>
            </w:r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30 günde</w:t>
            </w:r>
          </w:p>
        </w:tc>
        <w:tc>
          <w:tcPr>
            <w:tcW w:w="1276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−3.80 (−5.39 </w:t>
            </w:r>
            <w:proofErr w:type="spellStart"/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</w:t>
            </w:r>
            <w:proofErr w:type="spellEnd"/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−2.20)</w:t>
            </w:r>
          </w:p>
        </w:tc>
        <w:tc>
          <w:tcPr>
            <w:tcW w:w="1167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−1.01 (−2.59 </w:t>
            </w:r>
            <w:proofErr w:type="spellStart"/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</w:t>
            </w:r>
            <w:proofErr w:type="spellEnd"/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0.57)</w:t>
            </w:r>
          </w:p>
        </w:tc>
        <w:tc>
          <w:tcPr>
            <w:tcW w:w="1384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−2.79 (−5.03 </w:t>
            </w:r>
            <w:proofErr w:type="spellStart"/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</w:t>
            </w:r>
            <w:proofErr w:type="spellEnd"/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−0.54)</w:t>
            </w:r>
          </w:p>
        </w:tc>
        <w:tc>
          <w:tcPr>
            <w:tcW w:w="84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011663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17825" w:rsidRPr="00011663" w:rsidTr="008E2B0D">
        <w:tc>
          <w:tcPr>
            <w:tcW w:w="5246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67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384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Adjusted</w:t>
            </w:r>
            <w:proofErr w:type="spellEnd"/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geometric</w:t>
            </w:r>
            <w:proofErr w:type="spellEnd"/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mean</w:t>
            </w:r>
            <w:proofErr w:type="spellEnd"/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ratio</w:t>
            </w:r>
            <w:proofErr w:type="spellEnd"/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(95% CI)</w:t>
            </w:r>
          </w:p>
        </w:tc>
        <w:tc>
          <w:tcPr>
            <w:tcW w:w="84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011663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17825" w:rsidRPr="00011663" w:rsidTr="008E2B0D">
        <w:tc>
          <w:tcPr>
            <w:tcW w:w="5246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30. günde NT-</w:t>
            </w:r>
            <w:proofErr w:type="spellStart"/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proBNP'de</w:t>
            </w:r>
            <w:proofErr w:type="spellEnd"/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başlangıca göre AUC değişimi, düzeltilmiş geometrik ortalama (%95 </w:t>
            </w:r>
            <w:proofErr w:type="spellStart"/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Ga</w:t>
            </w:r>
            <w:proofErr w:type="spellEnd"/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tr-TR"/>
              </w:rPr>
              <w:t>d</w:t>
            </w:r>
          </w:p>
        </w:tc>
        <w:tc>
          <w:tcPr>
            <w:tcW w:w="1276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24.07 (22.61–25.62)</w:t>
            </w:r>
          </w:p>
        </w:tc>
        <w:tc>
          <w:tcPr>
            <w:tcW w:w="1167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26.77 (25.15–28.48)</w:t>
            </w:r>
          </w:p>
        </w:tc>
        <w:tc>
          <w:tcPr>
            <w:tcW w:w="1384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0.90 (0.82–0.98)</w:t>
            </w:r>
          </w:p>
        </w:tc>
        <w:tc>
          <w:tcPr>
            <w:tcW w:w="84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011663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17825" w:rsidRPr="00011663" w:rsidTr="008E2B0D">
        <w:tc>
          <w:tcPr>
            <w:tcW w:w="5246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8F7202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8F7202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7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8F7202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4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Adjusted</w:t>
            </w:r>
            <w:proofErr w:type="spellEnd"/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mean</w:t>
            </w:r>
            <w:proofErr w:type="spellEnd"/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difference</w:t>
            </w:r>
            <w:proofErr w:type="spellEnd"/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(95% CI)</w:t>
            </w:r>
          </w:p>
        </w:tc>
        <w:tc>
          <w:tcPr>
            <w:tcW w:w="84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011663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17825" w:rsidRPr="00011663" w:rsidTr="008E2B0D">
        <w:tc>
          <w:tcPr>
            <w:tcW w:w="5246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8F7202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Çalışma ilacına başlanmasından ilk hastaneden taburcu olduktan sonraki 30 gün sonrasına kadar hayatta kalan ve hastaneden ayrı kalan günlerin yüzdesi, ortalama (</w:t>
            </w:r>
            <w:proofErr w:type="spell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s.d</w:t>
            </w:r>
            <w:proofErr w:type="spell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.)</w:t>
            </w:r>
          </w:p>
        </w:tc>
        <w:tc>
          <w:tcPr>
            <w:tcW w:w="1276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81.37 (18.62)</w:t>
            </w:r>
          </w:p>
        </w:tc>
        <w:tc>
          <w:tcPr>
            <w:tcW w:w="1167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80.90 (21.25)</w:t>
            </w:r>
          </w:p>
        </w:tc>
        <w:tc>
          <w:tcPr>
            <w:tcW w:w="1384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0.47 (−2.97 </w:t>
            </w:r>
            <w:proofErr w:type="spellStart"/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</w:t>
            </w:r>
            <w:proofErr w:type="spellEnd"/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3.91)</w:t>
            </w:r>
          </w:p>
        </w:tc>
        <w:tc>
          <w:tcPr>
            <w:tcW w:w="84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011663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17825" w:rsidRPr="00011663" w:rsidTr="008E2B0D">
        <w:tc>
          <w:tcPr>
            <w:tcW w:w="5246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8F7202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Çalışma ilacının başlatılmasından ilk hastaneden taburcu olduktan sonraki 30 gün sonrasına kadar canlı ve hastane dışında geçen gün sayısı, ortalama (</w:t>
            </w:r>
            <w:proofErr w:type="spell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s.d</w:t>
            </w:r>
            <w:proofErr w:type="spell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.)</w:t>
            </w:r>
          </w:p>
        </w:tc>
        <w:tc>
          <w:tcPr>
            <w:tcW w:w="1276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28.00 (6.15)</w:t>
            </w:r>
          </w:p>
        </w:tc>
        <w:tc>
          <w:tcPr>
            <w:tcW w:w="1167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27.47 (6.63)</w:t>
            </w:r>
          </w:p>
        </w:tc>
        <w:tc>
          <w:tcPr>
            <w:tcW w:w="1384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NA</w:t>
            </w:r>
          </w:p>
        </w:tc>
        <w:tc>
          <w:tcPr>
            <w:tcW w:w="84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011663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17825" w:rsidRPr="00011663" w:rsidTr="008E2B0D">
        <w:tc>
          <w:tcPr>
            <w:tcW w:w="5246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8F7202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Çalışma ilacına başlanmasından </w:t>
            </w:r>
            <w:proofErr w:type="spell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randomizasyondan</w:t>
            </w:r>
            <w:proofErr w:type="spell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sonraki 90  güne kadar hayatta kalan ve hastane dışında kalan günlerin yüzdesi, ortalama (</w:t>
            </w:r>
            <w:proofErr w:type="spell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s.d</w:t>
            </w:r>
            <w:proofErr w:type="spell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.)</w:t>
            </w:r>
          </w:p>
        </w:tc>
        <w:tc>
          <w:tcPr>
            <w:tcW w:w="1276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87.55 (19.54)</w:t>
            </w:r>
          </w:p>
        </w:tc>
        <w:tc>
          <w:tcPr>
            <w:tcW w:w="1167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85.79 (22.76)</w:t>
            </w:r>
          </w:p>
        </w:tc>
        <w:tc>
          <w:tcPr>
            <w:tcW w:w="1384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1.76 (−1.91 </w:t>
            </w:r>
            <w:proofErr w:type="spellStart"/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</w:t>
            </w:r>
            <w:proofErr w:type="spellEnd"/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5.43)</w:t>
            </w:r>
          </w:p>
        </w:tc>
        <w:tc>
          <w:tcPr>
            <w:tcW w:w="84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011663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17825" w:rsidRPr="00011663" w:rsidTr="008E2B0D">
        <w:tc>
          <w:tcPr>
            <w:tcW w:w="5246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8F7202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Çalışma ilacı başlangıcından </w:t>
            </w:r>
            <w:proofErr w:type="spell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randomizasyondan</w:t>
            </w:r>
            <w:proofErr w:type="spell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sonraki 90  güne kadar hayatta kalma ve hastaneden ayrılma günleri, ortalama (</w:t>
            </w:r>
            <w:proofErr w:type="spell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s.d</w:t>
            </w:r>
            <w:proofErr w:type="spell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.)</w:t>
            </w:r>
          </w:p>
        </w:tc>
        <w:tc>
          <w:tcPr>
            <w:tcW w:w="1276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78.29 (20.17)</w:t>
            </w:r>
          </w:p>
        </w:tc>
        <w:tc>
          <w:tcPr>
            <w:tcW w:w="1167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76.13 (22.85)</w:t>
            </w:r>
          </w:p>
        </w:tc>
        <w:tc>
          <w:tcPr>
            <w:tcW w:w="1384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NA</w:t>
            </w:r>
          </w:p>
        </w:tc>
        <w:tc>
          <w:tcPr>
            <w:tcW w:w="84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011663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17825" w:rsidRPr="00011663" w:rsidTr="008E2B0D">
        <w:tc>
          <w:tcPr>
            <w:tcW w:w="5246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8F7202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67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384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Odds</w:t>
            </w:r>
            <w:proofErr w:type="spellEnd"/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ratio</w:t>
            </w:r>
            <w:proofErr w:type="spellEnd"/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(95% CI)</w:t>
            </w:r>
          </w:p>
        </w:tc>
        <w:tc>
          <w:tcPr>
            <w:tcW w:w="84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011663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17825" w:rsidRPr="00011663" w:rsidTr="008E2B0D">
        <w:tc>
          <w:tcPr>
            <w:tcW w:w="5246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8F7202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İlk hastaneden taburcu olduktan sonra 30 güne kadar KY nedeniyle hastaneye yatışlar, n (%)</w:t>
            </w:r>
          </w:p>
        </w:tc>
        <w:tc>
          <w:tcPr>
            <w:tcW w:w="1276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14 (</w:t>
            </w:r>
            <w:proofErr w:type="gramStart"/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5.3</w:t>
            </w:r>
            <w:proofErr w:type="gramEnd"/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167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12 (</w:t>
            </w:r>
            <w:proofErr w:type="gramStart"/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4.5</w:t>
            </w:r>
            <w:proofErr w:type="gramEnd"/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384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1.179 (0.534–2.601)</w:t>
            </w:r>
          </w:p>
        </w:tc>
        <w:tc>
          <w:tcPr>
            <w:tcW w:w="84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011663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17825" w:rsidRPr="00011663" w:rsidTr="008E2B0D">
        <w:tc>
          <w:tcPr>
            <w:tcW w:w="5246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8F7202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&lt;30 ml min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tr-TR"/>
              </w:rPr>
              <w:t>−1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 1.73 m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tr-TR"/>
              </w:rPr>
              <w:t>−2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, </w:t>
            </w:r>
            <w:r w:rsidRPr="008F720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n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 (%)Başlangıç </w:t>
            </w:r>
            <w:proofErr w:type="spell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eGFR'si</w:t>
            </w:r>
            <w:proofErr w:type="spell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≥30 ml dk-1 1,73 m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tr-TR"/>
              </w:rPr>
              <w:t>-2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olan hastalarda kronik diyaliz veya böbrek nakli oluşumu veya sürekli ≥%40 </w:t>
            </w:r>
            <w:proofErr w:type="spell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eGFR</w:t>
            </w:r>
            <w:proofErr w:type="spell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CKD-</w:t>
            </w:r>
            <w:proofErr w:type="spell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EPIcr</w:t>
            </w:r>
            <w:proofErr w:type="spell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azalması veya sürekli </w:t>
            </w:r>
            <w:proofErr w:type="spell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eGFRCKD-EPIcr</w:t>
            </w:r>
            <w:proofErr w:type="spell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&lt;15 ml dk-1 1,73 m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tr-TR"/>
              </w:rPr>
              <w:t>-2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, başlangıç </w:t>
            </w:r>
            <w:proofErr w:type="spell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eGFR</w:t>
            </w:r>
            <w:proofErr w:type="spell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&lt;30 ml min-1 1,73 m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tr-TR"/>
              </w:rPr>
              <w:t>-2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olan hastalar için sürekli </w:t>
            </w:r>
            <w:proofErr w:type="spellStart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eGFRCKD-EPIcr</w:t>
            </w:r>
            <w:proofErr w:type="spellEnd"/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&lt;10 ml dak-1 1,73 m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tr-TR"/>
              </w:rPr>
              <w:t>-2</w:t>
            </w:r>
            <w:r w:rsidRPr="008F7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, n (%)</w:t>
            </w:r>
            <w:proofErr w:type="gramEnd"/>
          </w:p>
        </w:tc>
        <w:tc>
          <w:tcPr>
            <w:tcW w:w="1276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167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 (</w:t>
            </w:r>
            <w:proofErr w:type="gramStart"/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0.8</w:t>
            </w:r>
            <w:proofErr w:type="gramEnd"/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384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517825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178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Bir modele sığdırmak mümkün değil</w:t>
            </w:r>
          </w:p>
        </w:tc>
        <w:tc>
          <w:tcPr>
            <w:tcW w:w="84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7825" w:rsidRPr="00011663" w:rsidRDefault="00517825" w:rsidP="008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517825" w:rsidRPr="00994959" w:rsidRDefault="00517825" w:rsidP="00517825">
      <w:pPr>
        <w:pStyle w:val="ListeParagraf"/>
        <w:ind w:left="1080"/>
        <w:rPr>
          <w:rFonts w:ascii="Times New Roman" w:hAnsi="Times New Roman" w:cs="Times New Roman"/>
          <w:sz w:val="20"/>
          <w:szCs w:val="20"/>
        </w:rPr>
      </w:pPr>
      <w:r w:rsidRPr="00517825">
        <w:rPr>
          <w:rFonts w:ascii="Times New Roman" w:hAnsi="Times New Roman" w:cs="Times New Roman"/>
          <w:b/>
        </w:rPr>
        <w:t>Kısaltmalar</w:t>
      </w:r>
      <w:r w:rsidRPr="00517825">
        <w:rPr>
          <w:rFonts w:ascii="Times New Roman" w:hAnsi="Times New Roman" w:cs="Times New Roman"/>
        </w:rPr>
        <w:t xml:space="preserve">: </w:t>
      </w:r>
      <w:r w:rsidRPr="00994959">
        <w:rPr>
          <w:rFonts w:ascii="Times New Roman" w:hAnsi="Times New Roman" w:cs="Times New Roman"/>
          <w:sz w:val="20"/>
          <w:szCs w:val="20"/>
        </w:rPr>
        <w:t xml:space="preserve">AUC- </w:t>
      </w:r>
      <w:proofErr w:type="spellStart"/>
      <w:r w:rsidRPr="00994959">
        <w:rPr>
          <w:rFonts w:ascii="Times New Roman" w:hAnsi="Times New Roman" w:cs="Times New Roman"/>
          <w:sz w:val="20"/>
          <w:szCs w:val="20"/>
        </w:rPr>
        <w:t>Area</w:t>
      </w:r>
      <w:proofErr w:type="spellEnd"/>
      <w:r w:rsidRPr="009949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4959">
        <w:rPr>
          <w:rFonts w:ascii="Times New Roman" w:hAnsi="Times New Roman" w:cs="Times New Roman"/>
          <w:sz w:val="20"/>
          <w:szCs w:val="20"/>
        </w:rPr>
        <w:t>under</w:t>
      </w:r>
      <w:proofErr w:type="spellEnd"/>
      <w:r w:rsidRPr="009949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4959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9949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4959">
        <w:rPr>
          <w:rFonts w:ascii="Times New Roman" w:hAnsi="Times New Roman" w:cs="Times New Roman"/>
          <w:sz w:val="20"/>
          <w:szCs w:val="20"/>
        </w:rPr>
        <w:t>curve</w:t>
      </w:r>
      <w:proofErr w:type="spellEnd"/>
      <w:r w:rsidRPr="00994959">
        <w:rPr>
          <w:rFonts w:ascii="Times New Roman" w:hAnsi="Times New Roman" w:cs="Times New Roman"/>
          <w:sz w:val="20"/>
          <w:szCs w:val="20"/>
        </w:rPr>
        <w:t>; CKD-</w:t>
      </w:r>
      <w:proofErr w:type="spellStart"/>
      <w:r w:rsidRPr="00994959">
        <w:rPr>
          <w:rFonts w:ascii="Times New Roman" w:hAnsi="Times New Roman" w:cs="Times New Roman"/>
          <w:sz w:val="20"/>
          <w:szCs w:val="20"/>
        </w:rPr>
        <w:t>EPIcr</w:t>
      </w:r>
      <w:proofErr w:type="spellEnd"/>
      <w:r w:rsidRPr="00994959">
        <w:rPr>
          <w:rFonts w:ascii="Times New Roman" w:hAnsi="Times New Roman" w:cs="Times New Roman"/>
          <w:sz w:val="20"/>
          <w:szCs w:val="20"/>
        </w:rPr>
        <w:t>-</w:t>
      </w:r>
      <w:r w:rsidRPr="009949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4959">
        <w:rPr>
          <w:rFonts w:ascii="Times New Roman" w:hAnsi="Times New Roman" w:cs="Times New Roman"/>
          <w:sz w:val="20"/>
          <w:szCs w:val="20"/>
        </w:rPr>
        <w:t>Chronic</w:t>
      </w:r>
      <w:proofErr w:type="spellEnd"/>
      <w:r w:rsidRPr="009949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4959">
        <w:rPr>
          <w:rFonts w:ascii="Times New Roman" w:hAnsi="Times New Roman" w:cs="Times New Roman"/>
          <w:sz w:val="20"/>
          <w:szCs w:val="20"/>
        </w:rPr>
        <w:t>Kidney</w:t>
      </w:r>
      <w:proofErr w:type="spellEnd"/>
      <w:r w:rsidRPr="009949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4959">
        <w:rPr>
          <w:rFonts w:ascii="Times New Roman" w:hAnsi="Times New Roman" w:cs="Times New Roman"/>
          <w:sz w:val="20"/>
          <w:szCs w:val="20"/>
        </w:rPr>
        <w:t>Disease</w:t>
      </w:r>
      <w:proofErr w:type="spellEnd"/>
      <w:r w:rsidRPr="009949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4959">
        <w:rPr>
          <w:rFonts w:ascii="Times New Roman" w:hAnsi="Times New Roman" w:cs="Times New Roman"/>
          <w:sz w:val="20"/>
          <w:szCs w:val="20"/>
        </w:rPr>
        <w:t>Epidemiology</w:t>
      </w:r>
      <w:proofErr w:type="spellEnd"/>
      <w:r w:rsidRPr="00994959">
        <w:rPr>
          <w:rFonts w:ascii="Times New Roman" w:hAnsi="Times New Roman" w:cs="Times New Roman"/>
          <w:sz w:val="20"/>
          <w:szCs w:val="20"/>
        </w:rPr>
        <w:t xml:space="preserve"> Collaboration </w:t>
      </w:r>
      <w:proofErr w:type="spellStart"/>
      <w:r w:rsidRPr="00994959">
        <w:rPr>
          <w:rFonts w:ascii="Times New Roman" w:hAnsi="Times New Roman" w:cs="Times New Roman"/>
          <w:sz w:val="20"/>
          <w:szCs w:val="20"/>
        </w:rPr>
        <w:t>equation</w:t>
      </w:r>
      <w:proofErr w:type="spellEnd"/>
      <w:r w:rsidRPr="009949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4959">
        <w:rPr>
          <w:rFonts w:ascii="Times New Roman" w:hAnsi="Times New Roman" w:cs="Times New Roman"/>
          <w:sz w:val="20"/>
          <w:szCs w:val="20"/>
        </w:rPr>
        <w:t>using</w:t>
      </w:r>
      <w:proofErr w:type="spellEnd"/>
      <w:r w:rsidRPr="00994959">
        <w:rPr>
          <w:rFonts w:ascii="Times New Roman" w:hAnsi="Times New Roman" w:cs="Times New Roman"/>
          <w:sz w:val="20"/>
          <w:szCs w:val="20"/>
        </w:rPr>
        <w:t xml:space="preserve"> ser</w:t>
      </w:r>
      <w:r w:rsidRPr="00994959">
        <w:rPr>
          <w:rFonts w:ascii="Times New Roman" w:hAnsi="Times New Roman" w:cs="Times New Roman"/>
          <w:sz w:val="20"/>
          <w:szCs w:val="20"/>
        </w:rPr>
        <w:t xml:space="preserve">um </w:t>
      </w:r>
      <w:proofErr w:type="spellStart"/>
      <w:r w:rsidRPr="00994959">
        <w:rPr>
          <w:rFonts w:ascii="Times New Roman" w:hAnsi="Times New Roman" w:cs="Times New Roman"/>
          <w:sz w:val="20"/>
          <w:szCs w:val="20"/>
        </w:rPr>
        <w:t>creatinine</w:t>
      </w:r>
      <w:proofErr w:type="spellEnd"/>
      <w:r w:rsidRPr="009949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4959">
        <w:rPr>
          <w:rFonts w:ascii="Times New Roman" w:hAnsi="Times New Roman" w:cs="Times New Roman"/>
          <w:sz w:val="20"/>
          <w:szCs w:val="20"/>
        </w:rPr>
        <w:t>concentration</w:t>
      </w:r>
      <w:proofErr w:type="spellEnd"/>
      <w:r w:rsidRPr="00994959">
        <w:rPr>
          <w:rFonts w:ascii="Times New Roman" w:hAnsi="Times New Roman" w:cs="Times New Roman"/>
          <w:sz w:val="20"/>
          <w:szCs w:val="20"/>
        </w:rPr>
        <w:t xml:space="preserve">; CVÖ- </w:t>
      </w:r>
      <w:proofErr w:type="spellStart"/>
      <w:r w:rsidRPr="00994959">
        <w:rPr>
          <w:rFonts w:ascii="Times New Roman" w:hAnsi="Times New Roman" w:cs="Times New Roman"/>
          <w:sz w:val="20"/>
          <w:szCs w:val="20"/>
        </w:rPr>
        <w:t>Kardiyovasküler</w:t>
      </w:r>
      <w:proofErr w:type="spellEnd"/>
      <w:r w:rsidRPr="00994959">
        <w:rPr>
          <w:rFonts w:ascii="Times New Roman" w:hAnsi="Times New Roman" w:cs="Times New Roman"/>
          <w:sz w:val="20"/>
          <w:szCs w:val="20"/>
        </w:rPr>
        <w:t xml:space="preserve"> ölüm; KYO- Kalp yetersizliği olayı</w:t>
      </w:r>
      <w:r w:rsidRPr="00994959">
        <w:rPr>
          <w:rFonts w:ascii="Times New Roman" w:hAnsi="Times New Roman" w:cs="Times New Roman"/>
          <w:sz w:val="20"/>
          <w:szCs w:val="20"/>
        </w:rPr>
        <w:t xml:space="preserve">; </w:t>
      </w:r>
      <w:r w:rsidR="00865F46" w:rsidRPr="00994959">
        <w:rPr>
          <w:rFonts w:ascii="Times New Roman" w:hAnsi="Times New Roman" w:cs="Times New Roman"/>
          <w:sz w:val="20"/>
          <w:szCs w:val="20"/>
        </w:rPr>
        <w:t>KCCQ-TSS-</w:t>
      </w:r>
      <w:r w:rsidR="00865F46" w:rsidRPr="00994959">
        <w:rPr>
          <w:sz w:val="20"/>
          <w:szCs w:val="20"/>
        </w:rPr>
        <w:t xml:space="preserve"> </w:t>
      </w:r>
      <w:r w:rsidR="00865F46" w:rsidRPr="00994959">
        <w:rPr>
          <w:rFonts w:ascii="Times New Roman" w:hAnsi="Times New Roman" w:cs="Times New Roman"/>
          <w:sz w:val="20"/>
          <w:szCs w:val="20"/>
        </w:rPr>
        <w:t xml:space="preserve">Kansas City </w:t>
      </w:r>
      <w:proofErr w:type="spellStart"/>
      <w:r w:rsidR="00865F46" w:rsidRPr="00994959">
        <w:rPr>
          <w:rFonts w:ascii="Times New Roman" w:hAnsi="Times New Roman" w:cs="Times New Roman"/>
          <w:sz w:val="20"/>
          <w:szCs w:val="20"/>
        </w:rPr>
        <w:t>Cardiomyopathy</w:t>
      </w:r>
      <w:proofErr w:type="spellEnd"/>
      <w:r w:rsidR="00865F46" w:rsidRPr="009949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65F46" w:rsidRPr="00994959">
        <w:rPr>
          <w:rFonts w:ascii="Times New Roman" w:hAnsi="Times New Roman" w:cs="Times New Roman"/>
          <w:sz w:val="20"/>
          <w:szCs w:val="20"/>
        </w:rPr>
        <w:t>Questionnaire</w:t>
      </w:r>
      <w:proofErr w:type="spellEnd"/>
      <w:r w:rsidR="00865F46" w:rsidRPr="00994959">
        <w:rPr>
          <w:rFonts w:ascii="Times New Roman" w:hAnsi="Times New Roman" w:cs="Times New Roman"/>
          <w:sz w:val="20"/>
          <w:szCs w:val="20"/>
        </w:rPr>
        <w:t xml:space="preserve"> total </w:t>
      </w:r>
      <w:proofErr w:type="spellStart"/>
      <w:r w:rsidR="00865F46" w:rsidRPr="00994959">
        <w:rPr>
          <w:rFonts w:ascii="Times New Roman" w:hAnsi="Times New Roman" w:cs="Times New Roman"/>
          <w:sz w:val="20"/>
          <w:szCs w:val="20"/>
        </w:rPr>
        <w:t>symptom</w:t>
      </w:r>
      <w:proofErr w:type="spellEnd"/>
      <w:r w:rsidR="00865F46" w:rsidRPr="009949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865F46" w:rsidRPr="00994959">
        <w:rPr>
          <w:rFonts w:ascii="Times New Roman" w:hAnsi="Times New Roman" w:cs="Times New Roman"/>
          <w:sz w:val="20"/>
          <w:szCs w:val="20"/>
        </w:rPr>
        <w:t>score</w:t>
      </w:r>
      <w:proofErr w:type="spellEnd"/>
      <w:r w:rsidR="00865F46" w:rsidRPr="00994959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994959">
        <w:rPr>
          <w:rFonts w:ascii="Times New Roman" w:hAnsi="Times New Roman" w:cs="Times New Roman"/>
          <w:sz w:val="20"/>
          <w:szCs w:val="20"/>
        </w:rPr>
        <w:t>eGFR</w:t>
      </w:r>
      <w:proofErr w:type="spellEnd"/>
      <w:proofErr w:type="gramEnd"/>
      <w:r w:rsidRPr="0099495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94959">
        <w:rPr>
          <w:rFonts w:ascii="Times New Roman" w:hAnsi="Times New Roman" w:cs="Times New Roman"/>
          <w:sz w:val="20"/>
          <w:szCs w:val="20"/>
        </w:rPr>
        <w:t>estimated</w:t>
      </w:r>
      <w:proofErr w:type="spellEnd"/>
      <w:r w:rsidRPr="009949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4959">
        <w:rPr>
          <w:rFonts w:ascii="Times New Roman" w:hAnsi="Times New Roman" w:cs="Times New Roman"/>
          <w:sz w:val="20"/>
          <w:szCs w:val="20"/>
        </w:rPr>
        <w:t>glomerular</w:t>
      </w:r>
      <w:proofErr w:type="spellEnd"/>
      <w:r w:rsidRPr="009949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4959">
        <w:rPr>
          <w:rFonts w:ascii="Times New Roman" w:hAnsi="Times New Roman" w:cs="Times New Roman"/>
          <w:sz w:val="20"/>
          <w:szCs w:val="20"/>
        </w:rPr>
        <w:t>filtration</w:t>
      </w:r>
      <w:proofErr w:type="spellEnd"/>
      <w:r w:rsidR="005A65D4" w:rsidRPr="00994959">
        <w:rPr>
          <w:rFonts w:ascii="Times New Roman" w:hAnsi="Times New Roman" w:cs="Times New Roman"/>
          <w:sz w:val="20"/>
          <w:szCs w:val="20"/>
        </w:rPr>
        <w:t>;</w:t>
      </w:r>
    </w:p>
    <w:p w:rsidR="00517825" w:rsidRPr="00994959" w:rsidRDefault="005A65D4" w:rsidP="00517825">
      <w:pPr>
        <w:pStyle w:val="ListeParagraf"/>
        <w:ind w:left="1080"/>
        <w:rPr>
          <w:rFonts w:ascii="Times New Roman" w:hAnsi="Times New Roman" w:cs="Times New Roman"/>
          <w:sz w:val="20"/>
          <w:szCs w:val="20"/>
        </w:rPr>
      </w:pPr>
      <w:proofErr w:type="gramStart"/>
      <w:r w:rsidRPr="00994959">
        <w:rPr>
          <w:rFonts w:ascii="Times New Roman" w:hAnsi="Times New Roman" w:cs="Times New Roman"/>
          <w:sz w:val="20"/>
          <w:szCs w:val="20"/>
        </w:rPr>
        <w:t>rate</w:t>
      </w:r>
      <w:proofErr w:type="gramEnd"/>
      <w:r w:rsidRPr="00994959">
        <w:rPr>
          <w:rFonts w:ascii="Times New Roman" w:hAnsi="Times New Roman" w:cs="Times New Roman"/>
          <w:sz w:val="20"/>
          <w:szCs w:val="20"/>
        </w:rPr>
        <w:t>; NA-Uygulanamaz.</w:t>
      </w:r>
      <w:r w:rsidRPr="00994959">
        <w:rPr>
          <w:sz w:val="20"/>
          <w:szCs w:val="20"/>
        </w:rPr>
        <w:t xml:space="preserve"> </w:t>
      </w:r>
      <w:proofErr w:type="spellStart"/>
      <w:r w:rsidRPr="00994959">
        <w:rPr>
          <w:sz w:val="20"/>
          <w:szCs w:val="20"/>
        </w:rPr>
        <w:t>Primer</w:t>
      </w:r>
      <w:proofErr w:type="spellEnd"/>
      <w:r w:rsidRPr="00994959">
        <w:rPr>
          <w:rFonts w:ascii="Times New Roman" w:hAnsi="Times New Roman" w:cs="Times New Roman"/>
          <w:sz w:val="20"/>
          <w:szCs w:val="20"/>
        </w:rPr>
        <w:t xml:space="preserve"> son nokta için katmanlı kazanma oranı, kalp yetmezliği durum katmanları içinde parametrik olmayan genelleştirilmiş bir ikili karşılaştırma kullanılarak hesaplandı.</w:t>
      </w:r>
      <w:r w:rsidR="00CE13AE" w:rsidRPr="00994959">
        <w:rPr>
          <w:sz w:val="20"/>
          <w:szCs w:val="20"/>
        </w:rPr>
        <w:t xml:space="preserve"> </w:t>
      </w:r>
      <w:r w:rsidR="00CE13AE" w:rsidRPr="00994959">
        <w:rPr>
          <w:rFonts w:ascii="Times New Roman" w:hAnsi="Times New Roman" w:cs="Times New Roman"/>
          <w:sz w:val="20"/>
          <w:szCs w:val="20"/>
        </w:rPr>
        <w:t xml:space="preserve">İkincil uç noktalar için tehlike oranı </w:t>
      </w:r>
      <w:proofErr w:type="spellStart"/>
      <w:r w:rsidR="00CE13AE" w:rsidRPr="00994959">
        <w:rPr>
          <w:rFonts w:ascii="Times New Roman" w:hAnsi="Times New Roman" w:cs="Times New Roman"/>
          <w:sz w:val="20"/>
          <w:szCs w:val="20"/>
        </w:rPr>
        <w:t>Cox</w:t>
      </w:r>
      <w:proofErr w:type="spellEnd"/>
      <w:r w:rsidR="00CE13AE" w:rsidRPr="00994959">
        <w:rPr>
          <w:rFonts w:ascii="Times New Roman" w:hAnsi="Times New Roman" w:cs="Times New Roman"/>
          <w:sz w:val="20"/>
          <w:szCs w:val="20"/>
        </w:rPr>
        <w:t xml:space="preserve"> orantılı tehlike modeli kullanılarak hesaplandı, olasılık oranları lojistik regresyon modelleri kullanılarak hesaplandı, düzeltilmiş geometrik ort</w:t>
      </w:r>
      <w:r w:rsidR="007708D4" w:rsidRPr="00994959">
        <w:rPr>
          <w:rFonts w:ascii="Times New Roman" w:hAnsi="Times New Roman" w:cs="Times New Roman"/>
          <w:sz w:val="20"/>
          <w:szCs w:val="20"/>
        </w:rPr>
        <w:t xml:space="preserve">alama oran ANCOVA </w:t>
      </w:r>
      <w:proofErr w:type="gramStart"/>
      <w:r w:rsidR="007708D4" w:rsidRPr="00994959">
        <w:rPr>
          <w:rFonts w:ascii="Times New Roman" w:hAnsi="Times New Roman" w:cs="Times New Roman"/>
          <w:sz w:val="20"/>
          <w:szCs w:val="20"/>
        </w:rPr>
        <w:t>ile</w:t>
      </w:r>
      <w:r w:rsidR="00CE13AE" w:rsidRPr="00994959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CE13AE" w:rsidRPr="00994959">
        <w:rPr>
          <w:sz w:val="20"/>
          <w:szCs w:val="20"/>
        </w:rPr>
        <w:t xml:space="preserve"> </w:t>
      </w:r>
      <w:r w:rsidR="00CE13AE" w:rsidRPr="00994959">
        <w:rPr>
          <w:rFonts w:ascii="Times New Roman" w:hAnsi="Times New Roman" w:cs="Times New Roman"/>
          <w:sz w:val="20"/>
          <w:szCs w:val="20"/>
        </w:rPr>
        <w:t>ve düzeltilmiş ortalama farklar, uygun olduğu şekilde, tekrarlanan ölçümler için ANCOVA veya karma etkiler modelleri ile hesaplanmıştır.</w:t>
      </w:r>
      <w:r w:rsidR="00693CB1" w:rsidRPr="00994959">
        <w:rPr>
          <w:sz w:val="20"/>
          <w:szCs w:val="20"/>
        </w:rPr>
        <w:t xml:space="preserve"> </w:t>
      </w:r>
      <w:proofErr w:type="gramStart"/>
      <w:r w:rsidR="00693CB1" w:rsidRPr="00994959">
        <w:rPr>
          <w:rFonts w:ascii="Times New Roman" w:hAnsi="Times New Roman" w:cs="Times New Roman"/>
          <w:sz w:val="20"/>
          <w:szCs w:val="20"/>
        </w:rPr>
        <w:t>oklu</w:t>
      </w:r>
      <w:proofErr w:type="gramEnd"/>
      <w:r w:rsidR="00693CB1" w:rsidRPr="00994959">
        <w:rPr>
          <w:rFonts w:ascii="Times New Roman" w:hAnsi="Times New Roman" w:cs="Times New Roman"/>
          <w:sz w:val="20"/>
          <w:szCs w:val="20"/>
        </w:rPr>
        <w:t xml:space="preserve"> test için herhangi bir ayarlama yapılmadı. Veriler, uygun olduğunda iki taraflı P değerleri ile nokta tahminleri ve %95 GA olarak verilmiştir.</w:t>
      </w:r>
    </w:p>
    <w:p w:rsidR="00693CB1" w:rsidRPr="00994959" w:rsidRDefault="005C2164" w:rsidP="001F70CD">
      <w:pPr>
        <w:pStyle w:val="ListeParagraf"/>
        <w:pBdr>
          <w:bottom w:val="single" w:sz="4" w:space="1" w:color="auto"/>
        </w:pBdr>
        <w:ind w:left="1080"/>
        <w:rPr>
          <w:rFonts w:ascii="Times New Roman" w:hAnsi="Times New Roman" w:cs="Times New Roman"/>
          <w:sz w:val="20"/>
          <w:szCs w:val="20"/>
        </w:rPr>
      </w:pPr>
      <w:proofErr w:type="gramStart"/>
      <w:r w:rsidRPr="00994959"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 w:rsidRPr="00994959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="00693CB1" w:rsidRPr="00994959">
        <w:rPr>
          <w:rFonts w:ascii="Times New Roman" w:hAnsi="Times New Roman" w:cs="Times New Roman"/>
          <w:sz w:val="20"/>
          <w:szCs w:val="20"/>
        </w:rPr>
        <w:t>simptotik</w:t>
      </w:r>
      <w:proofErr w:type="spellEnd"/>
      <w:r w:rsidR="00693CB1" w:rsidRPr="00994959">
        <w:rPr>
          <w:rFonts w:ascii="Times New Roman" w:hAnsi="Times New Roman" w:cs="Times New Roman"/>
          <w:sz w:val="20"/>
          <w:szCs w:val="20"/>
        </w:rPr>
        <w:t xml:space="preserve"> </w:t>
      </w:r>
      <w:r w:rsidRPr="00994959">
        <w:rPr>
          <w:rFonts w:ascii="Times New Roman" w:hAnsi="Times New Roman" w:cs="Times New Roman"/>
          <w:sz w:val="20"/>
          <w:szCs w:val="20"/>
        </w:rPr>
        <w:t xml:space="preserve">kullanılarak hesaplanan </w:t>
      </w:r>
      <w:proofErr w:type="spellStart"/>
      <w:r w:rsidRPr="00994959">
        <w:rPr>
          <w:rFonts w:ascii="Times New Roman" w:hAnsi="Times New Roman" w:cs="Times New Roman"/>
          <w:sz w:val="20"/>
          <w:szCs w:val="20"/>
        </w:rPr>
        <w:t>varyans</w:t>
      </w:r>
      <w:proofErr w:type="spellEnd"/>
      <w:r w:rsidRPr="00994959">
        <w:rPr>
          <w:rFonts w:ascii="Times New Roman" w:hAnsi="Times New Roman" w:cs="Times New Roman"/>
          <w:sz w:val="20"/>
          <w:szCs w:val="20"/>
        </w:rPr>
        <w:t xml:space="preserve"> </w:t>
      </w:r>
      <w:r w:rsidR="00693CB1" w:rsidRPr="00994959">
        <w:rPr>
          <w:rFonts w:ascii="Times New Roman" w:hAnsi="Times New Roman" w:cs="Times New Roman"/>
          <w:sz w:val="20"/>
          <w:szCs w:val="20"/>
        </w:rPr>
        <w:t>normal U istatis</w:t>
      </w:r>
      <w:r w:rsidRPr="00994959">
        <w:rPr>
          <w:rFonts w:ascii="Times New Roman" w:hAnsi="Times New Roman" w:cs="Times New Roman"/>
          <w:sz w:val="20"/>
          <w:szCs w:val="20"/>
        </w:rPr>
        <w:t xml:space="preserve">tik yaklaşımı; </w:t>
      </w:r>
      <w:r w:rsidRPr="00994959">
        <w:rPr>
          <w:rFonts w:ascii="Times New Roman" w:hAnsi="Times New Roman" w:cs="Times New Roman"/>
          <w:b/>
          <w:sz w:val="20"/>
          <w:szCs w:val="20"/>
        </w:rPr>
        <w:t>b</w:t>
      </w:r>
      <w:r w:rsidRPr="00994959">
        <w:rPr>
          <w:rFonts w:ascii="Times New Roman" w:hAnsi="Times New Roman" w:cs="Times New Roman"/>
          <w:sz w:val="20"/>
          <w:szCs w:val="20"/>
        </w:rPr>
        <w:t xml:space="preserve"> - çiftler, </w:t>
      </w:r>
      <w:proofErr w:type="spellStart"/>
      <w:r w:rsidRPr="00994959">
        <w:rPr>
          <w:rFonts w:ascii="Times New Roman" w:hAnsi="Times New Roman" w:cs="Times New Roman"/>
          <w:sz w:val="20"/>
          <w:szCs w:val="20"/>
        </w:rPr>
        <w:t>Mantel-Haenszel</w:t>
      </w:r>
      <w:proofErr w:type="spellEnd"/>
      <w:r w:rsidRPr="00994959">
        <w:rPr>
          <w:rFonts w:ascii="Times New Roman" w:hAnsi="Times New Roman" w:cs="Times New Roman"/>
          <w:sz w:val="20"/>
          <w:szCs w:val="20"/>
        </w:rPr>
        <w:t xml:space="preserve"> yaklaşımına benzer ağırlıklar uygulanarak, katmanlı bir kazanma oranı için katmanlar içinde analiz edilir.</w:t>
      </w:r>
      <w:r w:rsidRPr="00994959">
        <w:rPr>
          <w:sz w:val="20"/>
          <w:szCs w:val="20"/>
        </w:rPr>
        <w:t xml:space="preserve"> </w:t>
      </w:r>
      <w:proofErr w:type="gramStart"/>
      <w:r w:rsidRPr="00994959">
        <w:rPr>
          <w:rFonts w:ascii="Times New Roman" w:hAnsi="Times New Roman" w:cs="Times New Roman"/>
          <w:b/>
          <w:sz w:val="20"/>
          <w:szCs w:val="20"/>
        </w:rPr>
        <w:t>c</w:t>
      </w:r>
      <w:proofErr w:type="gramEnd"/>
      <w:r w:rsidRPr="00994959">
        <w:rPr>
          <w:rFonts w:ascii="Times New Roman" w:hAnsi="Times New Roman" w:cs="Times New Roman"/>
          <w:sz w:val="20"/>
          <w:szCs w:val="20"/>
        </w:rPr>
        <w:t>- sıklık, iki sansür zamanından öncesine kadar olan olaylara bağlıdır.</w:t>
      </w:r>
      <w:r w:rsidRPr="00994959">
        <w:rPr>
          <w:sz w:val="20"/>
          <w:szCs w:val="20"/>
        </w:rPr>
        <w:t xml:space="preserve"> </w:t>
      </w:r>
      <w:proofErr w:type="gramStart"/>
      <w:r w:rsidRPr="00994959">
        <w:rPr>
          <w:rFonts w:ascii="Times New Roman" w:hAnsi="Times New Roman" w:cs="Times New Roman"/>
          <w:b/>
          <w:sz w:val="20"/>
          <w:szCs w:val="20"/>
        </w:rPr>
        <w:t>d</w:t>
      </w:r>
      <w:proofErr w:type="gramEnd"/>
      <w:r w:rsidRPr="00994959">
        <w:rPr>
          <w:rFonts w:ascii="Times New Roman" w:hAnsi="Times New Roman" w:cs="Times New Roman"/>
          <w:sz w:val="20"/>
          <w:szCs w:val="20"/>
        </w:rPr>
        <w:t>- 100 yinelemeli çoklu değerlendirmeye dayalıdır.</w:t>
      </w:r>
      <w:r w:rsidR="001F70CD" w:rsidRPr="00994959">
        <w:rPr>
          <w:sz w:val="20"/>
          <w:szCs w:val="20"/>
        </w:rPr>
        <w:t xml:space="preserve"> </w:t>
      </w:r>
      <w:proofErr w:type="gramStart"/>
      <w:r w:rsidR="001F70CD" w:rsidRPr="00994959">
        <w:rPr>
          <w:rFonts w:ascii="Times New Roman" w:hAnsi="Times New Roman" w:cs="Times New Roman"/>
          <w:b/>
          <w:sz w:val="20"/>
          <w:szCs w:val="20"/>
        </w:rPr>
        <w:t>e</w:t>
      </w:r>
      <w:proofErr w:type="gramEnd"/>
      <w:r w:rsidR="001F70CD" w:rsidRPr="00994959">
        <w:rPr>
          <w:rFonts w:ascii="Times New Roman" w:hAnsi="Times New Roman" w:cs="Times New Roman"/>
          <w:sz w:val="20"/>
          <w:szCs w:val="20"/>
        </w:rPr>
        <w:t xml:space="preserve">- süre içinde 1 günden fazla </w:t>
      </w:r>
      <w:proofErr w:type="spellStart"/>
      <w:r w:rsidR="001F70CD" w:rsidRPr="00994959">
        <w:rPr>
          <w:rFonts w:ascii="Times New Roman" w:hAnsi="Times New Roman" w:cs="Times New Roman"/>
          <w:sz w:val="20"/>
          <w:szCs w:val="20"/>
        </w:rPr>
        <w:t>diüretik</w:t>
      </w:r>
      <w:proofErr w:type="spellEnd"/>
      <w:r w:rsidR="001F70CD" w:rsidRPr="00994959">
        <w:rPr>
          <w:rFonts w:ascii="Times New Roman" w:hAnsi="Times New Roman" w:cs="Times New Roman"/>
          <w:sz w:val="20"/>
          <w:szCs w:val="20"/>
        </w:rPr>
        <w:t xml:space="preserve"> kullanmayan hastalar hariç; birimler 40 mg/kg </w:t>
      </w:r>
      <w:proofErr w:type="spellStart"/>
      <w:r w:rsidR="001F70CD" w:rsidRPr="00994959">
        <w:rPr>
          <w:rFonts w:ascii="Times New Roman" w:hAnsi="Times New Roman" w:cs="Times New Roman"/>
          <w:sz w:val="20"/>
          <w:szCs w:val="20"/>
        </w:rPr>
        <w:t>i.v</w:t>
      </w:r>
      <w:proofErr w:type="spellEnd"/>
      <w:r w:rsidR="001F70CD" w:rsidRPr="0099495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1F70CD" w:rsidRPr="00994959">
        <w:rPr>
          <w:rFonts w:ascii="Times New Roman" w:hAnsi="Times New Roman" w:cs="Times New Roman"/>
          <w:sz w:val="20"/>
          <w:szCs w:val="20"/>
        </w:rPr>
        <w:t>furosemid</w:t>
      </w:r>
      <w:proofErr w:type="spellEnd"/>
      <w:r w:rsidR="001F70CD" w:rsidRPr="00994959">
        <w:rPr>
          <w:rFonts w:ascii="Times New Roman" w:hAnsi="Times New Roman" w:cs="Times New Roman"/>
          <w:sz w:val="20"/>
          <w:szCs w:val="20"/>
        </w:rPr>
        <w:t xml:space="preserve"> (veya 80 mg oral </w:t>
      </w:r>
      <w:proofErr w:type="spellStart"/>
      <w:r w:rsidR="001F70CD" w:rsidRPr="00994959">
        <w:rPr>
          <w:rFonts w:ascii="Times New Roman" w:hAnsi="Times New Roman" w:cs="Times New Roman"/>
          <w:sz w:val="20"/>
          <w:szCs w:val="20"/>
        </w:rPr>
        <w:t>furosemid</w:t>
      </w:r>
      <w:proofErr w:type="spellEnd"/>
      <w:r w:rsidR="001F70CD" w:rsidRPr="00994959">
        <w:rPr>
          <w:rFonts w:ascii="Times New Roman" w:hAnsi="Times New Roman" w:cs="Times New Roman"/>
          <w:sz w:val="20"/>
          <w:szCs w:val="20"/>
        </w:rPr>
        <w:t>).</w:t>
      </w:r>
      <w:r w:rsidR="001F70CD" w:rsidRPr="00994959">
        <w:rPr>
          <w:sz w:val="20"/>
          <w:szCs w:val="20"/>
        </w:rPr>
        <w:t xml:space="preserve"> </w:t>
      </w:r>
      <w:r w:rsidR="001F70CD" w:rsidRPr="00994959">
        <w:rPr>
          <w:rFonts w:ascii="Times New Roman" w:hAnsi="Times New Roman" w:cs="Times New Roman"/>
          <w:sz w:val="20"/>
          <w:szCs w:val="20"/>
        </w:rPr>
        <w:t xml:space="preserve">Tek doz 40 mg </w:t>
      </w:r>
      <w:proofErr w:type="spellStart"/>
      <w:r w:rsidR="001F70CD" w:rsidRPr="00994959">
        <w:rPr>
          <w:rFonts w:ascii="Times New Roman" w:hAnsi="Times New Roman" w:cs="Times New Roman"/>
          <w:sz w:val="20"/>
          <w:szCs w:val="20"/>
        </w:rPr>
        <w:t>furosemide</w:t>
      </w:r>
      <w:proofErr w:type="spellEnd"/>
      <w:r w:rsidR="001F70CD" w:rsidRPr="00994959">
        <w:rPr>
          <w:rFonts w:ascii="Times New Roman" w:hAnsi="Times New Roman" w:cs="Times New Roman"/>
          <w:sz w:val="20"/>
          <w:szCs w:val="20"/>
        </w:rPr>
        <w:t xml:space="preserve"> eşdeğer </w:t>
      </w:r>
      <w:proofErr w:type="spellStart"/>
      <w:r w:rsidR="001F70CD" w:rsidRPr="00994959">
        <w:rPr>
          <w:rFonts w:ascii="Times New Roman" w:hAnsi="Times New Roman" w:cs="Times New Roman"/>
          <w:sz w:val="20"/>
          <w:szCs w:val="20"/>
        </w:rPr>
        <w:t>loop</w:t>
      </w:r>
      <w:proofErr w:type="spellEnd"/>
      <w:r w:rsidR="001F70CD" w:rsidRPr="009949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F70CD" w:rsidRPr="00994959">
        <w:rPr>
          <w:rFonts w:ascii="Times New Roman" w:hAnsi="Times New Roman" w:cs="Times New Roman"/>
          <w:sz w:val="20"/>
          <w:szCs w:val="20"/>
        </w:rPr>
        <w:t>diüretik</w:t>
      </w:r>
      <w:proofErr w:type="spellEnd"/>
      <w:r w:rsidR="001F70CD" w:rsidRPr="00994959">
        <w:rPr>
          <w:rFonts w:ascii="Times New Roman" w:hAnsi="Times New Roman" w:cs="Times New Roman"/>
          <w:sz w:val="20"/>
          <w:szCs w:val="20"/>
        </w:rPr>
        <w:t xml:space="preserve"> dozu, 20 mg </w:t>
      </w:r>
      <w:proofErr w:type="spellStart"/>
      <w:r w:rsidR="001F70CD" w:rsidRPr="00994959">
        <w:rPr>
          <w:rFonts w:ascii="Times New Roman" w:hAnsi="Times New Roman" w:cs="Times New Roman"/>
          <w:sz w:val="20"/>
          <w:szCs w:val="20"/>
        </w:rPr>
        <w:t>torasemid</w:t>
      </w:r>
      <w:proofErr w:type="spellEnd"/>
      <w:r w:rsidR="001F70CD" w:rsidRPr="00994959">
        <w:rPr>
          <w:rFonts w:ascii="Times New Roman" w:hAnsi="Times New Roman" w:cs="Times New Roman"/>
          <w:sz w:val="20"/>
          <w:szCs w:val="20"/>
        </w:rPr>
        <w:t xml:space="preserve"> veya 1 mg </w:t>
      </w:r>
      <w:proofErr w:type="spellStart"/>
      <w:r w:rsidR="001F70CD" w:rsidRPr="00994959">
        <w:rPr>
          <w:rFonts w:ascii="Times New Roman" w:hAnsi="Times New Roman" w:cs="Times New Roman"/>
          <w:sz w:val="20"/>
          <w:szCs w:val="20"/>
        </w:rPr>
        <w:t>bumetanid</w:t>
      </w:r>
      <w:proofErr w:type="spellEnd"/>
      <w:r w:rsidR="001F70CD" w:rsidRPr="00994959">
        <w:rPr>
          <w:rFonts w:ascii="Times New Roman" w:hAnsi="Times New Roman" w:cs="Times New Roman"/>
          <w:sz w:val="20"/>
          <w:szCs w:val="20"/>
        </w:rPr>
        <w:t xml:space="preserve"> olarak tanımlanır.</w:t>
      </w:r>
    </w:p>
    <w:sectPr w:rsidR="00693CB1" w:rsidRPr="00994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97A0A"/>
    <w:multiLevelType w:val="hybridMultilevel"/>
    <w:tmpl w:val="1F80FBC2"/>
    <w:lvl w:ilvl="0" w:tplc="92A65116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A636B84"/>
    <w:multiLevelType w:val="hybridMultilevel"/>
    <w:tmpl w:val="FECEAA84"/>
    <w:lvl w:ilvl="0" w:tplc="11A0903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42662E"/>
    <w:multiLevelType w:val="hybridMultilevel"/>
    <w:tmpl w:val="3B9892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E0489A"/>
    <w:multiLevelType w:val="hybridMultilevel"/>
    <w:tmpl w:val="DB1A07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301"/>
    <w:rsid w:val="000F6301"/>
    <w:rsid w:val="00131290"/>
    <w:rsid w:val="001F70CD"/>
    <w:rsid w:val="00260E1C"/>
    <w:rsid w:val="0026291A"/>
    <w:rsid w:val="00465E40"/>
    <w:rsid w:val="004C23A9"/>
    <w:rsid w:val="004C370F"/>
    <w:rsid w:val="00517825"/>
    <w:rsid w:val="005A65D4"/>
    <w:rsid w:val="005C2164"/>
    <w:rsid w:val="00632F60"/>
    <w:rsid w:val="00693CB1"/>
    <w:rsid w:val="006A1ABF"/>
    <w:rsid w:val="006A58F2"/>
    <w:rsid w:val="007708D4"/>
    <w:rsid w:val="00787DB2"/>
    <w:rsid w:val="007D6C9E"/>
    <w:rsid w:val="00865F46"/>
    <w:rsid w:val="008925BB"/>
    <w:rsid w:val="00911309"/>
    <w:rsid w:val="00994959"/>
    <w:rsid w:val="009D5C3D"/>
    <w:rsid w:val="00A4450B"/>
    <w:rsid w:val="00A73453"/>
    <w:rsid w:val="00A7765E"/>
    <w:rsid w:val="00AB294F"/>
    <w:rsid w:val="00B47F74"/>
    <w:rsid w:val="00CC1594"/>
    <w:rsid w:val="00CD3D20"/>
    <w:rsid w:val="00CE13AE"/>
    <w:rsid w:val="00D03830"/>
    <w:rsid w:val="00D217E2"/>
    <w:rsid w:val="00D86D53"/>
    <w:rsid w:val="00D97E7D"/>
    <w:rsid w:val="00E1595C"/>
    <w:rsid w:val="00E4747D"/>
    <w:rsid w:val="00E77965"/>
    <w:rsid w:val="00F0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E693E-D854-4782-A289-A7B61E27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4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8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dr.rasim enar</dc:creator>
  <cp:keywords/>
  <dc:description/>
  <cp:lastModifiedBy>dr.rasim enar</cp:lastModifiedBy>
  <cp:revision>27</cp:revision>
  <dcterms:created xsi:type="dcterms:W3CDTF">2022-11-29T17:51:00Z</dcterms:created>
  <dcterms:modified xsi:type="dcterms:W3CDTF">2022-12-01T10:31:00Z</dcterms:modified>
</cp:coreProperties>
</file>