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0528" w14:textId="364E5117" w:rsidR="00447BF1" w:rsidRPr="00447BF1" w:rsidRDefault="00447BF1" w:rsidP="00447BF1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</w:pPr>
      <w:r w:rsidRPr="00447BF1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Güncellenmiş Kalp Yet</w:t>
      </w:r>
      <w:r w:rsidR="00B76E23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ersi</w:t>
      </w:r>
      <w:r w:rsidRPr="00447BF1">
        <w:rPr>
          <w:rFonts w:ascii="Times New Roman" w:eastAsia="Times New Roman" w:hAnsi="Times New Roman" w:cs="Times New Roman"/>
          <w:b/>
          <w:sz w:val="48"/>
          <w:szCs w:val="48"/>
          <w:lang w:eastAsia="tr-TR"/>
        </w:rPr>
        <w:t>zliği Kılavuzları: Yenileme Zamanı</w:t>
      </w:r>
    </w:p>
    <w:p w14:paraId="751F0784" w14:textId="77777777" w:rsidR="00447BF1" w:rsidRDefault="00447BF1">
      <w:pPr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</w:pPr>
    </w:p>
    <w:p w14:paraId="27F1E957" w14:textId="67E7CD53" w:rsidR="00447BF1" w:rsidRDefault="00447BF1" w:rsidP="00447BF1">
      <w:pPr>
        <w:spacing w:after="0" w:line="240" w:lineRule="auto"/>
      </w:pPr>
      <w:r w:rsidRPr="00447B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Giriş</w:t>
      </w:r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511FE8">
        <w:rPr>
          <w:rFonts w:ascii="Arial" w:eastAsia="Times New Roman" w:hAnsi="Arial" w:cs="Arial"/>
          <w:sz w:val="20"/>
          <w:szCs w:val="20"/>
          <w:lang w:eastAsia="tr-TR"/>
        </w:rPr>
        <w:t>(</w:t>
      </w:r>
      <w:r w:rsidR="00511FE8" w:rsidRPr="00511FE8">
        <w:rPr>
          <w:rFonts w:ascii="Arial" w:eastAsia="Times New Roman" w:hAnsi="Arial" w:cs="Arial"/>
          <w:i/>
          <w:iCs/>
          <w:sz w:val="20"/>
          <w:szCs w:val="20"/>
          <w:u w:val="single"/>
          <w:lang w:eastAsia="tr-TR"/>
        </w:rPr>
        <w:t>Mayıs 2022</w:t>
      </w:r>
      <w:r w:rsidR="00511FE8">
        <w:rPr>
          <w:rFonts w:ascii="Arial" w:eastAsia="Times New Roman" w:hAnsi="Arial" w:cs="Arial"/>
          <w:sz w:val="20"/>
          <w:szCs w:val="20"/>
          <w:lang w:eastAsia="tr-TR"/>
        </w:rPr>
        <w:t>)-</w:t>
      </w:r>
      <w:r w:rsidRPr="00447BF1">
        <w:rPr>
          <w:rFonts w:ascii="Arial" w:eastAsia="Times New Roman" w:hAnsi="Arial" w:cs="Arial"/>
          <w:sz w:val="20"/>
          <w:szCs w:val="20"/>
          <w:lang w:eastAsia="tr-TR"/>
        </w:rPr>
        <w:t>Klinik uygulama kılavuzları (</w:t>
      </w:r>
      <w:proofErr w:type="spellStart"/>
      <w:r w:rsidRPr="00447BF1">
        <w:rPr>
          <w:rFonts w:ascii="Arial" w:eastAsia="Times New Roman" w:hAnsi="Arial" w:cs="Arial"/>
          <w:sz w:val="20"/>
          <w:szCs w:val="20"/>
          <w:lang w:eastAsia="tr-TR"/>
        </w:rPr>
        <w:t>CPGs</w:t>
      </w:r>
      <w:proofErr w:type="spellEnd"/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 [</w:t>
      </w:r>
      <w:proofErr w:type="spellStart"/>
      <w:r w:rsidRPr="00447BF1">
        <w:rPr>
          <w:rFonts w:ascii="Arial" w:eastAsia="Times New Roman" w:hAnsi="Arial" w:cs="Arial"/>
          <w:sz w:val="20"/>
          <w:szCs w:val="20"/>
          <w:lang w:eastAsia="tr-TR"/>
        </w:rPr>
        <w:t>clinical</w:t>
      </w:r>
      <w:proofErr w:type="spellEnd"/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47BF1">
        <w:rPr>
          <w:rFonts w:ascii="Arial" w:eastAsia="Times New Roman" w:hAnsi="Arial" w:cs="Arial"/>
          <w:sz w:val="20"/>
          <w:szCs w:val="20"/>
          <w:lang w:eastAsia="tr-TR"/>
        </w:rPr>
        <w:t>practice</w:t>
      </w:r>
      <w:proofErr w:type="spellEnd"/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447BF1">
        <w:rPr>
          <w:rFonts w:ascii="Arial" w:eastAsia="Times New Roman" w:hAnsi="Arial" w:cs="Arial"/>
          <w:sz w:val="20"/>
          <w:szCs w:val="20"/>
          <w:lang w:eastAsia="tr-TR"/>
        </w:rPr>
        <w:t>guidelines</w:t>
      </w:r>
      <w:proofErr w:type="spellEnd"/>
      <w:r w:rsidRPr="00447BF1">
        <w:rPr>
          <w:rFonts w:ascii="Arial" w:eastAsia="Times New Roman" w:hAnsi="Arial" w:cs="Arial"/>
          <w:sz w:val="20"/>
          <w:szCs w:val="20"/>
          <w:lang w:eastAsia="tr-TR"/>
        </w:rPr>
        <w:t>]), hastalığın nasıl teşhis ve tedavi edileceğine dair en iyi kanıta dayalı rehberliği sağlayarak tıbbi uygulamanın önemli bir parçası haline gelmiştir.</w:t>
      </w:r>
      <w:r w:rsidRPr="00447BF1"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  <w:t xml:space="preserve"> </w:t>
      </w:r>
      <w:r w:rsidRPr="00447BF1">
        <w:rPr>
          <w:rFonts w:ascii="Arial" w:eastAsia="Times New Roman" w:hAnsi="Arial" w:cs="Arial"/>
          <w:sz w:val="20"/>
          <w:szCs w:val="20"/>
          <w:lang w:eastAsia="tr-TR"/>
        </w:rPr>
        <w:t>Bunlar yalnızca doğrudan hasta bakımını etkilemekle kalmaz, aynı zamanda sağlık tesisleri için operasyonel süreçlere, kapsama kararlarına ve bakım kalitesini yargılamak için ölçümlere dönüştürülür.</w:t>
      </w:r>
      <w:r w:rsidRPr="00447BF1">
        <w:t xml:space="preserve"> </w:t>
      </w:r>
    </w:p>
    <w:p w14:paraId="0F832B97" w14:textId="63A5A9AD" w:rsidR="00447BF1" w:rsidRPr="00447BF1" w:rsidRDefault="00447BF1" w:rsidP="00447B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Buna göre, </w:t>
      </w:r>
      <w:proofErr w:type="spellStart"/>
      <w:r w:rsidRPr="00447BF1">
        <w:rPr>
          <w:rFonts w:ascii="Arial" w:eastAsia="Times New Roman" w:hAnsi="Arial" w:cs="Arial"/>
          <w:sz w:val="20"/>
          <w:szCs w:val="20"/>
          <w:lang w:eastAsia="tr-TR"/>
        </w:rPr>
        <w:t>CPG'ler</w:t>
      </w:r>
      <w:proofErr w:type="spellEnd"/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 her şeyi kapsayıcı ancak pratik olmalı, bilimsel olarak bilgili ancak günlük uygulamaya uygulanabilir, kanıta dayalı ancak kanıtın eksik olduğu durumlarda zamanında</w:t>
      </w:r>
      <w:r w:rsidR="00E60C29"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 erken olmama</w:t>
      </w:r>
      <w:r>
        <w:rPr>
          <w:rFonts w:ascii="Arial" w:eastAsia="Times New Roman" w:hAnsi="Arial" w:cs="Arial"/>
          <w:sz w:val="20"/>
          <w:szCs w:val="20"/>
          <w:lang w:eastAsia="tr-TR"/>
        </w:rPr>
        <w:t>kla</w:t>
      </w:r>
      <w:r w:rsidRPr="00447BF1">
        <w:rPr>
          <w:rFonts w:ascii="Arial" w:eastAsia="Times New Roman" w:hAnsi="Arial" w:cs="Arial"/>
          <w:sz w:val="20"/>
          <w:szCs w:val="20"/>
          <w:lang w:eastAsia="tr-TR"/>
        </w:rPr>
        <w:t xml:space="preserve"> rehberlik sağlamalı</w:t>
      </w:r>
      <w:r>
        <w:rPr>
          <w:rFonts w:ascii="Arial" w:eastAsia="Times New Roman" w:hAnsi="Arial" w:cs="Arial"/>
          <w:sz w:val="20"/>
          <w:szCs w:val="20"/>
          <w:lang w:eastAsia="tr-TR"/>
        </w:rPr>
        <w:t>dır</w:t>
      </w:r>
      <w:r w:rsidRPr="00447BF1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14:paraId="0F9F24CE" w14:textId="7195EEA6" w:rsidR="00447BF1" w:rsidRDefault="00447BF1"/>
    <w:p w14:paraId="309375D8" w14:textId="2DDBB50D" w:rsidR="000B6B24" w:rsidRDefault="00FA5D49" w:rsidP="000B6B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FA5D49">
        <w:rPr>
          <w:rFonts w:ascii="Arial" w:eastAsia="Times New Roman" w:hAnsi="Arial" w:cs="Arial"/>
          <w:sz w:val="20"/>
          <w:szCs w:val="20"/>
          <w:lang w:eastAsia="tr-TR"/>
        </w:rPr>
        <w:t xml:space="preserve">Aynı verilere dayalı olarak aynı hastalık durumu için uyumsuz öneriler, kafa karışıklığına ve/veya eylemsizliğe neden olabilir. KY için yayınlanan son </w:t>
      </w:r>
      <w:proofErr w:type="spellStart"/>
      <w:r w:rsidRPr="00FA5D49">
        <w:rPr>
          <w:rFonts w:ascii="Arial" w:eastAsia="Times New Roman" w:hAnsi="Arial" w:cs="Arial"/>
          <w:sz w:val="20"/>
          <w:szCs w:val="20"/>
          <w:lang w:eastAsia="tr-TR"/>
        </w:rPr>
        <w:t>CPG'den</w:t>
      </w:r>
      <w:proofErr w:type="spellEnd"/>
      <w:r w:rsidRPr="00FA5D49">
        <w:rPr>
          <w:rFonts w:ascii="Arial" w:eastAsia="Times New Roman" w:hAnsi="Arial" w:cs="Arial"/>
          <w:sz w:val="20"/>
          <w:szCs w:val="20"/>
          <w:lang w:eastAsia="tr-TR"/>
        </w:rPr>
        <w:t xml:space="preserve"> bu yana, alan birçok yeni kanıtla hızla ilerlemiştir.</w:t>
      </w:r>
      <w:r w:rsidRPr="00FA5D49">
        <w:t xml:space="preserve"> </w:t>
      </w:r>
      <w:r w:rsidRPr="00FA5D49">
        <w:rPr>
          <w:rFonts w:ascii="Arial" w:eastAsia="Times New Roman" w:hAnsi="Arial" w:cs="Arial"/>
          <w:sz w:val="20"/>
          <w:szCs w:val="20"/>
          <w:lang w:eastAsia="tr-TR"/>
        </w:rPr>
        <w:t xml:space="preserve">Bu nedenle, yeni ACCF/AHA/HFSA ve ESC kılavuzlarının yazarları, </w:t>
      </w:r>
      <w:proofErr w:type="spellStart"/>
      <w:r w:rsidRPr="00FA5D49">
        <w:rPr>
          <w:rFonts w:ascii="Arial" w:eastAsia="Times New Roman" w:hAnsi="Arial" w:cs="Arial"/>
          <w:sz w:val="20"/>
          <w:szCs w:val="20"/>
          <w:lang w:eastAsia="tr-TR"/>
        </w:rPr>
        <w:t>KY'nin</w:t>
      </w:r>
      <w:proofErr w:type="spellEnd"/>
      <w:r w:rsidRPr="00FA5D49">
        <w:rPr>
          <w:rFonts w:ascii="Arial" w:eastAsia="Times New Roman" w:hAnsi="Arial" w:cs="Arial"/>
          <w:sz w:val="20"/>
          <w:szCs w:val="20"/>
          <w:lang w:eastAsia="tr-TR"/>
        </w:rPr>
        <w:t xml:space="preserve"> kendisini</w:t>
      </w:r>
      <w:r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Pr="00FA5D49">
        <w:rPr>
          <w:rFonts w:ascii="Arial" w:eastAsia="Times New Roman" w:hAnsi="Arial" w:cs="Arial"/>
          <w:sz w:val="20"/>
          <w:szCs w:val="20"/>
          <w:lang w:eastAsia="tr-TR"/>
        </w:rPr>
        <w:t xml:space="preserve"> nasıl tanımla</w:t>
      </w:r>
      <w:r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Pr="00FA5D49">
        <w:rPr>
          <w:rFonts w:ascii="Arial" w:eastAsia="Times New Roman" w:hAnsi="Arial" w:cs="Arial"/>
          <w:sz w:val="20"/>
          <w:szCs w:val="20"/>
          <w:lang w:eastAsia="tr-TR"/>
        </w:rPr>
        <w:t>dığı</w:t>
      </w:r>
      <w:r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Pr="00FA5D49">
        <w:rPr>
          <w:rFonts w:ascii="Arial" w:eastAsia="Times New Roman" w:hAnsi="Arial" w:cs="Arial"/>
          <w:sz w:val="20"/>
          <w:szCs w:val="20"/>
          <w:lang w:eastAsia="tr-TR"/>
        </w:rPr>
        <w:t>dan şu anda mevcut olan çok sayıda yeni farmakolojik ve farmakolojik</w:t>
      </w:r>
      <w:r w:rsidR="008B1894">
        <w:rPr>
          <w:rFonts w:ascii="Arial" w:eastAsia="Times New Roman" w:hAnsi="Arial" w:cs="Arial"/>
          <w:sz w:val="20"/>
          <w:szCs w:val="20"/>
          <w:lang w:eastAsia="tr-TR"/>
        </w:rPr>
        <w:t>-</w:t>
      </w:r>
      <w:r w:rsidRPr="00FA5D49">
        <w:rPr>
          <w:rFonts w:ascii="Arial" w:eastAsia="Times New Roman" w:hAnsi="Arial" w:cs="Arial"/>
          <w:sz w:val="20"/>
          <w:szCs w:val="20"/>
          <w:lang w:eastAsia="tr-TR"/>
        </w:rPr>
        <w:t xml:space="preserve"> olmayan uygulamalara  kadar her şeyi ele almak gibi </w:t>
      </w:r>
      <w:r>
        <w:rPr>
          <w:rFonts w:ascii="Arial" w:eastAsia="Times New Roman" w:hAnsi="Arial" w:cs="Arial"/>
          <w:sz w:val="20"/>
          <w:szCs w:val="20"/>
          <w:lang w:eastAsia="tr-TR"/>
        </w:rPr>
        <w:t>büyük ve önemli</w:t>
      </w:r>
      <w:r w:rsidRPr="00FA5D49">
        <w:rPr>
          <w:rFonts w:ascii="Arial" w:eastAsia="Times New Roman" w:hAnsi="Arial" w:cs="Arial"/>
          <w:sz w:val="20"/>
          <w:szCs w:val="20"/>
          <w:lang w:eastAsia="tr-TR"/>
        </w:rPr>
        <w:t xml:space="preserve"> bir görev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üstlendi</w:t>
      </w:r>
      <w:r w:rsidRPr="004C0D6D">
        <w:rPr>
          <w:rFonts w:ascii="Arial" w:eastAsia="Times New Roman" w:hAnsi="Arial" w:cs="Arial"/>
          <w:b/>
          <w:color w:val="C00000"/>
          <w:sz w:val="20"/>
          <w:szCs w:val="20"/>
          <w:vertAlign w:val="superscript"/>
          <w:lang w:eastAsia="tr-TR"/>
        </w:rPr>
        <w:t>1,2</w:t>
      </w:r>
      <w:r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  <w:t>.</w:t>
      </w:r>
      <w:r w:rsidRPr="009C05B9">
        <w:t xml:space="preserve"> </w:t>
      </w:r>
      <w:r w:rsidRPr="008B1894">
        <w:rPr>
          <w:rFonts w:ascii="Arial" w:eastAsia="Times New Roman" w:hAnsi="Arial" w:cs="Arial"/>
          <w:sz w:val="20"/>
          <w:szCs w:val="20"/>
          <w:lang w:eastAsia="tr-TR"/>
        </w:rPr>
        <w:t xml:space="preserve">Birkaç istisna dışında, KY dünya çapında benzer bir klinik </w:t>
      </w:r>
      <w:proofErr w:type="spellStart"/>
      <w:r w:rsidRPr="008B1894">
        <w:rPr>
          <w:rFonts w:ascii="Arial" w:eastAsia="Times New Roman" w:hAnsi="Arial" w:cs="Arial"/>
          <w:sz w:val="20"/>
          <w:szCs w:val="20"/>
          <w:lang w:eastAsia="tr-TR"/>
        </w:rPr>
        <w:t>prezentasyona</w:t>
      </w:r>
      <w:proofErr w:type="spellEnd"/>
      <w:r w:rsidRPr="008B1894">
        <w:rPr>
          <w:rFonts w:ascii="Arial" w:eastAsia="Times New Roman" w:hAnsi="Arial" w:cs="Arial"/>
          <w:sz w:val="20"/>
          <w:szCs w:val="20"/>
          <w:lang w:eastAsia="tr-TR"/>
        </w:rPr>
        <w:t xml:space="preserve"> sahiptir.</w:t>
      </w:r>
      <w:r w:rsidRPr="008B1894">
        <w:t xml:space="preserve"> </w:t>
      </w:r>
      <w:r w:rsidRPr="008B1894">
        <w:rPr>
          <w:rFonts w:ascii="Arial" w:eastAsia="Times New Roman" w:hAnsi="Arial" w:cs="Arial"/>
          <w:sz w:val="20"/>
          <w:szCs w:val="20"/>
          <w:lang w:eastAsia="tr-TR"/>
        </w:rPr>
        <w:t xml:space="preserve">Aslında, </w:t>
      </w:r>
      <w:proofErr w:type="spellStart"/>
      <w:r w:rsidRPr="008B1894">
        <w:rPr>
          <w:rFonts w:ascii="Arial" w:eastAsia="Times New Roman" w:hAnsi="Arial" w:cs="Arial"/>
          <w:sz w:val="20"/>
          <w:szCs w:val="20"/>
          <w:lang w:eastAsia="tr-TR"/>
        </w:rPr>
        <w:t>KY'nin</w:t>
      </w:r>
      <w:proofErr w:type="spellEnd"/>
      <w:r w:rsidRPr="008B1894">
        <w:rPr>
          <w:rFonts w:ascii="Arial" w:eastAsia="Times New Roman" w:hAnsi="Arial" w:cs="Arial"/>
          <w:sz w:val="20"/>
          <w:szCs w:val="20"/>
          <w:lang w:eastAsia="tr-TR"/>
        </w:rPr>
        <w:t xml:space="preserve"> yeni evrensel KY tanımı ve tanıyı doğrulamaya yönelik yaklaşımlar, küresel olarak birçok profesyonel </w:t>
      </w:r>
      <w:r w:rsidR="008B1894">
        <w:rPr>
          <w:rFonts w:ascii="Arial" w:eastAsia="Times New Roman" w:hAnsi="Arial" w:cs="Arial"/>
          <w:sz w:val="20"/>
          <w:szCs w:val="20"/>
          <w:lang w:eastAsia="tr-TR"/>
        </w:rPr>
        <w:t xml:space="preserve">dernekler </w:t>
      </w:r>
      <w:r w:rsidRPr="008B1894">
        <w:rPr>
          <w:rFonts w:ascii="Arial" w:eastAsia="Times New Roman" w:hAnsi="Arial" w:cs="Arial"/>
          <w:sz w:val="20"/>
          <w:szCs w:val="20"/>
          <w:lang w:eastAsia="tr-TR"/>
        </w:rPr>
        <w:t xml:space="preserve"> tarafından kabul edilmiştir</w:t>
      </w:r>
      <w:r w:rsidRPr="009C05B9">
        <w:rPr>
          <w:rFonts w:ascii="Arial" w:eastAsia="Times New Roman" w:hAnsi="Arial" w:cs="Arial"/>
          <w:b/>
          <w:color w:val="C00000"/>
          <w:sz w:val="20"/>
          <w:szCs w:val="20"/>
          <w:vertAlign w:val="superscript"/>
          <w:lang w:eastAsia="tr-TR"/>
        </w:rPr>
        <w:t>3</w:t>
      </w:r>
      <w:r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  <w:t>.</w:t>
      </w:r>
      <w:r w:rsidR="000B6B24" w:rsidRPr="000B6B24"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  <w:t xml:space="preserve"> </w:t>
      </w:r>
      <w:r w:rsidR="000B6B24" w:rsidRPr="000B6B24">
        <w:rPr>
          <w:rFonts w:ascii="Arial" w:eastAsia="Times New Roman" w:hAnsi="Arial" w:cs="Arial"/>
          <w:sz w:val="20"/>
          <w:szCs w:val="20"/>
          <w:lang w:eastAsia="tr-TR"/>
        </w:rPr>
        <w:t>Buna rağmen, tedaviye yaklaşımın tamamen evrensel olmadığı görülmektedir.</w:t>
      </w:r>
    </w:p>
    <w:p w14:paraId="60BD8757" w14:textId="61FE09B7" w:rsidR="00B35346" w:rsidRDefault="00B35346" w:rsidP="000B6B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4243733F" w14:textId="77777777" w:rsidR="00ED0C28" w:rsidRDefault="00B35346" w:rsidP="000B6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Aşağıda </w:t>
      </w:r>
      <w:r w:rsidRPr="00B353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Kalp yet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ersizliği</w:t>
      </w:r>
      <w:r w:rsidRPr="00B353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 hastalar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ında</w:t>
      </w:r>
      <w:r w:rsidRPr="00B353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  standart tedaviye yaklaşımdaki belirli farklılıklar sunulmaktadır. </w:t>
      </w:r>
    </w:p>
    <w:p w14:paraId="69C7AE02" w14:textId="14314C29" w:rsidR="00B35346" w:rsidRPr="00ED0C28" w:rsidRDefault="00B35346" w:rsidP="000B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0C28">
        <w:rPr>
          <w:rFonts w:ascii="Times New Roman" w:eastAsia="Times New Roman" w:hAnsi="Times New Roman" w:cs="Times New Roman"/>
          <w:sz w:val="24"/>
          <w:szCs w:val="24"/>
          <w:lang w:eastAsia="tr-TR"/>
        </w:rPr>
        <w:t>Parantez içindeki sayılar öneri düzeyini gösterir.</w:t>
      </w:r>
    </w:p>
    <w:p w14:paraId="486E83EE" w14:textId="52C8136F" w:rsidR="00B35346" w:rsidRDefault="00B35346" w:rsidP="000B6B2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1168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855"/>
        <w:gridCol w:w="3452"/>
        <w:gridCol w:w="3965"/>
      </w:tblGrid>
      <w:tr w:rsidR="00B35346" w:rsidRPr="00BD5AB9" w14:paraId="5E0E561D" w14:textId="77777777" w:rsidTr="00D34FFD">
        <w:tc>
          <w:tcPr>
            <w:tcW w:w="11687" w:type="dxa"/>
            <w:gridSpan w:val="4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63DD1" w14:textId="05971498" w:rsidR="00B35346" w:rsidRPr="00BD5AB9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95613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  <w:t>Tablo.</w:t>
            </w:r>
            <w:r w:rsidRPr="00956131"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  <w:t xml:space="preserve">  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2021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ESC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KY kılavuzundaki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eçilmiş 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rilerin ve 2022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ACC/AHA/HFSA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KY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Yönetimine 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lişkin Klinik Uygulama Kılavuzları</w:t>
            </w:r>
            <w:r w:rsidR="00EE0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ile </w:t>
            </w:r>
            <w:r w:rsidRPr="0095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Karşılaştırılması</w:t>
            </w:r>
          </w:p>
        </w:tc>
      </w:tr>
      <w:tr w:rsidR="00B35346" w:rsidRPr="00C15FF8" w14:paraId="6F4912C5" w14:textId="77777777" w:rsidTr="00511FE8">
        <w:tc>
          <w:tcPr>
            <w:tcW w:w="1415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0A728C" w14:textId="77777777" w:rsidR="00B35346" w:rsidRPr="00C15FF8" w:rsidRDefault="00B35346" w:rsidP="00D34FF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</w:pPr>
            <w:r w:rsidRPr="00C15F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2855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D940CD" w14:textId="77777777" w:rsidR="00B35346" w:rsidRPr="00C15FF8" w:rsidRDefault="00B35346" w:rsidP="00D34FF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</w:pPr>
            <w:r w:rsidRPr="00C15F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  <w:t>ESC tavsiye</w:t>
            </w:r>
          </w:p>
        </w:tc>
        <w:tc>
          <w:tcPr>
            <w:tcW w:w="3385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97A714" w14:textId="77777777" w:rsidR="00B35346" w:rsidRPr="00C15FF8" w:rsidRDefault="00B35346" w:rsidP="00D34FF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</w:pPr>
            <w:r w:rsidRPr="00C15F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  <w:t>ACCF/AHA/HFSA tavsiye</w:t>
            </w:r>
          </w:p>
        </w:tc>
        <w:tc>
          <w:tcPr>
            <w:tcW w:w="4032" w:type="dxa"/>
            <w:shd w:val="clear" w:color="auto" w:fill="D9E2F3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F1835A" w14:textId="77777777" w:rsidR="00B35346" w:rsidRPr="00C15FF8" w:rsidRDefault="00B35346" w:rsidP="00D34FF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</w:pPr>
            <w:r w:rsidRPr="00C15F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  <w:t xml:space="preserve">Uyumsuz </w:t>
            </w:r>
            <w:r w:rsidRPr="0068409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  <w:t>(</w:t>
            </w:r>
            <w:r w:rsidRPr="0068409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Diskordan)</w:t>
            </w:r>
            <w:r w:rsidRPr="00C15FF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tr-TR"/>
              </w:rPr>
              <w:t xml:space="preserve"> tavsiye</w:t>
            </w:r>
          </w:p>
        </w:tc>
      </w:tr>
      <w:tr w:rsidR="00B35346" w:rsidRPr="0098781E" w14:paraId="0A5FC62E" w14:textId="77777777" w:rsidTr="00D34FFD">
        <w:tc>
          <w:tcPr>
            <w:tcW w:w="11687" w:type="dxa"/>
            <w:gridSpan w:val="4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122A" w14:textId="77777777" w:rsidR="00B35346" w:rsidRPr="0098781E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98781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KYdEF</w:t>
            </w:r>
            <w:proofErr w:type="spellEnd"/>
          </w:p>
        </w:tc>
      </w:tr>
      <w:tr w:rsidR="00B35346" w:rsidRPr="00BD5AB9" w14:paraId="6663A142" w14:textId="77777777" w:rsidTr="00511FE8">
        <w:tc>
          <w:tcPr>
            <w:tcW w:w="1415" w:type="dxa"/>
            <w:shd w:val="clear" w:color="auto" w:fill="FFF2C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7BED" w14:textId="77777777" w:rsidR="00B35346" w:rsidRPr="00A8479C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A8479C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   Standard </w:t>
            </w:r>
          </w:p>
          <w:p w14:paraId="6C98E2D3" w14:textId="77777777" w:rsidR="00B35346" w:rsidRPr="00BD5AB9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A8479C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KYTT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2AD8A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•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/ARNI/SGLT2i/BB/MRA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I)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proofErr w:type="spellStart"/>
            <w:r w:rsidRPr="009561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9561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/BB/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561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MRA'da</w:t>
            </w:r>
            <w:proofErr w:type="spellEnd"/>
            <w:r w:rsidRPr="009561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semptomatik kalan hastalarda </w:t>
            </w:r>
            <w:proofErr w:type="spellStart"/>
            <w:r w:rsidRPr="009561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95613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yerine ARNI (sınıf I)</w:t>
            </w:r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86EC2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• ARNI/SGLT2i/BB/MRA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I)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ARNI kullanımı mümkün olmadığında </w:t>
            </w:r>
            <w:proofErr w:type="spellStart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/ARB kullanımı faydalıdır (sınıf I)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İlaçların </w:t>
            </w:r>
            <w:proofErr w:type="spellStart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RKÇ'de</w:t>
            </w:r>
            <w:proofErr w:type="spellEnd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kullanılan dozlara titrasyonu (sınıf I) her 1-2 haftada bir sıklıkta (sınıf </w:t>
            </w:r>
            <w:proofErr w:type="spellStart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IIa</w:t>
            </w:r>
            <w:proofErr w:type="spellEnd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32" w:type="dxa"/>
            <w:shd w:val="clear" w:color="auto" w:fill="E2EF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DEA56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ARNI,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novo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KY</w:t>
            </w:r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ile hastaneye yatırılanlar da dahil olmak üzere ACCF/AHA/HFSA </w:t>
            </w:r>
            <w:proofErr w:type="spellStart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98781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tercih edilen renin-anjiyotensin modülatörü</w:t>
            </w:r>
          </w:p>
        </w:tc>
      </w:tr>
      <w:tr w:rsidR="00B35346" w:rsidRPr="00BD5AB9" w14:paraId="593634B7" w14:textId="77777777" w:rsidTr="00511FE8">
        <w:tc>
          <w:tcPr>
            <w:tcW w:w="1415" w:type="dxa"/>
            <w:shd w:val="clear" w:color="auto" w:fill="FFF2C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E4DC6" w14:textId="77777777" w:rsidR="00B35346" w:rsidRPr="00A8479C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 </w:t>
            </w:r>
            <w:r w:rsidRPr="00A8479C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Diğer tedaviler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74E0" w14:textId="77777777" w:rsidR="00B35346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proofErr w:type="spellStart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/ARNI/BB/</w:t>
            </w:r>
            <w:proofErr w:type="spellStart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MRA'ya</w:t>
            </w:r>
            <w:proofErr w:type="spellEnd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rağmen KY kötüleşen hastalarda </w:t>
            </w:r>
            <w:proofErr w:type="spellStart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vericiguat</w:t>
            </w:r>
            <w:proofErr w:type="spellEnd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(sınıf </w:t>
            </w:r>
            <w:proofErr w:type="spellStart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A8479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  <w:p w14:paraId="1D12AE50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• H-ISDN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IIa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İskemik (sınıf I) ve iskemik olmayan (sınıf 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IIa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) KY patogenezi olan LVEF ≤%35 olan hastalar için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ani kalp ölümünden (AKÖ) primer </w:t>
            </w:r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korunma için  ICD</w:t>
            </w:r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ECFB" w14:textId="77777777" w:rsidR="00B35346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/ARNI/BB/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MRA'ya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rağmen KY kötüleşen hastalarda 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vericiguat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(sınıf 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  <w:p w14:paraId="0E5142B0" w14:textId="77777777" w:rsidR="00B35346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H-ISDN, standart 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KYTT</w:t>
            </w:r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'ye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rağmen NYHA III/IV semptomları olan siyahi hastalarda (sınıf I) veya birinci basamak ajanları tolere edemeyen hastalarda (sınıf 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  <w:p w14:paraId="5E7803D2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İskemik ve iskemik olmayan (sınıf I) KY patogenezi olan LVEF ≤%35 olan hastalar için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AKÖ’den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primer korunma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lastRenderedPageBreak/>
              <w:t>için  ICD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>• PUFA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Potassium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binders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32" w:type="dxa"/>
            <w:shd w:val="clear" w:color="auto" w:fill="E2EFD9" w:themeFill="accent6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77DBC" w14:textId="77777777" w:rsidR="00B35346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lastRenderedPageBreak/>
              <w:t xml:space="preserve">• </w:t>
            </w:r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Sonuçların diğer ırk-etnik gruplardaki hastalara tercüme edilmesi zor olduğundan, ESC </w:t>
            </w:r>
            <w:proofErr w:type="spellStart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AF5B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H-ISDN için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tavsiye düzeyi daha düşük </w:t>
            </w:r>
          </w:p>
          <w:p w14:paraId="14DF6519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ESC </w:t>
            </w:r>
            <w:proofErr w:type="spellStart"/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iskemik olmayan kalp yetmezliği olan hastalarda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AKÖ’nin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primer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korunasındaq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ICD için daha düşük öneri düzeyi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.</w:t>
            </w:r>
          </w:p>
        </w:tc>
      </w:tr>
      <w:tr w:rsidR="00B35346" w:rsidRPr="00BD5AB9" w14:paraId="33DFE8AE" w14:textId="77777777" w:rsidTr="00511FE8">
        <w:tc>
          <w:tcPr>
            <w:tcW w:w="1415" w:type="dxa"/>
            <w:shd w:val="clear" w:color="auto" w:fill="FFF2C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3902" w14:textId="77777777" w:rsidR="00B35346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BD5AB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  </w:t>
            </w:r>
          </w:p>
          <w:p w14:paraId="5144C41D" w14:textId="77777777" w:rsidR="00B35346" w:rsidRPr="006D732B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6D732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Tedavilerin</w:t>
            </w:r>
          </w:p>
          <w:p w14:paraId="562463D3" w14:textId="77777777" w:rsidR="00B35346" w:rsidRPr="00BD5AB9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6D732B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Değeri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686F2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tavsiye yok</w:t>
            </w:r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BDF7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r w:rsidRPr="006D732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Yüksek:</w:t>
            </w:r>
            <w:r w:rsidRPr="006D732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BB/MRA/ARNI/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/ARB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/H-ISDN/ICD/CRT-D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6D732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Orta:</w:t>
            </w:r>
            <w:r w:rsidRPr="006D732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SGLT2i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6D732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Düşük:</w:t>
            </w:r>
            <w:r w:rsidRPr="006D732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tafamadis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6D732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Belirsiz:</w:t>
            </w:r>
            <w:r w:rsidRPr="006D732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PAP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monitoring</w:t>
            </w:r>
            <w:proofErr w:type="spellEnd"/>
          </w:p>
        </w:tc>
        <w:tc>
          <w:tcPr>
            <w:tcW w:w="4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B9494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ESC </w:t>
            </w:r>
            <w:proofErr w:type="spellStart"/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6D73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adreslenmeyen değer</w:t>
            </w:r>
          </w:p>
        </w:tc>
      </w:tr>
      <w:tr w:rsidR="00B35346" w:rsidRPr="0024246B" w14:paraId="5C3A5626" w14:textId="77777777" w:rsidTr="00D34FFD">
        <w:tc>
          <w:tcPr>
            <w:tcW w:w="11687" w:type="dxa"/>
            <w:gridSpan w:val="4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E18CE" w14:textId="77777777" w:rsidR="00B35346" w:rsidRPr="0024246B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24246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KYhdEF</w:t>
            </w:r>
            <w:proofErr w:type="spellEnd"/>
          </w:p>
        </w:tc>
      </w:tr>
      <w:tr w:rsidR="00B35346" w:rsidRPr="00BD5AB9" w14:paraId="5C43E276" w14:textId="77777777" w:rsidTr="00511FE8">
        <w:tc>
          <w:tcPr>
            <w:tcW w:w="1415" w:type="dxa"/>
            <w:shd w:val="clear" w:color="auto" w:fill="FFF2C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DC4D" w14:textId="77777777" w:rsidR="00B35346" w:rsidRPr="00C9064A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  </w:t>
            </w:r>
            <w:r w:rsidRPr="00C9064A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Standard </w:t>
            </w:r>
          </w:p>
          <w:p w14:paraId="599B5069" w14:textId="77777777" w:rsidR="00B35346" w:rsidRPr="00BD5AB9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C9064A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KYTT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AF33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• ARNI/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/ARB/BB/MRA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6164F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• SGLT2i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sınıf 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>• ARNI/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/ARB/BB/MRA (sınıf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2CC4A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C906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ESC </w:t>
            </w:r>
            <w:proofErr w:type="spellStart"/>
            <w:r w:rsidRPr="00C906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C9064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SGLT2i için bulunmayan öneri</w:t>
            </w:r>
          </w:p>
        </w:tc>
      </w:tr>
      <w:tr w:rsidR="00B35346" w:rsidRPr="00BD5AB9" w14:paraId="57343F32" w14:textId="77777777" w:rsidTr="00511FE8">
        <w:tc>
          <w:tcPr>
            <w:tcW w:w="1415" w:type="dxa"/>
            <w:shd w:val="clear" w:color="auto" w:fill="FFF2C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3AFD2" w14:textId="77777777" w:rsidR="00B35346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BD5AB9"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  <w:t>   </w:t>
            </w:r>
          </w:p>
          <w:p w14:paraId="2C8CD4CC" w14:textId="77777777" w:rsidR="00B35346" w:rsidRPr="00C9064A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C9064A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Tedavilerin değeri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50DB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No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recommendation</w:t>
            </w:r>
            <w:proofErr w:type="spellEnd"/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A4A0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r w:rsidRPr="00C9064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Yüksek:</w:t>
            </w:r>
            <w:r w:rsidRPr="00C9064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BB/MRA/ARNI/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ACEi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/ARB/ICD/CRT-D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AC432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Orta:</w:t>
            </w:r>
            <w:r w:rsidRPr="00AC432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SGLT2i/HT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AC432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Düşük:</w:t>
            </w:r>
            <w:r w:rsidRPr="00AC432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tafamadis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AC432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Belirsiz:</w:t>
            </w:r>
            <w:r w:rsidRPr="00AC432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PAP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monitoring</w:t>
            </w:r>
            <w:proofErr w:type="spellEnd"/>
          </w:p>
        </w:tc>
        <w:tc>
          <w:tcPr>
            <w:tcW w:w="4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6310A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AC432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ESC </w:t>
            </w:r>
            <w:proofErr w:type="spellStart"/>
            <w:r w:rsidRPr="00AC432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AC432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adreslenmeyen değer</w:t>
            </w:r>
          </w:p>
        </w:tc>
      </w:tr>
      <w:tr w:rsidR="00B35346" w:rsidRPr="00ED5EC2" w14:paraId="063996CD" w14:textId="77777777" w:rsidTr="00D34FFD">
        <w:tc>
          <w:tcPr>
            <w:tcW w:w="11687" w:type="dxa"/>
            <w:gridSpan w:val="4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56F4" w14:textId="77777777" w:rsidR="00B35346" w:rsidRPr="00ED5EC2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ED5EC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KYkEF</w:t>
            </w:r>
            <w:proofErr w:type="spellEnd"/>
          </w:p>
        </w:tc>
      </w:tr>
      <w:tr w:rsidR="00B35346" w:rsidRPr="00BD5AB9" w14:paraId="351E47CE" w14:textId="77777777" w:rsidTr="00511FE8">
        <w:tc>
          <w:tcPr>
            <w:tcW w:w="1415" w:type="dxa"/>
            <w:shd w:val="clear" w:color="auto" w:fill="FFF2C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E6E0" w14:textId="77777777" w:rsidR="00B35346" w:rsidRPr="00ED5EC2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ED5EC2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   Standard </w:t>
            </w:r>
          </w:p>
          <w:p w14:paraId="3C580641" w14:textId="77777777" w:rsidR="00B35346" w:rsidRPr="00BD5AB9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ED5EC2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KYTT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4AE27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Tavsiye yok</w:t>
            </w:r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CD09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• SGLT2i (sınıf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IIa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>• ARNI/ARB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>• MRA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sınıf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IIb</w:t>
            </w:r>
            <w:proofErr w:type="spellEnd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94F4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D5EC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ESC </w:t>
            </w:r>
            <w:proofErr w:type="spellStart"/>
            <w:r w:rsidRPr="00ED5EC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ED5EC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bulunmayan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tavsiye</w:t>
            </w:r>
            <w:r w:rsidRPr="00ED5EC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düzeyi</w:t>
            </w:r>
          </w:p>
        </w:tc>
      </w:tr>
      <w:tr w:rsidR="00B35346" w:rsidRPr="00BD5AB9" w14:paraId="24AE8A16" w14:textId="77777777" w:rsidTr="00511FE8">
        <w:tc>
          <w:tcPr>
            <w:tcW w:w="1415" w:type="dxa"/>
            <w:shd w:val="clear" w:color="auto" w:fill="FFF2CC" w:themeFill="accent4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58AB7" w14:textId="77777777" w:rsidR="00B35346" w:rsidRPr="00506E8F" w:rsidRDefault="00B35346" w:rsidP="00D34FF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506E8F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Tedavilerin değeri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7895E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Tavsiye yok</w:t>
            </w:r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8A6D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• </w:t>
            </w:r>
            <w:r w:rsidRPr="00506E8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Düşük:</w:t>
            </w:r>
            <w:r w:rsidRPr="00506E8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tafamadis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br/>
              <w:t xml:space="preserve">• </w:t>
            </w:r>
            <w:r w:rsidRPr="00506E8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tr-TR"/>
              </w:rPr>
              <w:t>Belirsiz:</w:t>
            </w:r>
            <w:r w:rsidRPr="00506E8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PAP </w:t>
            </w:r>
            <w:proofErr w:type="spellStart"/>
            <w:r w:rsidRPr="00BD5A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monitoring</w:t>
            </w:r>
            <w:proofErr w:type="spellEnd"/>
          </w:p>
        </w:tc>
        <w:tc>
          <w:tcPr>
            <w:tcW w:w="4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46909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506E8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ESC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kılavuzlarında</w:t>
            </w:r>
            <w:r w:rsidRPr="00506E8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ele alınmayan değer</w:t>
            </w:r>
          </w:p>
        </w:tc>
      </w:tr>
      <w:tr w:rsidR="00B35346" w:rsidRPr="00506E8F" w14:paraId="74240BAB" w14:textId="77777777" w:rsidTr="00D34FFD">
        <w:tc>
          <w:tcPr>
            <w:tcW w:w="11687" w:type="dxa"/>
            <w:gridSpan w:val="4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445BB" w14:textId="77777777" w:rsidR="00B35346" w:rsidRPr="00506E8F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506E8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KYdzEF</w:t>
            </w:r>
            <w:proofErr w:type="spellEnd"/>
          </w:p>
        </w:tc>
      </w:tr>
      <w:tr w:rsidR="00B35346" w:rsidRPr="00BD5AB9" w14:paraId="368EBA67" w14:textId="77777777" w:rsidTr="00511FE8">
        <w:tc>
          <w:tcPr>
            <w:tcW w:w="14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09F2D" w14:textId="77777777" w:rsidR="00B35346" w:rsidRPr="00506E8F" w:rsidRDefault="00B35346" w:rsidP="00D34FFD">
            <w:pPr>
              <w:shd w:val="clear" w:color="auto" w:fill="FFF2CC" w:themeFill="accent4" w:themeFillTint="33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506E8F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   Standard </w:t>
            </w:r>
          </w:p>
          <w:p w14:paraId="35474529" w14:textId="77777777" w:rsidR="00B35346" w:rsidRPr="00BD5AB9" w:rsidRDefault="00B35346" w:rsidP="00D34FFD">
            <w:pPr>
              <w:shd w:val="clear" w:color="auto" w:fill="FFF2CC" w:themeFill="accent4" w:themeFillTint="33"/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tr-TR"/>
              </w:rPr>
            </w:pPr>
            <w:r w:rsidRPr="00506E8F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KYTT</w:t>
            </w:r>
          </w:p>
        </w:tc>
        <w:tc>
          <w:tcPr>
            <w:tcW w:w="285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4F822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KYTT devam</w:t>
            </w:r>
          </w:p>
        </w:tc>
        <w:tc>
          <w:tcPr>
            <w:tcW w:w="3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F9B5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KYTT devam (sınıf I)</w:t>
            </w:r>
          </w:p>
        </w:tc>
        <w:tc>
          <w:tcPr>
            <w:tcW w:w="40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B67ED" w14:textId="77777777" w:rsidR="00B35346" w:rsidRPr="00BD5AB9" w:rsidRDefault="00B35346" w:rsidP="00D3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506E8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ESC </w:t>
            </w:r>
            <w:proofErr w:type="spellStart"/>
            <w:r w:rsidRPr="00506E8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CPG'de</w:t>
            </w:r>
            <w:proofErr w:type="spellEnd"/>
            <w:r w:rsidRPr="00506E8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bulunmayan öneri düzeyi</w:t>
            </w:r>
          </w:p>
        </w:tc>
      </w:tr>
    </w:tbl>
    <w:p w14:paraId="609E5839" w14:textId="77777777" w:rsidR="00B35346" w:rsidRPr="00717577" w:rsidRDefault="00B35346" w:rsidP="000B6B24">
      <w:pPr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</w:pPr>
    </w:p>
    <w:p w14:paraId="47B90FF0" w14:textId="241CA527" w:rsidR="00FA5D49" w:rsidRDefault="00FA5D49" w:rsidP="00FA5D49">
      <w:pPr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</w:pPr>
    </w:p>
    <w:p w14:paraId="7EF4F6BF" w14:textId="77777777" w:rsidR="00D86619" w:rsidRPr="00D86619" w:rsidRDefault="00D86619" w:rsidP="00D8661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86619">
        <w:rPr>
          <w:rFonts w:ascii="Times New Roman" w:eastAsia="Times New Roman" w:hAnsi="Times New Roman" w:cs="Times New Roman"/>
          <w:b/>
          <w:u w:val="single"/>
          <w:lang w:eastAsia="tr-TR"/>
        </w:rPr>
        <w:t>Kısaltmalar: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 xml:space="preserve"> ACCF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College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Cardiology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Foundation;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ACEI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angiotensin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converting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enzyme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inhibitor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AHA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Heart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Association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ARB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angiotensin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II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receptor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blocker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ARNI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angiotensin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receptor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neprilysin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inhibitor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BB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beta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blocker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CPG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guideline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CRT-D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cardiac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resynchronization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therapy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defibrillator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ESC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European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Society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Cardiology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KYTT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kılavuzun yönlendirdiği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tıpsal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tedavi;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KY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kalp yetersizliği; </w:t>
      </w:r>
      <w:proofErr w:type="spellStart"/>
      <w:r w:rsidRPr="00D86619">
        <w:rPr>
          <w:rFonts w:ascii="Times New Roman" w:eastAsia="Times New Roman" w:hAnsi="Times New Roman" w:cs="Times New Roman"/>
          <w:b/>
          <w:lang w:eastAsia="tr-TR"/>
        </w:rPr>
        <w:t>KYdzEF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- kalp yetersizliği düzelmiş EF ile; </w:t>
      </w:r>
      <w:proofErr w:type="spellStart"/>
      <w:r w:rsidRPr="00D86619">
        <w:rPr>
          <w:rFonts w:ascii="Times New Roman" w:eastAsia="Times New Roman" w:hAnsi="Times New Roman" w:cs="Times New Roman"/>
          <w:b/>
          <w:lang w:eastAsia="tr-TR"/>
        </w:rPr>
        <w:t>KYhdEF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, kalp yetersizliği hafif düşük EF ile; </w:t>
      </w:r>
      <w:proofErr w:type="spellStart"/>
      <w:r w:rsidRPr="00D86619">
        <w:rPr>
          <w:rFonts w:ascii="Times New Roman" w:eastAsia="Times New Roman" w:hAnsi="Times New Roman" w:cs="Times New Roman"/>
          <w:b/>
          <w:lang w:eastAsia="tr-TR"/>
        </w:rPr>
        <w:t>KYkEF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, kalp yetersizliği korunmuş EF ile;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KYdEF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- kalp yetersizliği düşük EF ile;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HFSA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Heart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Failure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Society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America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H-ISDN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hydralazine-isosorbide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dinitrate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ICD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implantable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cardioverter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defibrillator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SVEF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,-sol ventrikül ejeksiyon fraksiyonu;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MRA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mineralocorticoid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receptor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antagonist;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NYHA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, New York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Heart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Association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PAP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pulmonary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artery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pressure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PUFA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polyunsaturated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fatty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acid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RCT-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randomized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;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86619">
        <w:rPr>
          <w:rFonts w:ascii="Times New Roman" w:eastAsia="Times New Roman" w:hAnsi="Times New Roman" w:cs="Times New Roman"/>
          <w:b/>
          <w:lang w:eastAsia="tr-TR"/>
        </w:rPr>
        <w:t>SGLT2i-</w:t>
      </w:r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sodium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glucose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 xml:space="preserve"> cotransporter-2 </w:t>
      </w:r>
      <w:proofErr w:type="spellStart"/>
      <w:r w:rsidRPr="00D86619">
        <w:rPr>
          <w:rFonts w:ascii="Times New Roman" w:eastAsia="Times New Roman" w:hAnsi="Times New Roman" w:cs="Times New Roman"/>
          <w:lang w:eastAsia="tr-TR"/>
        </w:rPr>
        <w:t>inhibitor</w:t>
      </w:r>
      <w:proofErr w:type="spellEnd"/>
      <w:r w:rsidRPr="00D86619">
        <w:rPr>
          <w:rFonts w:ascii="Times New Roman" w:eastAsia="Times New Roman" w:hAnsi="Times New Roman" w:cs="Times New Roman"/>
          <w:lang w:eastAsia="tr-TR"/>
        </w:rPr>
        <w:t>.</w:t>
      </w:r>
    </w:p>
    <w:p w14:paraId="10C6E985" w14:textId="77777777" w:rsidR="000B6B24" w:rsidRDefault="000B6B24" w:rsidP="00FA5D49">
      <w:pPr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</w:pPr>
    </w:p>
    <w:p w14:paraId="341B02B7" w14:textId="7493B6D3" w:rsidR="000B6B24" w:rsidRPr="00717577" w:rsidRDefault="000B6B24" w:rsidP="000B6B24">
      <w:pPr>
        <w:spacing w:after="0" w:line="240" w:lineRule="auto"/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</w:pPr>
      <w:r w:rsidRPr="00956131">
        <w:rPr>
          <w:rFonts w:ascii="Arial" w:eastAsia="Times New Roman" w:hAnsi="Arial" w:cs="Arial"/>
          <w:color w:val="4472C4" w:themeColor="accent1"/>
          <w:sz w:val="20"/>
          <w:szCs w:val="20"/>
          <w:lang w:eastAsia="tr-TR"/>
        </w:rPr>
        <w:t>.</w:t>
      </w:r>
    </w:p>
    <w:p w14:paraId="7C828AB6" w14:textId="228AC121" w:rsidR="00FF558D" w:rsidRDefault="00FF558D" w:rsidP="00FF558D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FF558D">
        <w:rPr>
          <w:rFonts w:ascii="Arial" w:eastAsia="Times New Roman" w:hAnsi="Arial" w:cs="Arial"/>
          <w:sz w:val="20"/>
          <w:szCs w:val="20"/>
          <w:lang w:eastAsia="tr-TR"/>
        </w:rPr>
        <w:t xml:space="preserve">Bu 2 etkileyici kılavuz belgelerinin hastalar için standart tedaviye </w:t>
      </w:r>
      <w:r w:rsidR="00466E84">
        <w:rPr>
          <w:rFonts w:ascii="Arial" w:eastAsia="Times New Roman" w:hAnsi="Arial" w:cs="Arial"/>
          <w:sz w:val="20"/>
          <w:szCs w:val="20"/>
          <w:lang w:eastAsia="tr-TR"/>
        </w:rPr>
        <w:t xml:space="preserve">yukarıdaki Tabloda özetlendiği gibi </w:t>
      </w:r>
      <w:r w:rsidRPr="00FF558D">
        <w:rPr>
          <w:rFonts w:ascii="Arial" w:eastAsia="Times New Roman" w:hAnsi="Arial" w:cs="Arial"/>
          <w:sz w:val="20"/>
          <w:szCs w:val="20"/>
          <w:lang w:eastAsia="tr-TR"/>
        </w:rPr>
        <w:t xml:space="preserve">yaklaşımda farklılıkları vardır </w:t>
      </w:r>
      <w:r w:rsidRPr="00F12F49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14:paraId="3F1846BE" w14:textId="77777777" w:rsidR="00FF558D" w:rsidRDefault="00FF558D" w:rsidP="00FF558D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</w:p>
    <w:p w14:paraId="37106699" w14:textId="0764B12C" w:rsidR="00FF558D" w:rsidRPr="00F81B8B" w:rsidRDefault="00FF558D" w:rsidP="00FF558D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tr-TR"/>
        </w:rPr>
      </w:pPr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lastRenderedPageBreak/>
        <w:t xml:space="preserve">Her iki kılavuz da </w:t>
      </w:r>
      <w:proofErr w:type="spellStart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ARNI'ler</w:t>
      </w:r>
      <w:proofErr w:type="spellEnd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, kanıta dayalı β-</w:t>
      </w:r>
      <w:proofErr w:type="spellStart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blokerler</w:t>
      </w:r>
      <w:proofErr w:type="spellEnd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, </w:t>
      </w:r>
      <w:proofErr w:type="spellStart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mineralokortikoid</w:t>
      </w:r>
      <w:proofErr w:type="spellEnd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 xml:space="preserve"> reseptör antagonistleri ve sodyum glukoz kotransporter-2 inhibitörleri ile dörtlü tedavinin artık düşük ejeksiyon fraksiyonlu (</w:t>
      </w:r>
      <w:proofErr w:type="spellStart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KYdEF</w:t>
      </w:r>
      <w:proofErr w:type="spellEnd"/>
      <w:r w:rsidRPr="00F81B8B">
        <w:rPr>
          <w:rFonts w:ascii="Arial" w:eastAsia="Times New Roman" w:hAnsi="Arial" w:cs="Arial"/>
          <w:color w:val="C00000"/>
          <w:sz w:val="28"/>
          <w:szCs w:val="28"/>
          <w:lang w:eastAsia="tr-TR"/>
        </w:rPr>
        <w:t>) ile KY için kılavuza yönelik tıbbi tedavi için yeni temel standardı oluşturduğunu kesin olarak ortaya koymaktadır</w:t>
      </w:r>
      <w:r w:rsidRPr="00F81B8B">
        <w:rPr>
          <w:rFonts w:ascii="Arial" w:eastAsia="Times New Roman" w:hAnsi="Arial" w:cs="Arial"/>
          <w:sz w:val="28"/>
          <w:szCs w:val="28"/>
          <w:lang w:eastAsia="tr-TR"/>
        </w:rPr>
        <w:t>.</w:t>
      </w:r>
    </w:p>
    <w:p w14:paraId="1FF15C6E" w14:textId="32A24569" w:rsidR="00FA5D49" w:rsidRDefault="00FA5D49"/>
    <w:p w14:paraId="386B6CFE" w14:textId="74CF5DBF" w:rsidR="00363EEF" w:rsidRDefault="00363EEF" w:rsidP="00363EEF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363EEF">
        <w:rPr>
          <w:rFonts w:ascii="Arial" w:eastAsia="Times New Roman" w:hAnsi="Arial" w:cs="Arial"/>
          <w:sz w:val="20"/>
          <w:szCs w:val="20"/>
          <w:lang w:eastAsia="tr-TR"/>
        </w:rPr>
        <w:t xml:space="preserve">Bununla birlikte, ACCF/AHA/HFSA kılavuzları, </w:t>
      </w:r>
      <w:proofErr w:type="spellStart"/>
      <w:r w:rsidRPr="00363EEF">
        <w:rPr>
          <w:rFonts w:ascii="Arial" w:eastAsia="Times New Roman" w:hAnsi="Arial" w:cs="Arial"/>
          <w:sz w:val="20"/>
          <w:szCs w:val="20"/>
          <w:lang w:eastAsia="tr-TR"/>
        </w:rPr>
        <w:t>ARNI'nin</w:t>
      </w:r>
      <w:proofErr w:type="spellEnd"/>
      <w:r w:rsidRPr="00363EEF">
        <w:rPr>
          <w:rFonts w:ascii="Arial" w:eastAsia="Times New Roman" w:hAnsi="Arial" w:cs="Arial"/>
          <w:sz w:val="20"/>
          <w:szCs w:val="20"/>
          <w:lang w:eastAsia="tr-TR"/>
        </w:rPr>
        <w:t xml:space="preserve"> sınıf 1A tavsiyesi ile tercih edilen renin-anjiyotensin modülatörü olması gerektiğini ve </w:t>
      </w:r>
      <w:r>
        <w:rPr>
          <w:rFonts w:ascii="Arial" w:eastAsia="Times New Roman" w:hAnsi="Arial" w:cs="Arial"/>
          <w:sz w:val="20"/>
          <w:szCs w:val="20"/>
          <w:lang w:eastAsia="tr-TR"/>
        </w:rPr>
        <w:t>“</w:t>
      </w:r>
      <w:proofErr w:type="spellStart"/>
      <w:r w:rsidRPr="00363EEF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>ACEİ'lerin</w:t>
      </w:r>
      <w:proofErr w:type="spellEnd"/>
      <w:r w:rsidRPr="00363EEF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 xml:space="preserve"> veya </w:t>
      </w:r>
      <w:proofErr w:type="spellStart"/>
      <w:r w:rsidRPr="00363EEF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>ARB'lerin</w:t>
      </w:r>
      <w:proofErr w:type="spellEnd"/>
      <w:r w:rsidRPr="00363EEF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 xml:space="preserve"> kullanımının "ARNI kullanımı mümkün olmadığında</w:t>
      </w:r>
      <w:r w:rsidRPr="00363EEF">
        <w:rPr>
          <w:rFonts w:ascii="Arial" w:eastAsia="Times New Roman" w:hAnsi="Arial" w:cs="Arial"/>
          <w:sz w:val="20"/>
          <w:szCs w:val="20"/>
          <w:lang w:eastAsia="tr-TR"/>
        </w:rPr>
        <w:t>" kullanılabileceğini kesin olarak beyan eder</w:t>
      </w:r>
      <w:r w:rsidRPr="004D450A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1</w:t>
      </w:r>
      <w:r w:rsidRPr="004D450A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14:paraId="73A53519" w14:textId="77777777" w:rsidR="00305C50" w:rsidRPr="00305C50" w:rsidRDefault="00363EEF" w:rsidP="00363EEF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363EEF">
        <w:rPr>
          <w:rFonts w:ascii="Arial" w:eastAsia="Times New Roman" w:hAnsi="Arial" w:cs="Arial"/>
          <w:sz w:val="20"/>
          <w:szCs w:val="20"/>
          <w:lang w:eastAsia="tr-TR"/>
        </w:rPr>
        <w:t xml:space="preserve">ESC kılavuzları, </w:t>
      </w:r>
      <w:proofErr w:type="spellStart"/>
      <w:r w:rsidRPr="00363EEF">
        <w:rPr>
          <w:rFonts w:ascii="Arial" w:eastAsia="Times New Roman" w:hAnsi="Arial" w:cs="Arial"/>
          <w:sz w:val="20"/>
          <w:szCs w:val="20"/>
          <w:lang w:eastAsia="tr-TR"/>
        </w:rPr>
        <w:t>ARNI'nin</w:t>
      </w:r>
      <w:proofErr w:type="spellEnd"/>
      <w:r w:rsidRPr="00363EEF">
        <w:rPr>
          <w:rFonts w:ascii="Arial" w:eastAsia="Times New Roman" w:hAnsi="Arial" w:cs="Arial"/>
          <w:sz w:val="20"/>
          <w:szCs w:val="20"/>
          <w:lang w:eastAsia="tr-TR"/>
        </w:rPr>
        <w:t xml:space="preserve"> ilk seçenek olarak kabul edilebilmesine rağmen, </w:t>
      </w:r>
      <w:r>
        <w:rPr>
          <w:rFonts w:ascii="Arial" w:eastAsia="Times New Roman" w:hAnsi="Arial" w:cs="Arial"/>
          <w:sz w:val="20"/>
          <w:szCs w:val="20"/>
          <w:lang w:eastAsia="tr-TR"/>
        </w:rPr>
        <w:t>“</w:t>
      </w:r>
      <w:r w:rsidRPr="00305C50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 xml:space="preserve">semptomatik kalan uygun hastalarda </w:t>
      </w:r>
      <w:proofErr w:type="spellStart"/>
      <w:r w:rsidRPr="00305C50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>ARNI'nin</w:t>
      </w:r>
      <w:proofErr w:type="spellEnd"/>
      <w:r w:rsidRPr="00305C50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 xml:space="preserve"> "</w:t>
      </w:r>
      <w:proofErr w:type="spellStart"/>
      <w:r w:rsidRPr="00305C50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>ACEİ'lerin</w:t>
      </w:r>
      <w:proofErr w:type="spellEnd"/>
      <w:r w:rsidRPr="00305C50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 xml:space="preserve"> yerine geçmesi"</w:t>
      </w:r>
      <w:r w:rsidRPr="00363EEF">
        <w:rPr>
          <w:rFonts w:ascii="Arial" w:eastAsia="Times New Roman" w:hAnsi="Arial" w:cs="Arial"/>
          <w:sz w:val="20"/>
          <w:szCs w:val="20"/>
          <w:lang w:eastAsia="tr-TR"/>
        </w:rPr>
        <w:t xml:space="preserve"> olarak önerildiğini belirterek </w:t>
      </w:r>
      <w:proofErr w:type="spellStart"/>
      <w:r w:rsidRPr="00363EEF">
        <w:rPr>
          <w:rFonts w:ascii="Arial" w:eastAsia="Times New Roman" w:hAnsi="Arial" w:cs="Arial"/>
          <w:sz w:val="20"/>
          <w:szCs w:val="20"/>
          <w:lang w:eastAsia="tr-TR"/>
        </w:rPr>
        <w:t>ARNI'ye</w:t>
      </w:r>
      <w:proofErr w:type="spellEnd"/>
      <w:r w:rsidRPr="00363EEF">
        <w:rPr>
          <w:rFonts w:ascii="Arial" w:eastAsia="Times New Roman" w:hAnsi="Arial" w:cs="Arial"/>
          <w:sz w:val="20"/>
          <w:szCs w:val="20"/>
          <w:lang w:eastAsia="tr-TR"/>
        </w:rPr>
        <w:t xml:space="preserve"> 1B tavsiyesi vermektedir</w:t>
      </w:r>
      <w:r w:rsidRPr="004D450A">
        <w:rPr>
          <w:rFonts w:ascii="Arial" w:eastAsia="Times New Roman" w:hAnsi="Arial" w:cs="Arial"/>
          <w:b/>
          <w:color w:val="C00000"/>
          <w:sz w:val="20"/>
          <w:szCs w:val="20"/>
          <w:vertAlign w:val="superscript"/>
          <w:lang w:eastAsia="tr-TR"/>
        </w:rPr>
        <w:t>2</w:t>
      </w:r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  <w:r w:rsidRPr="004D450A">
        <w:t xml:space="preserve"> </w:t>
      </w:r>
    </w:p>
    <w:p w14:paraId="48D8C6D0" w14:textId="1E5B8D68" w:rsidR="00363EEF" w:rsidRDefault="00363EEF" w:rsidP="00363EEF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305C50">
        <w:rPr>
          <w:rFonts w:ascii="Arial" w:eastAsia="Times New Roman" w:hAnsi="Arial" w:cs="Arial"/>
          <w:sz w:val="20"/>
          <w:szCs w:val="20"/>
          <w:lang w:eastAsia="tr-TR"/>
        </w:rPr>
        <w:t xml:space="preserve">ACCF/AHA/HFSA, kendi kendini tanımlayan Siyah hastalar için </w:t>
      </w:r>
      <w:proofErr w:type="spellStart"/>
      <w:r w:rsidRPr="00305C50">
        <w:rPr>
          <w:rFonts w:ascii="Arial" w:eastAsia="Times New Roman" w:hAnsi="Arial" w:cs="Arial"/>
          <w:sz w:val="20"/>
          <w:szCs w:val="20"/>
          <w:lang w:eastAsia="tr-TR"/>
        </w:rPr>
        <w:t>hidralazin-izosorbid</w:t>
      </w:r>
      <w:proofErr w:type="spellEnd"/>
      <w:r w:rsidRPr="00305C5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305C50">
        <w:rPr>
          <w:rFonts w:ascii="Arial" w:eastAsia="Times New Roman" w:hAnsi="Arial" w:cs="Arial"/>
          <w:sz w:val="20"/>
          <w:szCs w:val="20"/>
          <w:lang w:eastAsia="tr-TR"/>
        </w:rPr>
        <w:t>dinitrat</w:t>
      </w:r>
      <w:proofErr w:type="spellEnd"/>
      <w:r w:rsidRPr="00305C50">
        <w:rPr>
          <w:rFonts w:ascii="Arial" w:eastAsia="Times New Roman" w:hAnsi="Arial" w:cs="Arial"/>
          <w:sz w:val="20"/>
          <w:szCs w:val="20"/>
          <w:lang w:eastAsia="tr-TR"/>
        </w:rPr>
        <w:t xml:space="preserve"> için 1A tavsiyesi verir,</w:t>
      </w:r>
      <w:r w:rsidRPr="00305C50">
        <w:t xml:space="preserve"> </w:t>
      </w:r>
      <w:r w:rsidRPr="00305C50">
        <w:rPr>
          <w:rFonts w:ascii="Arial" w:eastAsia="Times New Roman" w:hAnsi="Arial" w:cs="Arial"/>
          <w:sz w:val="20"/>
          <w:szCs w:val="20"/>
          <w:lang w:eastAsia="tr-TR"/>
        </w:rPr>
        <w:t>oysa ESC, "</w:t>
      </w:r>
      <w:proofErr w:type="spellStart"/>
      <w:r w:rsidRPr="00305C50">
        <w:rPr>
          <w:rFonts w:ascii="Arial" w:eastAsia="Times New Roman" w:hAnsi="Arial" w:cs="Arial"/>
          <w:sz w:val="20"/>
          <w:szCs w:val="20"/>
          <w:lang w:eastAsia="tr-TR"/>
        </w:rPr>
        <w:t>KYdEF'li</w:t>
      </w:r>
      <w:proofErr w:type="spellEnd"/>
      <w:r w:rsidRPr="00305C50">
        <w:rPr>
          <w:rFonts w:ascii="Arial" w:eastAsia="Times New Roman" w:hAnsi="Arial" w:cs="Arial"/>
          <w:sz w:val="20"/>
          <w:szCs w:val="20"/>
          <w:lang w:eastAsia="tr-TR"/>
        </w:rPr>
        <w:t xml:space="preserve"> tüm hastalarda bu sabit doz kombinasyon tedavisinin kullanımını önermek için net kanıt" eksikliğine atıfta bulunarak sınıf 2A tavsiyesi verir</w:t>
      </w:r>
      <w:r w:rsidRPr="00305C50">
        <w:rPr>
          <w:rFonts w:ascii="Arial" w:eastAsia="Times New Roman" w:hAnsi="Arial" w:cs="Arial"/>
          <w:b/>
          <w:sz w:val="20"/>
          <w:szCs w:val="20"/>
          <w:vertAlign w:val="superscript"/>
          <w:lang w:eastAsia="tr-TR"/>
        </w:rPr>
        <w:t>1</w:t>
      </w:r>
      <w:r w:rsidRPr="00F64002">
        <w:rPr>
          <w:rFonts w:ascii="Arial" w:eastAsia="Times New Roman" w:hAnsi="Arial" w:cs="Arial"/>
          <w:b/>
          <w:color w:val="C00000"/>
          <w:sz w:val="20"/>
          <w:szCs w:val="20"/>
          <w:vertAlign w:val="superscript"/>
          <w:lang w:eastAsia="tr-TR"/>
        </w:rPr>
        <w:t>,2</w:t>
      </w:r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</w:p>
    <w:p w14:paraId="47506E19" w14:textId="710E1D6A" w:rsidR="00305C50" w:rsidRPr="00E53973" w:rsidRDefault="00305C50" w:rsidP="00305C50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ESC kılavuzlarının yazarları, </w:t>
      </w:r>
      <w:proofErr w:type="spellStart"/>
      <w:r w:rsidRPr="00E53973">
        <w:rPr>
          <w:rFonts w:ascii="Arial" w:eastAsia="Times New Roman" w:hAnsi="Arial" w:cs="Arial"/>
          <w:sz w:val="20"/>
          <w:szCs w:val="20"/>
          <w:lang w:eastAsia="tr-TR"/>
        </w:rPr>
        <w:t>KYkEF</w:t>
      </w:r>
      <w:proofErr w:type="spellEnd"/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 tedavisi için </w:t>
      </w:r>
      <w:proofErr w:type="spellStart"/>
      <w:r w:rsidRPr="00E53973">
        <w:rPr>
          <w:rFonts w:ascii="Arial" w:eastAsia="Times New Roman" w:hAnsi="Arial" w:cs="Arial"/>
          <w:sz w:val="20"/>
          <w:szCs w:val="20"/>
          <w:lang w:eastAsia="tr-TR"/>
        </w:rPr>
        <w:t>ARNI'lerin</w:t>
      </w:r>
      <w:proofErr w:type="spellEnd"/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E53973">
        <w:rPr>
          <w:rFonts w:ascii="Arial" w:eastAsia="Times New Roman" w:hAnsi="Arial" w:cs="Arial"/>
          <w:sz w:val="20"/>
          <w:szCs w:val="20"/>
          <w:lang w:eastAsia="tr-TR"/>
        </w:rPr>
        <w:t>mineralokortikoid</w:t>
      </w:r>
      <w:proofErr w:type="spellEnd"/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 reseptör antagonistlerinin FDA tarafından onaylandığını kabul etmektedir.</w:t>
      </w:r>
      <w:r w:rsidRPr="00E53973">
        <w:t xml:space="preserve"> </w:t>
      </w:r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Bununla birlikte, bu farmakolojik tedavilerin herhangi biri için bir tavsiye  sınıfı veya düzeyi sağlamazlar, çünkü bu ilaçların yararı yalnızca önceden belirlenmiş alt gruplarda (yani, kadınlar ve ARNI için EF &lt;%57 olan katılımcılar) ve post hoc analizlerde belirgindir ( yani, EF &lt;%55 olan  ve Amerika'da </w:t>
      </w:r>
      <w:proofErr w:type="spellStart"/>
      <w:r w:rsidRPr="00E53973">
        <w:rPr>
          <w:rFonts w:ascii="Arial" w:eastAsia="Times New Roman" w:hAnsi="Arial" w:cs="Arial"/>
          <w:sz w:val="20"/>
          <w:szCs w:val="20"/>
          <w:lang w:eastAsia="tr-TR"/>
        </w:rPr>
        <w:t>mineralokortikoid</w:t>
      </w:r>
      <w:proofErr w:type="spellEnd"/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 reseptör antagonistleri için  alınan katılımcılar).</w:t>
      </w:r>
    </w:p>
    <w:p w14:paraId="739C8361" w14:textId="77777777" w:rsidR="00305C50" w:rsidRPr="00E53973" w:rsidRDefault="00305C50" w:rsidP="00305C50">
      <w:pPr>
        <w:pStyle w:val="ListeParagraf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Buna karşılık, ACC/AHA/HFSA, </w:t>
      </w:r>
      <w:proofErr w:type="spellStart"/>
      <w:r w:rsidRPr="00E53973">
        <w:rPr>
          <w:rFonts w:ascii="Arial" w:eastAsia="Times New Roman" w:hAnsi="Arial" w:cs="Arial"/>
          <w:sz w:val="20"/>
          <w:szCs w:val="20"/>
          <w:lang w:eastAsia="tr-TR"/>
        </w:rPr>
        <w:t>KYkEF</w:t>
      </w:r>
      <w:proofErr w:type="spellEnd"/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 tedavisi için </w:t>
      </w:r>
      <w:proofErr w:type="spellStart"/>
      <w:r w:rsidRPr="00E53973">
        <w:rPr>
          <w:rFonts w:ascii="Arial" w:eastAsia="Times New Roman" w:hAnsi="Arial" w:cs="Arial"/>
          <w:sz w:val="20"/>
          <w:szCs w:val="20"/>
          <w:lang w:eastAsia="tr-TR"/>
        </w:rPr>
        <w:t>ARNI'lerin</w:t>
      </w:r>
      <w:proofErr w:type="spellEnd"/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E53973">
        <w:rPr>
          <w:rFonts w:ascii="Arial" w:eastAsia="Times New Roman" w:hAnsi="Arial" w:cs="Arial"/>
          <w:sz w:val="20"/>
          <w:szCs w:val="20"/>
          <w:lang w:eastAsia="tr-TR"/>
        </w:rPr>
        <w:t>mineralokortikoid</w:t>
      </w:r>
      <w:proofErr w:type="spellEnd"/>
      <w:r w:rsidRPr="00E53973">
        <w:rPr>
          <w:rFonts w:ascii="Arial" w:eastAsia="Times New Roman" w:hAnsi="Arial" w:cs="Arial"/>
          <w:sz w:val="20"/>
          <w:szCs w:val="20"/>
          <w:lang w:eastAsia="tr-TR"/>
        </w:rPr>
        <w:t xml:space="preserve"> reseptör antagonistlerinin ve sodyum glukoz kotransporter-2 inhibitörlerinin kullanımını desteklemektedir.</w:t>
      </w:r>
    </w:p>
    <w:p w14:paraId="394C8328" w14:textId="77777777" w:rsidR="00305C50" w:rsidRDefault="00305C50" w:rsidP="00E53973">
      <w:pPr>
        <w:pStyle w:val="ListeParagra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</w:p>
    <w:p w14:paraId="524C5568" w14:textId="77777777" w:rsidR="00363EEF" w:rsidRDefault="00363EEF" w:rsidP="00363EEF">
      <w:pPr>
        <w:pStyle w:val="ListeParagra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</w:p>
    <w:p w14:paraId="508D11F3" w14:textId="00B00B35" w:rsidR="00A66608" w:rsidRDefault="00A66608" w:rsidP="00A66608">
      <w:pPr>
        <w:pStyle w:val="ListeParagraf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Bu kılavuzlardaki bir diğer önemli farklılık, primer korunma için  </w:t>
      </w:r>
      <w:proofErr w:type="spellStart"/>
      <w:r w:rsidRPr="00A66608">
        <w:rPr>
          <w:rFonts w:ascii="Arial" w:eastAsia="Times New Roman" w:hAnsi="Arial" w:cs="Arial"/>
          <w:sz w:val="20"/>
          <w:szCs w:val="20"/>
          <w:lang w:eastAsia="tr-TR"/>
        </w:rPr>
        <w:t>ICD’lerin</w:t>
      </w:r>
      <w:proofErr w:type="spellEnd"/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Pr="00A66608">
        <w:rPr>
          <w:rFonts w:ascii="Arial" w:eastAsia="Times New Roman" w:hAnsi="Arial" w:cs="Arial"/>
          <w:sz w:val="20"/>
          <w:szCs w:val="20"/>
          <w:lang w:eastAsia="tr-TR"/>
        </w:rPr>
        <w:t>implantable-cardioverter</w:t>
      </w:r>
      <w:proofErr w:type="spellEnd"/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A66608">
        <w:rPr>
          <w:rFonts w:ascii="Arial" w:eastAsia="Times New Roman" w:hAnsi="Arial" w:cs="Arial"/>
          <w:sz w:val="20"/>
          <w:szCs w:val="20"/>
          <w:lang w:eastAsia="tr-TR"/>
        </w:rPr>
        <w:t>defibrillators</w:t>
      </w:r>
      <w:proofErr w:type="spellEnd"/>
      <w:r w:rsidRPr="00A66608">
        <w:rPr>
          <w:rFonts w:ascii="Arial" w:eastAsia="Times New Roman" w:hAnsi="Arial" w:cs="Arial"/>
          <w:sz w:val="20"/>
          <w:szCs w:val="20"/>
          <w:lang w:eastAsia="tr-TR"/>
        </w:rPr>
        <w:t>) rolüdür.</w:t>
      </w:r>
      <w:r w:rsidRPr="00A66608">
        <w:t xml:space="preserve"> </w:t>
      </w:r>
      <w:r w:rsidRPr="00A66608">
        <w:rPr>
          <w:rFonts w:ascii="Arial" w:eastAsia="Times New Roman" w:hAnsi="Arial" w:cs="Arial"/>
          <w:sz w:val="20"/>
          <w:szCs w:val="20"/>
          <w:lang w:eastAsia="tr-TR"/>
        </w:rPr>
        <w:t>ESC kılavuzları, iskemik KY patogenezi olan hastalarda ICD için 1A önerisi verir, ancak öneri, iskemik olmayan KY patogenezi olan hastalarda 2A'ya düşürülmüştür.</w:t>
      </w:r>
      <w:r w:rsidRPr="00A66608">
        <w:t xml:space="preserve"> </w:t>
      </w:r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ACC/AHA/HFSA </w:t>
      </w:r>
      <w:proofErr w:type="spellStart"/>
      <w:r w:rsidRPr="00A66608">
        <w:rPr>
          <w:rFonts w:ascii="Arial" w:eastAsia="Times New Roman" w:hAnsi="Arial" w:cs="Arial"/>
          <w:sz w:val="20"/>
          <w:szCs w:val="20"/>
          <w:lang w:eastAsia="tr-TR"/>
        </w:rPr>
        <w:t>KY’nin</w:t>
      </w:r>
      <w:proofErr w:type="spellEnd"/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 patogenezinden bağımsız olarak primer korunma  </w:t>
      </w:r>
      <w:proofErr w:type="spellStart"/>
      <w:r w:rsidRPr="00A66608">
        <w:rPr>
          <w:rFonts w:ascii="Arial" w:eastAsia="Times New Roman" w:hAnsi="Arial" w:cs="Arial"/>
          <w:sz w:val="20"/>
          <w:szCs w:val="20"/>
          <w:lang w:eastAsia="tr-TR"/>
        </w:rPr>
        <w:t>ICD'si</w:t>
      </w:r>
      <w:proofErr w:type="spellEnd"/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 için 1A tavsiyesini desteklemeye devam etmektedir.</w:t>
      </w:r>
      <w:r w:rsidRPr="00A66608">
        <w:t xml:space="preserve"> </w:t>
      </w:r>
      <w:r w:rsidRPr="00A66608">
        <w:rPr>
          <w:rFonts w:ascii="Arial" w:eastAsia="Times New Roman" w:hAnsi="Arial" w:cs="Arial"/>
          <w:sz w:val="20"/>
          <w:szCs w:val="20"/>
          <w:lang w:eastAsia="tr-TR"/>
        </w:rPr>
        <w:t>Her iki belgenin yazarları, kılavuza yönelik tıbbi tedavideki gelişmelerin, kalp yetersizliği olan hastalarda ani kardiyak ölüm oranlarını azalttığı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fakat </w:t>
      </w:r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8E6D4B">
        <w:rPr>
          <w:rFonts w:ascii="Arial" w:eastAsia="Times New Roman" w:hAnsi="Arial" w:cs="Arial"/>
          <w:sz w:val="20"/>
          <w:szCs w:val="20"/>
          <w:lang w:eastAsia="tr-TR"/>
        </w:rPr>
        <w:t>muhtemelen</w:t>
      </w:r>
      <w:r w:rsidR="008E6D4B" w:rsidRPr="008E6D4B">
        <w:rPr>
          <w:rFonts w:ascii="Arial" w:eastAsia="Times New Roman" w:hAnsi="Arial" w:cs="Arial"/>
          <w:sz w:val="20"/>
          <w:szCs w:val="20"/>
          <w:lang w:eastAsia="tr-TR"/>
        </w:rPr>
        <w:t xml:space="preserve"> iskemik</w:t>
      </w:r>
      <w:r w:rsidR="008E6D4B">
        <w:rPr>
          <w:rFonts w:ascii="Arial" w:eastAsia="Times New Roman" w:hAnsi="Arial" w:cs="Arial"/>
          <w:sz w:val="20"/>
          <w:szCs w:val="20"/>
          <w:lang w:eastAsia="tr-TR"/>
        </w:rPr>
        <w:t>-</w:t>
      </w:r>
      <w:r w:rsidR="008E6D4B" w:rsidRPr="008E6D4B">
        <w:rPr>
          <w:rFonts w:ascii="Arial" w:eastAsia="Times New Roman" w:hAnsi="Arial" w:cs="Arial"/>
          <w:sz w:val="20"/>
          <w:szCs w:val="20"/>
          <w:lang w:eastAsia="tr-TR"/>
        </w:rPr>
        <w:t xml:space="preserve"> olmayan hastalığı </w:t>
      </w:r>
      <w:r w:rsidR="008E6D4B">
        <w:rPr>
          <w:rFonts w:ascii="Arial" w:eastAsia="Times New Roman" w:hAnsi="Arial" w:cs="Arial"/>
          <w:sz w:val="20"/>
          <w:szCs w:val="20"/>
          <w:lang w:eastAsia="tr-TR"/>
        </w:rPr>
        <w:t>bulunan</w:t>
      </w:r>
      <w:r w:rsidR="008E6D4B" w:rsidRPr="008E6D4B">
        <w:rPr>
          <w:rFonts w:ascii="Arial" w:eastAsia="Times New Roman" w:hAnsi="Arial" w:cs="Arial"/>
          <w:sz w:val="20"/>
          <w:szCs w:val="20"/>
          <w:lang w:eastAsia="tr-TR"/>
        </w:rPr>
        <w:t xml:space="preserve"> hastalarda daha büyük ölçüde</w:t>
      </w:r>
      <w:r w:rsidRPr="00A66608">
        <w:rPr>
          <w:rFonts w:ascii="Arial" w:eastAsia="Times New Roman" w:hAnsi="Arial" w:cs="Arial"/>
          <w:sz w:val="20"/>
          <w:szCs w:val="20"/>
          <w:lang w:eastAsia="tr-TR"/>
        </w:rPr>
        <w:t xml:space="preserve"> ortadan kaldırmadığı</w:t>
      </w:r>
      <w:r w:rsidR="008E6D4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A66608">
        <w:rPr>
          <w:rFonts w:ascii="Arial" w:eastAsia="Times New Roman" w:hAnsi="Arial" w:cs="Arial"/>
          <w:sz w:val="20"/>
          <w:szCs w:val="20"/>
          <w:lang w:eastAsia="tr-TR"/>
        </w:rPr>
        <w:t>kabul etmektedir.</w:t>
      </w:r>
    </w:p>
    <w:p w14:paraId="4EF67BAE" w14:textId="087E1AA8" w:rsidR="00A66608" w:rsidRPr="00572FEB" w:rsidRDefault="00A66608" w:rsidP="00A66608">
      <w:pPr>
        <w:spacing w:after="0"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tr-TR"/>
        </w:rPr>
      </w:pPr>
      <w:r w:rsidRPr="00572FEB">
        <w:rPr>
          <w:rFonts w:ascii="Arial" w:eastAsia="Times New Roman" w:hAnsi="Arial" w:cs="Arial"/>
          <w:iCs/>
          <w:sz w:val="24"/>
          <w:szCs w:val="24"/>
          <w:lang w:eastAsia="tr-TR"/>
        </w:rPr>
        <w:t xml:space="preserve">Yine de, aynı verilerin uzman kılavuz komiteleri tarafından farklı yorumları, özellikle </w:t>
      </w:r>
      <w:proofErr w:type="spellStart"/>
      <w:r w:rsidRPr="00572FEB">
        <w:rPr>
          <w:rFonts w:ascii="Arial" w:eastAsia="Times New Roman" w:hAnsi="Arial" w:cs="Arial"/>
          <w:iCs/>
          <w:sz w:val="24"/>
          <w:szCs w:val="24"/>
          <w:lang w:eastAsia="tr-TR"/>
        </w:rPr>
        <w:t>implante</w:t>
      </w:r>
      <w:proofErr w:type="spellEnd"/>
      <w:r w:rsidRPr="00572FEB">
        <w:rPr>
          <w:rFonts w:ascii="Arial" w:eastAsia="Times New Roman" w:hAnsi="Arial" w:cs="Arial"/>
          <w:iCs/>
          <w:sz w:val="24"/>
          <w:szCs w:val="24"/>
          <w:lang w:eastAsia="tr-TR"/>
        </w:rPr>
        <w:t xml:space="preserve"> edilmiş bir cihaz kadar önemli bir </w:t>
      </w:r>
      <w:r w:rsidR="008E6D4B" w:rsidRPr="00572FEB">
        <w:rPr>
          <w:rFonts w:ascii="Arial" w:eastAsia="Times New Roman" w:hAnsi="Arial" w:cs="Arial"/>
          <w:iCs/>
          <w:sz w:val="24"/>
          <w:szCs w:val="24"/>
          <w:lang w:eastAsia="tr-TR"/>
        </w:rPr>
        <w:t>tedavi</w:t>
      </w:r>
      <w:r w:rsidR="00FB44BC" w:rsidRPr="00572FEB">
        <w:rPr>
          <w:rFonts w:ascii="Arial" w:eastAsia="Times New Roman" w:hAnsi="Arial" w:cs="Arial"/>
          <w:iCs/>
          <w:sz w:val="24"/>
          <w:szCs w:val="24"/>
          <w:lang w:eastAsia="tr-TR"/>
        </w:rPr>
        <w:t>yle</w:t>
      </w:r>
      <w:r w:rsidRPr="00572FEB">
        <w:rPr>
          <w:rFonts w:ascii="Arial" w:eastAsia="Times New Roman" w:hAnsi="Arial" w:cs="Arial"/>
          <w:iCs/>
          <w:sz w:val="24"/>
          <w:szCs w:val="24"/>
          <w:lang w:eastAsia="tr-TR"/>
        </w:rPr>
        <w:t xml:space="preserve"> ilgili olduğu</w:t>
      </w:r>
      <w:r w:rsidR="00572FEB">
        <w:rPr>
          <w:rFonts w:ascii="Arial" w:eastAsia="Times New Roman" w:hAnsi="Arial" w:cs="Arial"/>
          <w:iCs/>
          <w:sz w:val="24"/>
          <w:szCs w:val="24"/>
          <w:lang w:eastAsia="tr-TR"/>
        </w:rPr>
        <w:t>ndan</w:t>
      </w:r>
      <w:r w:rsidRPr="00572FEB">
        <w:rPr>
          <w:rFonts w:ascii="Arial" w:eastAsia="Times New Roman" w:hAnsi="Arial" w:cs="Arial"/>
          <w:iCs/>
          <w:sz w:val="24"/>
          <w:szCs w:val="24"/>
          <w:lang w:eastAsia="tr-TR"/>
        </w:rPr>
        <w:t xml:space="preserve"> klinisyenler için kafa karıştırıcı ve hastalar için üzücü olabilir.</w:t>
      </w:r>
    </w:p>
    <w:p w14:paraId="60F3AB55" w14:textId="77777777" w:rsidR="00A66608" w:rsidRDefault="00A66608" w:rsidP="00A6660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highlight w:val="yellow"/>
          <w:lang w:eastAsia="tr-TR"/>
        </w:rPr>
      </w:pPr>
    </w:p>
    <w:p w14:paraId="164D8EC9" w14:textId="5E311757" w:rsidR="00363EEF" w:rsidRDefault="00DC58A0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DC58A0">
        <w:rPr>
          <w:rFonts w:ascii="Arial" w:eastAsia="Times New Roman" w:hAnsi="Arial" w:cs="Arial"/>
          <w:sz w:val="20"/>
          <w:szCs w:val="20"/>
          <w:lang w:eastAsia="tr-TR"/>
        </w:rPr>
        <w:t>İki kılavuz arasındaki farklı tavsiyeleri hangi faktörler açıklayabilir?</w:t>
      </w:r>
      <w:r w:rsidRPr="00DC58A0">
        <w:t xml:space="preserve"> </w:t>
      </w:r>
      <w:r w:rsidRPr="00DC58A0">
        <w:rPr>
          <w:rFonts w:ascii="Arial" w:eastAsia="Times New Roman" w:hAnsi="Arial" w:cs="Arial"/>
          <w:sz w:val="20"/>
          <w:szCs w:val="20"/>
          <w:lang w:eastAsia="tr-TR"/>
        </w:rPr>
        <w:t xml:space="preserve">Bunlar kesinlikle KY sendromunun </w:t>
      </w:r>
      <w:proofErr w:type="spellStart"/>
      <w:r w:rsidRPr="00DC58A0">
        <w:rPr>
          <w:rFonts w:ascii="Arial" w:eastAsia="Times New Roman" w:hAnsi="Arial" w:cs="Arial"/>
          <w:sz w:val="20"/>
          <w:szCs w:val="20"/>
          <w:lang w:eastAsia="tr-TR"/>
        </w:rPr>
        <w:t>patobiyolojisine</w:t>
      </w:r>
      <w:proofErr w:type="spellEnd"/>
      <w:r w:rsidRPr="00DC58A0">
        <w:rPr>
          <w:rFonts w:ascii="Arial" w:eastAsia="Times New Roman" w:hAnsi="Arial" w:cs="Arial"/>
          <w:sz w:val="20"/>
          <w:szCs w:val="20"/>
          <w:lang w:eastAsia="tr-TR"/>
        </w:rPr>
        <w:t xml:space="preserve"> dayalı değildir, daha çok söz konusu hasta popülasyonlarına ve bu hastalara bakım sağlayan sağlık bakım sistemlerinin ekonomik koşullarına dayalıdır.</w:t>
      </w:r>
    </w:p>
    <w:p w14:paraId="4A3D6D7A" w14:textId="466A3DEE" w:rsidR="00DC58A0" w:rsidRDefault="00DC58A0" w:rsidP="00DC58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C58A0">
        <w:rPr>
          <w:rFonts w:ascii="Arial" w:eastAsia="Times New Roman" w:hAnsi="Arial" w:cs="Arial"/>
          <w:sz w:val="20"/>
          <w:szCs w:val="20"/>
          <w:lang w:eastAsia="tr-TR"/>
        </w:rPr>
        <w:t>Halihazırda KY dünya çapında 26 milyondan fazla insanı etkiliyor</w:t>
      </w:r>
      <w:r w:rsidRPr="00DC58A0">
        <w:rPr>
          <w:rFonts w:ascii="Arial" w:eastAsia="Times New Roman" w:hAnsi="Arial" w:cs="Arial"/>
          <w:b/>
          <w:bCs/>
          <w:color w:val="C00000"/>
          <w:sz w:val="20"/>
          <w:szCs w:val="20"/>
          <w:vertAlign w:val="superscript"/>
          <w:lang w:eastAsia="tr-TR"/>
        </w:rPr>
        <w:t>4</w:t>
      </w:r>
      <w:r w:rsidRPr="00EF23E6"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 </w:t>
      </w:r>
      <w:r w:rsidRPr="00DC58A0">
        <w:rPr>
          <w:rFonts w:ascii="Arial" w:eastAsia="Times New Roman" w:hAnsi="Arial" w:cs="Arial"/>
          <w:sz w:val="20"/>
          <w:szCs w:val="20"/>
          <w:lang w:eastAsia="tr-TR"/>
        </w:rPr>
        <w:t>ve büyük ölçüde hastaneye yatış maliyeti nedeniyle yıllık ~108 milyar dolarlık küresel ekonomik yük.</w:t>
      </w:r>
      <w:r w:rsidRPr="00DC58A0">
        <w:t xml:space="preserve"> </w:t>
      </w:r>
      <w:r w:rsidRPr="00DC58A0">
        <w:rPr>
          <w:rFonts w:ascii="Arial" w:eastAsia="Times New Roman" w:hAnsi="Arial" w:cs="Arial"/>
          <w:sz w:val="20"/>
          <w:szCs w:val="20"/>
          <w:lang w:eastAsia="tr-TR"/>
        </w:rPr>
        <w:t>Birleşik Devletler, KY bakımına yapılan toplam küresel harcamaların %28,4'ü ile en büyük katkıyı yapan ülke iken, Avrupa %6,8'ini oluşturmaktadır</w:t>
      </w:r>
      <w:r w:rsidRPr="00EF23E6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>5</w:t>
      </w:r>
      <w:r>
        <w:rPr>
          <w:rFonts w:ascii="Arial" w:eastAsia="Times New Roman" w:hAnsi="Arial" w:cs="Arial"/>
          <w:color w:val="0070C0"/>
          <w:sz w:val="20"/>
          <w:szCs w:val="20"/>
          <w:lang w:eastAsia="tr-TR"/>
        </w:rPr>
        <w:t>.</w:t>
      </w:r>
      <w:r w:rsidRPr="00DC58A0"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 </w:t>
      </w:r>
      <w:r w:rsidR="0031719C" w:rsidRPr="00694770">
        <w:rPr>
          <w:rFonts w:ascii="Arial" w:eastAsia="Times New Roman" w:hAnsi="Arial" w:cs="Arial"/>
          <w:sz w:val="20"/>
          <w:szCs w:val="20"/>
          <w:lang w:eastAsia="tr-TR"/>
        </w:rPr>
        <w:t xml:space="preserve">Bu ekonomik yüke </w:t>
      </w:r>
      <w:r w:rsidRPr="00DC58A0">
        <w:rPr>
          <w:rFonts w:ascii="Arial" w:eastAsia="Times New Roman" w:hAnsi="Arial" w:cs="Arial"/>
          <w:sz w:val="20"/>
          <w:szCs w:val="20"/>
          <w:lang w:eastAsia="tr-TR"/>
        </w:rPr>
        <w:t xml:space="preserve">Uygun </w:t>
      </w:r>
      <w:r w:rsidR="00C0252C">
        <w:rPr>
          <w:rFonts w:ascii="Arial" w:eastAsia="Times New Roman" w:hAnsi="Arial" w:cs="Arial"/>
          <w:sz w:val="20"/>
          <w:szCs w:val="20"/>
          <w:lang w:eastAsia="tr-TR"/>
        </w:rPr>
        <w:t>olarak</w:t>
      </w:r>
      <w:r w:rsidRPr="00DC58A0">
        <w:rPr>
          <w:rFonts w:ascii="Arial" w:eastAsia="Times New Roman" w:hAnsi="Arial" w:cs="Arial"/>
          <w:sz w:val="20"/>
          <w:szCs w:val="20"/>
          <w:lang w:eastAsia="tr-TR"/>
        </w:rPr>
        <w:t>, ACCF/AHA/HFSA kılavuzları, söz konusu müdahale için yüksek kaliteli maliyet-etkililik çalışmalarının yayınlandığı seçilmiş tavsiyeler için değer ifadeleri içermektedir.</w:t>
      </w:r>
      <w:r w:rsidRPr="00DC58A0">
        <w:t xml:space="preserve"> </w:t>
      </w:r>
      <w:r w:rsidRPr="00DC58A0">
        <w:rPr>
          <w:rFonts w:ascii="Arial" w:eastAsia="Times New Roman" w:hAnsi="Arial" w:cs="Arial"/>
          <w:sz w:val="20"/>
          <w:szCs w:val="20"/>
          <w:lang w:eastAsia="tr-TR"/>
        </w:rPr>
        <w:t>Bu, yazarların takdir edilmesi gereken doğru yönde atılmış büyük bir adımdır.</w:t>
      </w:r>
    </w:p>
    <w:p w14:paraId="4E322DE2" w14:textId="77777777" w:rsidR="00694770" w:rsidRDefault="00694770" w:rsidP="00694770">
      <w:pPr>
        <w:pStyle w:val="ListeParagraf"/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</w:p>
    <w:p w14:paraId="5A0D8361" w14:textId="52BFAE9B" w:rsidR="00C0252C" w:rsidRDefault="00C0252C" w:rsidP="006947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694770">
        <w:rPr>
          <w:rFonts w:ascii="Arial" w:eastAsia="Times New Roman" w:hAnsi="Arial" w:cs="Arial"/>
          <w:sz w:val="20"/>
          <w:szCs w:val="20"/>
          <w:lang w:eastAsia="tr-TR"/>
        </w:rPr>
        <w:t xml:space="preserve">Ne </w:t>
      </w:r>
      <w:proofErr w:type="spellStart"/>
      <w:r w:rsidRPr="00694770">
        <w:rPr>
          <w:rFonts w:ascii="Arial" w:eastAsia="Times New Roman" w:hAnsi="Arial" w:cs="Arial"/>
          <w:sz w:val="20"/>
          <w:szCs w:val="20"/>
          <w:lang w:eastAsia="tr-TR"/>
        </w:rPr>
        <w:t>ARNI'ler</w:t>
      </w:r>
      <w:proofErr w:type="spellEnd"/>
      <w:r w:rsidRPr="00694770">
        <w:rPr>
          <w:rFonts w:ascii="Arial" w:eastAsia="Times New Roman" w:hAnsi="Arial" w:cs="Arial"/>
          <w:sz w:val="20"/>
          <w:szCs w:val="20"/>
          <w:lang w:eastAsia="tr-TR"/>
        </w:rPr>
        <w:t xml:space="preserve"> ne de sodyum glukoz kotransporter-2 inhibitörleri jenerik olmasalar ve hastalar için önemli maliyetlere sahip olabilseler de, kısmen EF spektrumu boyunca tedavi edilen hastaların hastaneye yatışlarındaki önemli azalma nedeniyle her iki tedavi de yüksek ekonomik değer</w:t>
      </w:r>
      <w:r w:rsidR="00694770">
        <w:rPr>
          <w:rFonts w:ascii="Arial" w:eastAsia="Times New Roman" w:hAnsi="Arial" w:cs="Arial"/>
          <w:sz w:val="20"/>
          <w:szCs w:val="20"/>
          <w:lang w:eastAsia="tr-TR"/>
        </w:rPr>
        <w:t xml:space="preserve"> (kazanç)</w:t>
      </w:r>
      <w:r w:rsidRPr="00694770">
        <w:rPr>
          <w:rFonts w:ascii="Arial" w:eastAsia="Times New Roman" w:hAnsi="Arial" w:cs="Arial"/>
          <w:sz w:val="20"/>
          <w:szCs w:val="20"/>
          <w:lang w:eastAsia="tr-TR"/>
        </w:rPr>
        <w:t xml:space="preserve"> sağlar.</w:t>
      </w:r>
      <w:r w:rsidRPr="00694770">
        <w:t xml:space="preserve"> 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Benzer şekilde, Siyah Amerikalılar için daha yüksek hastaneye yatış oranı, morbidite ve mortalite üzerindeki etkileri göz önüne alındığında, muhtemelen bu alt grupta </w:t>
      </w:r>
      <w:proofErr w:type="spellStart"/>
      <w:r w:rsidR="00694770" w:rsidRPr="00CA6DBD">
        <w:rPr>
          <w:rFonts w:ascii="Arial" w:eastAsia="Times New Roman" w:hAnsi="Arial" w:cs="Arial"/>
          <w:sz w:val="20"/>
          <w:szCs w:val="20"/>
          <w:lang w:eastAsia="tr-TR"/>
        </w:rPr>
        <w:t>H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>idralazin-</w:t>
      </w:r>
      <w:r w:rsidR="00694770" w:rsidRPr="00CA6DBD">
        <w:rPr>
          <w:rFonts w:ascii="Arial" w:eastAsia="Times New Roman" w:hAnsi="Arial" w:cs="Arial"/>
          <w:sz w:val="20"/>
          <w:szCs w:val="20"/>
          <w:lang w:eastAsia="tr-TR"/>
        </w:rPr>
        <w:t>İ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>zosorbid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694770" w:rsidRPr="00CA6DBD">
        <w:rPr>
          <w:rFonts w:ascii="Arial" w:eastAsia="Times New Roman" w:hAnsi="Arial" w:cs="Arial"/>
          <w:sz w:val="20"/>
          <w:szCs w:val="20"/>
          <w:lang w:eastAsia="tr-TR"/>
        </w:rPr>
        <w:t>D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>initrat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için daha yüksek tavsiye seviyesini haklı çıkarmaktadır.</w:t>
      </w:r>
      <w:r w:rsidRPr="00CA6DBD">
        <w:t xml:space="preserve"> 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Çağdaş KY kılavuzuna yönelik tıbbi tedavi 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lastRenderedPageBreak/>
        <w:t xml:space="preserve">ortamında primer korunma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ICD'sinin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mortalite yararını yeniden değerlendirmek için daha fazla denemeye ihtiyaç duyulmasına rağmen</w:t>
      </w:r>
      <w:r w:rsidR="00CA6DBD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(</w:t>
      </w:r>
      <w:r w:rsidR="00CA6DBD" w:rsidRPr="00CA6DB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tr-TR"/>
        </w:rPr>
        <w:t>***!</w:t>
      </w:r>
      <w:r w:rsidR="00CA6DBD">
        <w:rPr>
          <w:rFonts w:ascii="Arial" w:eastAsia="Times New Roman" w:hAnsi="Arial" w:cs="Arial"/>
          <w:color w:val="0070C0"/>
          <w:sz w:val="20"/>
          <w:szCs w:val="20"/>
          <w:lang w:eastAsia="tr-TR"/>
        </w:rPr>
        <w:t>)</w:t>
      </w:r>
      <w:r w:rsidRPr="00694770"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, 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>iskemik ve iskemik</w:t>
      </w:r>
      <w:r w:rsidR="00CA6DBD">
        <w:rPr>
          <w:rFonts w:ascii="Arial" w:eastAsia="Times New Roman" w:hAnsi="Arial" w:cs="Arial"/>
          <w:sz w:val="20"/>
          <w:szCs w:val="20"/>
          <w:lang w:eastAsia="tr-TR"/>
        </w:rPr>
        <w:t>-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olmayan hastalığı olan hastalarda yaşamı tehdit eden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ventriküler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aritmi olasılığı yüksektir.</w:t>
      </w:r>
      <w:r w:rsidRPr="00CA6DBD">
        <w:t xml:space="preserve"> 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>Bu nedenle, bu tedavinin ACCF/AHA/HFSA tarafından yüksek ekonomik değere sahip olduğu kabul edilmektedir.</w:t>
      </w:r>
    </w:p>
    <w:p w14:paraId="1E9A4C53" w14:textId="206EC1BA" w:rsidR="00CA6DBD" w:rsidRDefault="00CA6DBD" w:rsidP="006947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14:paraId="1CEA33D4" w14:textId="77777777" w:rsidR="00CA6DBD" w:rsidRDefault="00CA6DBD" w:rsidP="00CA6DBD">
      <w:pPr>
        <w:spacing w:line="240" w:lineRule="auto"/>
      </w:pPr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Kıtalar arasında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CPG'yi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uyumlu hale getirmek ve evrensel bir KY tanımının tedavisine rehberlik edecek evrensel bir dizi tavsiye sağlamak için hangi ek verilere ihtiyaç vardır?</w:t>
      </w:r>
      <w:r w:rsidRPr="00CA6DBD">
        <w:t xml:space="preserve"> </w:t>
      </w:r>
    </w:p>
    <w:p w14:paraId="243F767B" w14:textId="1FE12E67" w:rsidR="003673A5" w:rsidRPr="00F81B8B" w:rsidRDefault="00CA6DBD" w:rsidP="003673A5">
      <w:pPr>
        <w:spacing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ACCF/AHA/HFSA kılavuzlarının desteklediği,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EF'si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normalin altında olanlarda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ARNI'ler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ve sodyum glukoz kotransporter-2 inhibitörlerinin yararı açıktır, ancak normal aralıkta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SVEF'si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olan kişiler arasında ek çalışmaya ihtiyaç vardır</w:t>
      </w:r>
      <w:r w:rsidR="003673A5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r w:rsidR="003673A5" w:rsidRPr="003673A5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tr-TR"/>
        </w:rPr>
        <w:t>***!)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CA6DBD">
        <w:t xml:space="preserve"> </w:t>
      </w:r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Ayrıca,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KYdEF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için bu dörtlü tedavi çağında primer korunma  </w:t>
      </w:r>
      <w:proofErr w:type="spellStart"/>
      <w:r w:rsidRPr="00CA6DBD">
        <w:rPr>
          <w:rFonts w:ascii="Arial" w:eastAsia="Times New Roman" w:hAnsi="Arial" w:cs="Arial"/>
          <w:sz w:val="20"/>
          <w:szCs w:val="20"/>
          <w:lang w:eastAsia="tr-TR"/>
        </w:rPr>
        <w:t>ICD'sinin</w:t>
      </w:r>
      <w:proofErr w:type="spellEnd"/>
      <w:r w:rsidRPr="00CA6DBD">
        <w:rPr>
          <w:rFonts w:ascii="Arial" w:eastAsia="Times New Roman" w:hAnsi="Arial" w:cs="Arial"/>
          <w:sz w:val="20"/>
          <w:szCs w:val="20"/>
          <w:lang w:eastAsia="tr-TR"/>
        </w:rPr>
        <w:t xml:space="preserve"> rolünün yeniden değerlendirilmesi açıkça garanti edilmektedir.</w:t>
      </w:r>
    </w:p>
    <w:p w14:paraId="540AD18A" w14:textId="1F922DB4" w:rsidR="00CA6DBD" w:rsidRPr="0014276C" w:rsidRDefault="0014276C" w:rsidP="0014276C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tr-TR"/>
        </w:rPr>
      </w:pPr>
      <w:r w:rsidRPr="0014276C">
        <w:rPr>
          <w:rFonts w:ascii="Arial" w:eastAsia="Times New Roman" w:hAnsi="Arial" w:cs="Arial"/>
          <w:i/>
          <w:iCs/>
          <w:sz w:val="24"/>
          <w:szCs w:val="24"/>
          <w:lang w:eastAsia="tr-TR"/>
        </w:rPr>
        <w:t>Bilimsel ilerlemenin hızı artmaya devam ederken,</w:t>
      </w:r>
      <w:r>
        <w:rPr>
          <w:rFonts w:ascii="Arial" w:eastAsia="Times New Roman" w:hAnsi="Arial" w:cs="Arial"/>
          <w:i/>
          <w:iCs/>
          <w:sz w:val="24"/>
          <w:szCs w:val="24"/>
          <w:lang w:eastAsia="tr-TR"/>
        </w:rPr>
        <w:t xml:space="preserve"> </w:t>
      </w:r>
      <w:r w:rsidRPr="0014276C">
        <w:rPr>
          <w:rFonts w:ascii="Arial" w:eastAsia="Times New Roman" w:hAnsi="Arial" w:cs="Arial"/>
          <w:i/>
          <w:iCs/>
          <w:sz w:val="24"/>
          <w:szCs w:val="24"/>
          <w:lang w:eastAsia="tr-TR"/>
        </w:rPr>
        <w:t>b</w:t>
      </w:r>
      <w:r w:rsidRPr="0014276C">
        <w:rPr>
          <w:rFonts w:ascii="Arial" w:eastAsia="Times New Roman" w:hAnsi="Arial" w:cs="Arial"/>
          <w:i/>
          <w:iCs/>
          <w:sz w:val="24"/>
          <w:szCs w:val="24"/>
          <w:lang w:eastAsia="tr-TR"/>
        </w:rPr>
        <w:t>u kılavuzların yaşayan belgeler olmasını sağlayan mekanizmaların varlığı</w:t>
      </w:r>
      <w:r w:rsidRPr="0014276C">
        <w:rPr>
          <w:rFonts w:ascii="Arial" w:eastAsia="Times New Roman" w:hAnsi="Arial" w:cs="Arial"/>
          <w:i/>
          <w:iCs/>
          <w:sz w:val="24"/>
          <w:szCs w:val="24"/>
          <w:lang w:eastAsia="tr-TR"/>
        </w:rPr>
        <w:t xml:space="preserve">, </w:t>
      </w:r>
      <w:r>
        <w:rPr>
          <w:rFonts w:ascii="Arial" w:eastAsia="Times New Roman" w:hAnsi="Arial" w:cs="Arial"/>
          <w:i/>
          <w:iCs/>
          <w:sz w:val="24"/>
          <w:szCs w:val="24"/>
          <w:lang w:eastAsia="tr-TR"/>
        </w:rPr>
        <w:t>y</w:t>
      </w:r>
      <w:r w:rsidRPr="0014276C">
        <w:rPr>
          <w:rFonts w:ascii="Arial" w:eastAsia="Times New Roman" w:hAnsi="Arial" w:cs="Arial"/>
          <w:i/>
          <w:iCs/>
          <w:sz w:val="24"/>
          <w:szCs w:val="24"/>
          <w:lang w:eastAsia="tr-TR"/>
        </w:rPr>
        <w:t>eni uygulama değiştiren veriler kullanıma sunuldukça düzenli güncellemeler gereklidir.</w:t>
      </w:r>
    </w:p>
    <w:p w14:paraId="2A92BA9B" w14:textId="77777777" w:rsidR="00C0252C" w:rsidRDefault="00C0252C" w:rsidP="00DC58A0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</w:p>
    <w:p w14:paraId="1C595321" w14:textId="032B06C1" w:rsidR="00DC58A0" w:rsidRDefault="003673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73A5">
        <w:rPr>
          <w:rFonts w:ascii="Times New Roman" w:hAnsi="Times New Roman" w:cs="Times New Roman"/>
          <w:b/>
          <w:bCs/>
          <w:sz w:val="28"/>
          <w:szCs w:val="28"/>
        </w:rPr>
        <w:t>Kaynaklar</w:t>
      </w:r>
    </w:p>
    <w:p w14:paraId="24AECAAB" w14:textId="523FE6AC" w:rsidR="003673A5" w:rsidRPr="003673A5" w:rsidRDefault="003673A5" w:rsidP="003673A5">
      <w:pPr>
        <w:pBdr>
          <w:bottom w:val="single" w:sz="4" w:space="1" w:color="auto"/>
        </w:pBdr>
        <w:shd w:val="clear" w:color="auto" w:fill="F2F2F2" w:themeFill="background1" w:themeFillShade="F2"/>
        <w:spacing w:after="330" w:line="24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tr-TR"/>
        </w:rPr>
      </w:pPr>
      <w:r w:rsidRPr="003673A5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tr-TR"/>
        </w:rPr>
        <w:t>Temel kaynak:</w:t>
      </w:r>
      <w:r>
        <w:rPr>
          <w:rFonts w:ascii="Times New Roman" w:eastAsia="Times New Roman" w:hAnsi="Times New Roman" w:cs="Times New Roman"/>
          <w:b/>
          <w:kern w:val="36"/>
          <w:lang w:eastAsia="tr-TR"/>
        </w:rPr>
        <w:t xml:space="preserve"> </w:t>
      </w:r>
      <w:proofErr w:type="spellStart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>Updated</w:t>
      </w:r>
      <w:proofErr w:type="spellEnd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 xml:space="preserve"> </w:t>
      </w:r>
      <w:proofErr w:type="spellStart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>Heart</w:t>
      </w:r>
      <w:proofErr w:type="spellEnd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 xml:space="preserve"> </w:t>
      </w:r>
      <w:proofErr w:type="spellStart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>Failure</w:t>
      </w:r>
      <w:proofErr w:type="spellEnd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 xml:space="preserve"> </w:t>
      </w:r>
      <w:proofErr w:type="spellStart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>Guidelines</w:t>
      </w:r>
      <w:proofErr w:type="spellEnd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 xml:space="preserve">: Time </w:t>
      </w:r>
      <w:proofErr w:type="spellStart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>for</w:t>
      </w:r>
      <w:proofErr w:type="spellEnd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 xml:space="preserve"> a </w:t>
      </w:r>
      <w:proofErr w:type="spellStart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>Refresh</w:t>
      </w:r>
      <w:proofErr w:type="spellEnd"/>
      <w:r w:rsidRPr="003673A5">
        <w:rPr>
          <w:rFonts w:ascii="Times New Roman" w:eastAsia="Times New Roman" w:hAnsi="Times New Roman" w:cs="Times New Roman"/>
          <w:bCs/>
          <w:kern w:val="36"/>
          <w:lang w:eastAsia="tr-TR"/>
        </w:rPr>
        <w:t xml:space="preserve">. </w:t>
      </w:r>
      <w:proofErr w:type="spellStart"/>
      <w:r w:rsidRPr="003673A5">
        <w:rPr>
          <w:rFonts w:ascii="Times New Roman" w:eastAsia="Times New Roman" w:hAnsi="Times New Roman" w:cs="Times New Roman"/>
          <w:bCs/>
          <w:lang w:eastAsia="tr-TR"/>
        </w:rPr>
        <w:t>Alanna</w:t>
      </w:r>
      <w:proofErr w:type="spellEnd"/>
      <w:r w:rsidRPr="003673A5">
        <w:rPr>
          <w:rFonts w:ascii="Times New Roman" w:eastAsia="Times New Roman" w:hAnsi="Times New Roman" w:cs="Times New Roman"/>
          <w:bCs/>
          <w:lang w:eastAsia="tr-TR"/>
        </w:rPr>
        <w:t xml:space="preserve"> A. Morris AA;  </w:t>
      </w:r>
      <w:proofErr w:type="spellStart"/>
      <w:r w:rsidRPr="003673A5">
        <w:rPr>
          <w:rFonts w:ascii="Times New Roman" w:eastAsia="Times New Roman" w:hAnsi="Times New Roman" w:cs="Times New Roman"/>
          <w:bCs/>
          <w:lang w:eastAsia="tr-TR"/>
        </w:rPr>
        <w:t>Butler</w:t>
      </w:r>
      <w:proofErr w:type="spellEnd"/>
      <w:r w:rsidRPr="003673A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J,</w:t>
      </w:r>
      <w:r w:rsidRPr="00C40C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 </w:t>
      </w:r>
      <w:proofErr w:type="spellStart"/>
      <w:r w:rsidRPr="00C40CD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tr-TR"/>
        </w:rPr>
        <w:t>Circulation</w:t>
      </w:r>
      <w:proofErr w:type="spellEnd"/>
      <w:r w:rsidRPr="00C40CD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tr-TR"/>
        </w:rPr>
        <w:t>. 2022;145(18):1371-1373</w:t>
      </w:r>
      <w:r w:rsidRPr="00C40CD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. </w:t>
      </w:r>
    </w:p>
    <w:p w14:paraId="5E68D1BA" w14:textId="77777777" w:rsidR="003673A5" w:rsidRPr="007D4210" w:rsidRDefault="003673A5" w:rsidP="003673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Heidenreich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P, Bozkurt B,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Aguilar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D, Allen LA,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Byun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J,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Colvin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MM,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Drazner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MH,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Dunlay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SM,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Evers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LR,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Fang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JC, et al. 2022 AHA/ACC/HFSA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guideline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for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the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management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: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executive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summary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. A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report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the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American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College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Cardiology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/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American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Association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Joint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Committee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on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Clinical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Practice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Guidelines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. </w:t>
      </w:r>
      <w:proofErr w:type="spellStart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>Circulation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. 2022;145:e895–e1032.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doi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: 10.1161/CIR.0000000000001063</w:t>
      </w:r>
    </w:p>
    <w:p w14:paraId="7642A296" w14:textId="77777777" w:rsidR="003673A5" w:rsidRPr="007D4210" w:rsidRDefault="003673A5" w:rsidP="003673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McDonagh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TA,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Metra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M, Adamo M, Gardner RS,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Baumbach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A,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Böhm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M,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Burri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H,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Butler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J,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Čelutkienė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J,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Chioncel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O, et al; ESC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Scientific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Document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Group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. 2021 ESC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guidelines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for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the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diagnosis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and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treatment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acute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and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chronic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. </w:t>
      </w:r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Eur </w:t>
      </w:r>
      <w:proofErr w:type="spellStart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 J</w:t>
      </w:r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. 2021;42:3599–3726.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doi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: 10.1093/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eurheartj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/ehab368</w:t>
      </w:r>
    </w:p>
    <w:p w14:paraId="75644269" w14:textId="77777777" w:rsidR="003673A5" w:rsidRPr="007D4210" w:rsidRDefault="003673A5" w:rsidP="003673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Bozkurt B,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Coats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AJ,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Tsutsui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H,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Abdelhamid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M,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Adamopoulos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S, Albert N,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Anker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SD,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Atherton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J,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Böhm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M,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Butler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J, et al. Universal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definition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and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classification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: a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report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the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Society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America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Association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the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European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Society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Cardiology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Japanese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Society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and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Writing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Committee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the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Universal Definition of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. </w:t>
      </w:r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J </w:t>
      </w:r>
      <w:proofErr w:type="spellStart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>Card</w:t>
      </w:r>
      <w:proofErr w:type="spellEnd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 Fail</w:t>
      </w:r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. 2021;27:387–413.</w:t>
      </w:r>
    </w:p>
    <w:p w14:paraId="2254A1F8" w14:textId="77777777" w:rsidR="003673A5" w:rsidRPr="007D4210" w:rsidRDefault="003673A5" w:rsidP="003673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Ponikowski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P,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Anker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SD,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AlHabib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KF,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Cowie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MR, Force TL, Hu S,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Jaarsma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T,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Krum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H,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Rastogi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V,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Rohde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LE, et al.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: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preventing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disease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and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death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worldwide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. </w:t>
      </w:r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ESC </w:t>
      </w:r>
      <w:proofErr w:type="spellStart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 Fail</w:t>
      </w:r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. 2014;1:4–25.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doi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: 10.1002/ehf2.12005</w:t>
      </w:r>
    </w:p>
    <w:p w14:paraId="23D66942" w14:textId="77777777" w:rsidR="003673A5" w:rsidRPr="007D4210" w:rsidRDefault="003673A5" w:rsidP="003673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Lesyuk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W,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Kriza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C,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Kolominsky-Rabas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P.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Cost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-of-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illness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studies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in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heart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failure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: a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systematic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review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2004–2016. </w:t>
      </w:r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BMC </w:t>
      </w:r>
      <w:proofErr w:type="spellStart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>Cardiovasc</w:t>
      </w:r>
      <w:proofErr w:type="spellEnd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 xml:space="preserve"> </w:t>
      </w:r>
      <w:proofErr w:type="spellStart"/>
      <w:r w:rsidRPr="007D421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tr-TR"/>
        </w:rPr>
        <w:t>Disord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. 2018;18:74. </w:t>
      </w:r>
      <w:proofErr w:type="spellStart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doi</w:t>
      </w:r>
      <w:proofErr w:type="spellEnd"/>
      <w:r w:rsidRPr="007D4210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: 10.1186/s12872-018-0</w:t>
      </w:r>
    </w:p>
    <w:p w14:paraId="4B06C964" w14:textId="77777777" w:rsidR="003673A5" w:rsidRPr="00DC58A0" w:rsidRDefault="003673A5"/>
    <w:sectPr w:rsidR="003673A5" w:rsidRPr="00DC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773"/>
    <w:multiLevelType w:val="hybridMultilevel"/>
    <w:tmpl w:val="A5FEA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3EA2"/>
    <w:multiLevelType w:val="multilevel"/>
    <w:tmpl w:val="25EC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32912"/>
    <w:multiLevelType w:val="hybridMultilevel"/>
    <w:tmpl w:val="C2D84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0912">
    <w:abstractNumId w:val="2"/>
  </w:num>
  <w:num w:numId="2" w16cid:durableId="1588926164">
    <w:abstractNumId w:val="0"/>
  </w:num>
  <w:num w:numId="3" w16cid:durableId="149463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F1"/>
    <w:rsid w:val="000B6B24"/>
    <w:rsid w:val="0014276C"/>
    <w:rsid w:val="002429D3"/>
    <w:rsid w:val="00305C50"/>
    <w:rsid w:val="0031719C"/>
    <w:rsid w:val="00363EEF"/>
    <w:rsid w:val="003673A5"/>
    <w:rsid w:val="00447BF1"/>
    <w:rsid w:val="00466E84"/>
    <w:rsid w:val="00511FE8"/>
    <w:rsid w:val="00572FEB"/>
    <w:rsid w:val="005E2CA1"/>
    <w:rsid w:val="00694770"/>
    <w:rsid w:val="008B1894"/>
    <w:rsid w:val="008E6D4B"/>
    <w:rsid w:val="00A66608"/>
    <w:rsid w:val="00B35346"/>
    <w:rsid w:val="00B76E23"/>
    <w:rsid w:val="00C0252C"/>
    <w:rsid w:val="00CA6DBD"/>
    <w:rsid w:val="00D86619"/>
    <w:rsid w:val="00DC58A0"/>
    <w:rsid w:val="00E53973"/>
    <w:rsid w:val="00E60C29"/>
    <w:rsid w:val="00ED0C28"/>
    <w:rsid w:val="00EE0A90"/>
    <w:rsid w:val="00F81B8B"/>
    <w:rsid w:val="00FA5D49"/>
    <w:rsid w:val="00FB44B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1476"/>
  <w15:chartTrackingRefBased/>
  <w15:docId w15:val="{6BC7B5A5-DE45-40D8-91F8-2D5AD2CB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B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enar</dc:creator>
  <cp:keywords/>
  <dc:description/>
  <cp:lastModifiedBy>rasim enar</cp:lastModifiedBy>
  <cp:revision>17</cp:revision>
  <dcterms:created xsi:type="dcterms:W3CDTF">2022-07-31T18:43:00Z</dcterms:created>
  <dcterms:modified xsi:type="dcterms:W3CDTF">2022-09-05T19:15:00Z</dcterms:modified>
</cp:coreProperties>
</file>