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97" w:rsidRPr="00562619" w:rsidRDefault="008F2E6E" w:rsidP="00BB20E6">
      <w:pPr>
        <w:spacing w:after="33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</w:pPr>
      <w:r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2020- CCS/CHFS </w:t>
      </w:r>
      <w:r w:rsidR="0057504B"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KY</w:t>
      </w:r>
      <w:r w:rsidR="00945536"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 Kılavuzu </w:t>
      </w:r>
      <w:r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ve </w:t>
      </w:r>
      <w:proofErr w:type="gramStart"/>
      <w:r w:rsidR="0057504B"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KY  Tedavisinin</w:t>
      </w:r>
      <w:proofErr w:type="gramEnd"/>
      <w:r w:rsidR="0057504B"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 Optimizasyonu için </w:t>
      </w:r>
      <w:r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2021- ACC</w:t>
      </w:r>
      <w:r w:rsidR="00673E97"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 </w:t>
      </w:r>
      <w:r w:rsidR="00945536"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Uzlaşı Karar Yolu</w:t>
      </w:r>
      <w:r w:rsidR="00673E97" w:rsidRPr="005626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 </w:t>
      </w:r>
      <w:bookmarkStart w:id="0" w:name="_GoBack"/>
      <w:bookmarkEnd w:id="0"/>
    </w:p>
    <w:p w:rsidR="00BB20E6" w:rsidRDefault="00BB20E6" w:rsidP="00807488">
      <w:pPr>
        <w:pStyle w:val="NormalWeb"/>
        <w:rPr>
          <w:b/>
          <w:bCs/>
          <w:i/>
          <w:color w:val="FF0000"/>
          <w:sz w:val="32"/>
          <w:szCs w:val="32"/>
        </w:rPr>
      </w:pPr>
    </w:p>
    <w:p w:rsidR="00807488" w:rsidRPr="005131D6" w:rsidRDefault="005F57DC" w:rsidP="00C445ED">
      <w:pPr>
        <w:pStyle w:val="NormalWeb"/>
        <w:shd w:val="clear" w:color="auto" w:fill="F2F2F2" w:themeFill="background1" w:themeFillShade="F2"/>
        <w:rPr>
          <w:bCs/>
          <w:i/>
          <w:sz w:val="28"/>
          <w:szCs w:val="28"/>
        </w:rPr>
      </w:pPr>
      <w:r w:rsidRPr="005131D6">
        <w:rPr>
          <w:b/>
          <w:bCs/>
          <w:i/>
          <w:color w:val="FF0000"/>
          <w:sz w:val="32"/>
          <w:szCs w:val="32"/>
        </w:rPr>
        <w:t>2020- CCS</w:t>
      </w:r>
      <w:r w:rsidRPr="005131D6">
        <w:rPr>
          <w:b/>
          <w:bCs/>
          <w:i/>
          <w:color w:val="FF0000"/>
          <w:sz w:val="28"/>
          <w:szCs w:val="28"/>
        </w:rPr>
        <w:t xml:space="preserve"> </w:t>
      </w:r>
      <w:r w:rsidRPr="005131D6">
        <w:rPr>
          <w:bCs/>
          <w:i/>
          <w:sz w:val="28"/>
          <w:szCs w:val="28"/>
        </w:rPr>
        <w:t>(</w:t>
      </w:r>
      <w:proofErr w:type="spellStart"/>
      <w:r w:rsidRPr="005131D6">
        <w:rPr>
          <w:bCs/>
          <w:i/>
          <w:sz w:val="28"/>
          <w:szCs w:val="28"/>
        </w:rPr>
        <w:t>Canadian</w:t>
      </w:r>
      <w:proofErr w:type="spellEnd"/>
      <w:r w:rsidRPr="005131D6">
        <w:rPr>
          <w:bCs/>
          <w:i/>
          <w:sz w:val="28"/>
          <w:szCs w:val="28"/>
        </w:rPr>
        <w:t xml:space="preserve"> </w:t>
      </w:r>
      <w:proofErr w:type="spellStart"/>
      <w:r w:rsidRPr="005131D6">
        <w:rPr>
          <w:bCs/>
          <w:i/>
          <w:sz w:val="28"/>
          <w:szCs w:val="28"/>
        </w:rPr>
        <w:t>Cardiovascular</w:t>
      </w:r>
      <w:proofErr w:type="spellEnd"/>
      <w:r w:rsidRPr="005131D6">
        <w:rPr>
          <w:bCs/>
          <w:i/>
          <w:sz w:val="28"/>
          <w:szCs w:val="28"/>
        </w:rPr>
        <w:t xml:space="preserve"> </w:t>
      </w:r>
      <w:proofErr w:type="spellStart"/>
      <w:r w:rsidRPr="005131D6">
        <w:rPr>
          <w:bCs/>
          <w:i/>
          <w:sz w:val="28"/>
          <w:szCs w:val="28"/>
        </w:rPr>
        <w:t>Society</w:t>
      </w:r>
      <w:proofErr w:type="spellEnd"/>
      <w:r w:rsidRPr="005131D6">
        <w:rPr>
          <w:bCs/>
          <w:i/>
          <w:sz w:val="28"/>
          <w:szCs w:val="28"/>
        </w:rPr>
        <w:t xml:space="preserve">) </w:t>
      </w:r>
      <w:r w:rsidRPr="005131D6">
        <w:rPr>
          <w:b/>
          <w:bCs/>
          <w:i/>
          <w:color w:val="FF0000"/>
          <w:sz w:val="32"/>
          <w:szCs w:val="32"/>
        </w:rPr>
        <w:t>ve SHFS</w:t>
      </w:r>
      <w:r w:rsidRPr="005131D6">
        <w:rPr>
          <w:b/>
          <w:bCs/>
          <w:i/>
          <w:color w:val="FF0000"/>
          <w:sz w:val="28"/>
          <w:szCs w:val="28"/>
        </w:rPr>
        <w:t xml:space="preserve"> </w:t>
      </w:r>
      <w:proofErr w:type="gramStart"/>
      <w:r w:rsidRPr="005131D6">
        <w:rPr>
          <w:bCs/>
          <w:i/>
          <w:sz w:val="28"/>
          <w:szCs w:val="28"/>
        </w:rPr>
        <w:t>(</w:t>
      </w:r>
      <w:proofErr w:type="spellStart"/>
      <w:proofErr w:type="gramEnd"/>
      <w:r w:rsidRPr="005131D6">
        <w:rPr>
          <w:bCs/>
          <w:i/>
          <w:sz w:val="28"/>
          <w:szCs w:val="28"/>
        </w:rPr>
        <w:t>Canadian</w:t>
      </w:r>
      <w:proofErr w:type="spellEnd"/>
      <w:r w:rsidRPr="005131D6">
        <w:rPr>
          <w:bCs/>
          <w:i/>
          <w:sz w:val="28"/>
          <w:szCs w:val="28"/>
        </w:rPr>
        <w:t xml:space="preserve"> </w:t>
      </w:r>
      <w:proofErr w:type="spellStart"/>
      <w:r w:rsidRPr="005131D6">
        <w:rPr>
          <w:bCs/>
          <w:i/>
          <w:sz w:val="28"/>
          <w:szCs w:val="28"/>
        </w:rPr>
        <w:t>Heart</w:t>
      </w:r>
      <w:proofErr w:type="spellEnd"/>
      <w:r w:rsidRPr="005131D6">
        <w:rPr>
          <w:bCs/>
          <w:i/>
          <w:sz w:val="28"/>
          <w:szCs w:val="28"/>
        </w:rPr>
        <w:t xml:space="preserve"> </w:t>
      </w:r>
    </w:p>
    <w:p w:rsidR="00807488" w:rsidRPr="005131D6" w:rsidRDefault="00807488" w:rsidP="00C445ED">
      <w:pPr>
        <w:shd w:val="clear" w:color="auto" w:fill="F2F2F2" w:themeFill="background1" w:themeFillShade="F2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tr-TR"/>
        </w:rPr>
      </w:pPr>
      <w:proofErr w:type="spellStart"/>
      <w:r w:rsidRPr="005131D6">
        <w:rPr>
          <w:rFonts w:ascii="Times New Roman" w:eastAsia="Times New Roman" w:hAnsi="Times New Roman" w:cs="Times New Roman"/>
          <w:bCs/>
          <w:i/>
          <w:sz w:val="28"/>
          <w:szCs w:val="28"/>
          <w:lang w:eastAsia="tr-TR"/>
        </w:rPr>
        <w:t>Failure</w:t>
      </w:r>
      <w:proofErr w:type="spellEnd"/>
      <w:r w:rsidRPr="005131D6">
        <w:rPr>
          <w:rFonts w:ascii="Times New Roman" w:eastAsia="Times New Roman" w:hAnsi="Times New Roman" w:cs="Times New Roman"/>
          <w:bCs/>
          <w:i/>
          <w:sz w:val="28"/>
          <w:szCs w:val="28"/>
          <w:lang w:eastAsia="tr-TR"/>
        </w:rPr>
        <w:t xml:space="preserve"> </w:t>
      </w:r>
      <w:proofErr w:type="spellStart"/>
      <w:r w:rsidRPr="005131D6">
        <w:rPr>
          <w:rFonts w:ascii="Times New Roman" w:eastAsia="Times New Roman" w:hAnsi="Times New Roman" w:cs="Times New Roman"/>
          <w:bCs/>
          <w:i/>
          <w:sz w:val="28"/>
          <w:szCs w:val="28"/>
          <w:lang w:eastAsia="tr-TR"/>
        </w:rPr>
        <w:t>Society</w:t>
      </w:r>
      <w:proofErr w:type="spellEnd"/>
      <w:proofErr w:type="gramStart"/>
      <w:r w:rsidRPr="005131D6">
        <w:rPr>
          <w:rFonts w:ascii="Times New Roman" w:eastAsia="Times New Roman" w:hAnsi="Times New Roman" w:cs="Times New Roman"/>
          <w:bCs/>
          <w:i/>
          <w:sz w:val="28"/>
          <w:szCs w:val="28"/>
          <w:lang w:eastAsia="tr-TR"/>
        </w:rPr>
        <w:t>)</w:t>
      </w:r>
      <w:proofErr w:type="gramEnd"/>
      <w:r w:rsidRPr="005131D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tr-TR"/>
        </w:rPr>
        <w:t xml:space="preserve"> </w:t>
      </w:r>
      <w:r w:rsidRPr="005131D6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tr-TR"/>
        </w:rPr>
        <w:t>Kalp Yetersizliği Klinik Pratik Kılavuz</w:t>
      </w:r>
    </w:p>
    <w:p w:rsidR="00807488" w:rsidRPr="004E09F4" w:rsidRDefault="00807488" w:rsidP="00C445ED">
      <w:pPr>
        <w:pStyle w:val="NormalWeb"/>
        <w:pBdr>
          <w:bottom w:val="single" w:sz="4" w:space="1" w:color="auto"/>
        </w:pBdr>
        <w:rPr>
          <w:sz w:val="20"/>
          <w:szCs w:val="20"/>
        </w:rPr>
      </w:pPr>
      <w:proofErr w:type="gramStart"/>
      <w:r w:rsidRPr="004E09F4">
        <w:rPr>
          <w:bCs/>
          <w:sz w:val="20"/>
          <w:szCs w:val="20"/>
        </w:rPr>
        <w:t>(</w:t>
      </w:r>
      <w:proofErr w:type="gramEnd"/>
      <w:r w:rsidRPr="004E09F4">
        <w:rPr>
          <w:b/>
          <w:i/>
          <w:sz w:val="20"/>
          <w:szCs w:val="20"/>
        </w:rPr>
        <w:t xml:space="preserve">CCS/CHFS </w:t>
      </w:r>
      <w:proofErr w:type="spellStart"/>
      <w:r w:rsidRPr="004E09F4">
        <w:rPr>
          <w:b/>
          <w:i/>
          <w:sz w:val="20"/>
          <w:szCs w:val="20"/>
        </w:rPr>
        <w:t>Heart</w:t>
      </w:r>
      <w:proofErr w:type="spellEnd"/>
      <w:r w:rsidRPr="004E09F4">
        <w:rPr>
          <w:b/>
          <w:i/>
          <w:sz w:val="20"/>
          <w:szCs w:val="20"/>
        </w:rPr>
        <w:t xml:space="preserve"> </w:t>
      </w:r>
      <w:proofErr w:type="spellStart"/>
      <w:r w:rsidRPr="004E09F4">
        <w:rPr>
          <w:b/>
          <w:i/>
          <w:sz w:val="20"/>
          <w:szCs w:val="20"/>
        </w:rPr>
        <w:t>Failure</w:t>
      </w:r>
      <w:proofErr w:type="spellEnd"/>
      <w:r w:rsidRPr="004E09F4">
        <w:rPr>
          <w:b/>
          <w:i/>
          <w:sz w:val="20"/>
          <w:szCs w:val="20"/>
        </w:rPr>
        <w:t xml:space="preserve"> </w:t>
      </w:r>
      <w:proofErr w:type="spellStart"/>
      <w:r w:rsidRPr="004E09F4">
        <w:rPr>
          <w:b/>
          <w:i/>
          <w:sz w:val="20"/>
          <w:szCs w:val="20"/>
        </w:rPr>
        <w:t>Guidelines</w:t>
      </w:r>
      <w:proofErr w:type="spellEnd"/>
      <w:r w:rsidRPr="004E09F4">
        <w:rPr>
          <w:b/>
          <w:i/>
          <w:sz w:val="20"/>
          <w:szCs w:val="20"/>
        </w:rPr>
        <w:t xml:space="preserve">: </w:t>
      </w:r>
      <w:proofErr w:type="spellStart"/>
      <w:r w:rsidRPr="004E09F4">
        <w:rPr>
          <w:b/>
          <w:i/>
          <w:sz w:val="20"/>
          <w:szCs w:val="20"/>
        </w:rPr>
        <w:t>Clinical</w:t>
      </w:r>
      <w:proofErr w:type="spellEnd"/>
      <w:r w:rsidRPr="004E09F4">
        <w:rPr>
          <w:b/>
          <w:i/>
          <w:sz w:val="20"/>
          <w:szCs w:val="20"/>
        </w:rPr>
        <w:t xml:space="preserve"> Trial Update on </w:t>
      </w:r>
      <w:proofErr w:type="spellStart"/>
      <w:r w:rsidRPr="004E09F4">
        <w:rPr>
          <w:b/>
          <w:i/>
          <w:sz w:val="20"/>
          <w:szCs w:val="20"/>
        </w:rPr>
        <w:t>Functional</w:t>
      </w:r>
      <w:proofErr w:type="spellEnd"/>
      <w:r w:rsidRPr="004E09F4">
        <w:rPr>
          <w:b/>
          <w:i/>
          <w:sz w:val="20"/>
          <w:szCs w:val="20"/>
        </w:rPr>
        <w:t xml:space="preserve"> Mitral </w:t>
      </w:r>
      <w:proofErr w:type="spellStart"/>
      <w:r w:rsidRPr="004E09F4">
        <w:rPr>
          <w:b/>
          <w:i/>
          <w:sz w:val="20"/>
          <w:szCs w:val="20"/>
        </w:rPr>
        <w:t>Regurgitation</w:t>
      </w:r>
      <w:proofErr w:type="spellEnd"/>
      <w:r w:rsidRPr="004E09F4">
        <w:rPr>
          <w:b/>
          <w:i/>
          <w:sz w:val="20"/>
          <w:szCs w:val="20"/>
        </w:rPr>
        <w:t xml:space="preserve">, SGLT2 </w:t>
      </w:r>
      <w:proofErr w:type="spellStart"/>
      <w:r w:rsidRPr="004E09F4">
        <w:rPr>
          <w:b/>
          <w:i/>
          <w:sz w:val="20"/>
          <w:szCs w:val="20"/>
        </w:rPr>
        <w:t>Inhibitors</w:t>
      </w:r>
      <w:proofErr w:type="spellEnd"/>
      <w:r w:rsidRPr="004E09F4">
        <w:rPr>
          <w:b/>
          <w:i/>
          <w:sz w:val="20"/>
          <w:szCs w:val="20"/>
        </w:rPr>
        <w:t xml:space="preserve">, ARNI in </w:t>
      </w:r>
      <w:proofErr w:type="spellStart"/>
      <w:r w:rsidRPr="004E09F4">
        <w:rPr>
          <w:b/>
          <w:i/>
          <w:sz w:val="20"/>
          <w:szCs w:val="20"/>
        </w:rPr>
        <w:t>HFpEF</w:t>
      </w:r>
      <w:proofErr w:type="spellEnd"/>
      <w:r w:rsidRPr="004E09F4">
        <w:rPr>
          <w:b/>
          <w:i/>
          <w:sz w:val="20"/>
          <w:szCs w:val="20"/>
        </w:rPr>
        <w:t xml:space="preserve">, </w:t>
      </w:r>
      <w:proofErr w:type="spellStart"/>
      <w:r w:rsidRPr="004E09F4">
        <w:rPr>
          <w:b/>
          <w:i/>
          <w:sz w:val="20"/>
          <w:szCs w:val="20"/>
        </w:rPr>
        <w:t>and</w:t>
      </w:r>
      <w:proofErr w:type="spellEnd"/>
      <w:r w:rsidRPr="004E09F4">
        <w:rPr>
          <w:b/>
          <w:i/>
          <w:sz w:val="20"/>
          <w:szCs w:val="20"/>
        </w:rPr>
        <w:t xml:space="preserve"> </w:t>
      </w:r>
      <w:proofErr w:type="spellStart"/>
      <w:r w:rsidRPr="004E09F4">
        <w:rPr>
          <w:b/>
          <w:i/>
          <w:sz w:val="20"/>
          <w:szCs w:val="20"/>
        </w:rPr>
        <w:t>Tafamidis</w:t>
      </w:r>
      <w:proofErr w:type="spellEnd"/>
      <w:r w:rsidRPr="004E09F4">
        <w:rPr>
          <w:b/>
          <w:i/>
          <w:sz w:val="20"/>
          <w:szCs w:val="20"/>
        </w:rPr>
        <w:t xml:space="preserve"> in </w:t>
      </w:r>
      <w:proofErr w:type="spellStart"/>
      <w:r w:rsidRPr="004E09F4">
        <w:rPr>
          <w:b/>
          <w:i/>
          <w:sz w:val="20"/>
          <w:szCs w:val="20"/>
        </w:rPr>
        <w:t>Amyloidosis</w:t>
      </w:r>
      <w:proofErr w:type="spellEnd"/>
      <w:r w:rsidRPr="004E09F4">
        <w:rPr>
          <w:b/>
          <w:i/>
          <w:sz w:val="20"/>
          <w:szCs w:val="20"/>
        </w:rPr>
        <w:t xml:space="preserve">. </w:t>
      </w:r>
      <w:proofErr w:type="spellStart"/>
      <w:r w:rsidRPr="004E09F4">
        <w:rPr>
          <w:b/>
          <w:i/>
          <w:sz w:val="20"/>
          <w:szCs w:val="20"/>
        </w:rPr>
        <w:t>Canadian</w:t>
      </w:r>
      <w:proofErr w:type="spellEnd"/>
      <w:r w:rsidRPr="004E09F4">
        <w:rPr>
          <w:b/>
          <w:i/>
          <w:sz w:val="20"/>
          <w:szCs w:val="20"/>
        </w:rPr>
        <w:t xml:space="preserve"> </w:t>
      </w:r>
      <w:proofErr w:type="spellStart"/>
      <w:r w:rsidRPr="004E09F4">
        <w:rPr>
          <w:b/>
          <w:i/>
          <w:sz w:val="20"/>
          <w:szCs w:val="20"/>
        </w:rPr>
        <w:t>Journal</w:t>
      </w:r>
      <w:proofErr w:type="spellEnd"/>
      <w:r w:rsidRPr="004E09F4">
        <w:rPr>
          <w:b/>
          <w:i/>
          <w:sz w:val="20"/>
          <w:szCs w:val="20"/>
        </w:rPr>
        <w:t xml:space="preserve"> of </w:t>
      </w:r>
      <w:proofErr w:type="spellStart"/>
      <w:r w:rsidRPr="004E09F4">
        <w:rPr>
          <w:b/>
          <w:i/>
          <w:sz w:val="20"/>
          <w:szCs w:val="20"/>
        </w:rPr>
        <w:t>Cardıology</w:t>
      </w:r>
      <w:proofErr w:type="spellEnd"/>
      <w:r w:rsidRPr="004E09F4">
        <w:rPr>
          <w:b/>
          <w:i/>
          <w:sz w:val="20"/>
          <w:szCs w:val="20"/>
        </w:rPr>
        <w:t>; 36: (2020)159- 169</w:t>
      </w:r>
      <w:proofErr w:type="gramStart"/>
      <w:r w:rsidRPr="004E09F4">
        <w:rPr>
          <w:sz w:val="20"/>
          <w:szCs w:val="20"/>
        </w:rPr>
        <w:t>)</w:t>
      </w:r>
      <w:proofErr w:type="gramEnd"/>
      <w:r w:rsidRPr="004E09F4">
        <w:rPr>
          <w:sz w:val="20"/>
          <w:szCs w:val="20"/>
        </w:rPr>
        <w:t>. .</w:t>
      </w:r>
    </w:p>
    <w:p w:rsidR="00807488" w:rsidRPr="005131D6" w:rsidRDefault="00807488" w:rsidP="00606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6EB9" w:rsidRPr="005131D6" w:rsidRDefault="00606EB9" w:rsidP="00606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31D6">
        <w:rPr>
          <w:rFonts w:ascii="Arial" w:hAnsi="Arial" w:cs="Arial"/>
          <w:sz w:val="18"/>
          <w:szCs w:val="18"/>
        </w:rPr>
        <w:t xml:space="preserve">GLT -2 inhibitörleri, kendi başına bir </w:t>
      </w:r>
      <w:proofErr w:type="spellStart"/>
      <w:r w:rsidRPr="005131D6">
        <w:rPr>
          <w:rFonts w:ascii="Arial" w:hAnsi="Arial" w:cs="Arial"/>
          <w:sz w:val="18"/>
          <w:szCs w:val="18"/>
        </w:rPr>
        <w:t>diüretik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olarak sınıflandırılmasalar da, </w:t>
      </w:r>
      <w:proofErr w:type="spellStart"/>
      <w:r w:rsidRPr="005131D6">
        <w:rPr>
          <w:rFonts w:ascii="Arial" w:hAnsi="Arial" w:cs="Arial"/>
          <w:sz w:val="18"/>
          <w:szCs w:val="18"/>
        </w:rPr>
        <w:t>proksimal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tübüldeki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glikoz ile birlikte sodyumun yeniden emilimini azaltırlar ve idrarda glikoz ile birlikte sodyum ve su kaybına yol açarlar. SGLT-1/2 bloke edilerek Sodyum ve Glikoz aşağı yönde geçirilir.</w:t>
      </w:r>
    </w:p>
    <w:p w:rsidR="00606EB9" w:rsidRPr="005131D6" w:rsidRDefault="00606EB9" w:rsidP="00606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6EB9" w:rsidRPr="005131D6" w:rsidRDefault="00606EB9" w:rsidP="00606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31D6">
        <w:rPr>
          <w:rFonts w:ascii="Arial" w:hAnsi="Arial" w:cs="Arial"/>
          <w:sz w:val="18"/>
          <w:szCs w:val="18"/>
        </w:rPr>
        <w:t xml:space="preserve">SGLT2 inhibitörleri, sonuçta elde edilen </w:t>
      </w:r>
      <w:proofErr w:type="spellStart"/>
      <w:r w:rsidRPr="005131D6">
        <w:rPr>
          <w:rFonts w:ascii="Arial" w:hAnsi="Arial" w:cs="Arial"/>
          <w:sz w:val="18"/>
          <w:szCs w:val="18"/>
        </w:rPr>
        <w:t>glukozüri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ile </w:t>
      </w:r>
      <w:proofErr w:type="spellStart"/>
      <w:r w:rsidRPr="005131D6">
        <w:rPr>
          <w:rFonts w:ascii="Arial" w:hAnsi="Arial" w:cs="Arial"/>
          <w:sz w:val="18"/>
          <w:szCs w:val="18"/>
        </w:rPr>
        <w:t>renal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tübüler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glikoz </w:t>
      </w:r>
      <w:proofErr w:type="spellStart"/>
      <w:r w:rsidRPr="005131D6">
        <w:rPr>
          <w:rFonts w:ascii="Arial" w:hAnsi="Arial" w:cs="Arial"/>
          <w:sz w:val="18"/>
          <w:szCs w:val="18"/>
        </w:rPr>
        <w:t>reabsorpsiyonunu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inhibe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ederek plazma glikozunda bir azalmaya yol açar. Bu </w:t>
      </w:r>
      <w:proofErr w:type="spellStart"/>
      <w:r w:rsidRPr="005131D6">
        <w:rPr>
          <w:rFonts w:ascii="Arial" w:hAnsi="Arial" w:cs="Arial"/>
          <w:sz w:val="18"/>
          <w:szCs w:val="18"/>
        </w:rPr>
        <w:t>glisemi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ile ilişkili değişiklikler aynı zamanda </w:t>
      </w:r>
      <w:proofErr w:type="spellStart"/>
      <w:r w:rsidRPr="005131D6">
        <w:rPr>
          <w:rFonts w:ascii="Arial" w:hAnsi="Arial" w:cs="Arial"/>
          <w:sz w:val="18"/>
          <w:szCs w:val="18"/>
        </w:rPr>
        <w:t>natriuresis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131D6">
        <w:rPr>
          <w:rFonts w:ascii="Arial" w:hAnsi="Arial" w:cs="Arial"/>
          <w:sz w:val="18"/>
          <w:szCs w:val="18"/>
        </w:rPr>
        <w:t>ozmotik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bir </w:t>
      </w:r>
      <w:proofErr w:type="spellStart"/>
      <w:r w:rsidRPr="005131D6">
        <w:rPr>
          <w:rFonts w:ascii="Arial" w:hAnsi="Arial" w:cs="Arial"/>
          <w:sz w:val="18"/>
          <w:szCs w:val="18"/>
        </w:rPr>
        <w:t>diürez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, hafif kilo kaybı, </w:t>
      </w:r>
      <w:proofErr w:type="spellStart"/>
      <w:r w:rsidRPr="005131D6">
        <w:rPr>
          <w:rFonts w:ascii="Arial" w:hAnsi="Arial" w:cs="Arial"/>
          <w:sz w:val="18"/>
          <w:szCs w:val="18"/>
        </w:rPr>
        <w:t>hematokritte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artış ve kan basıncında </w:t>
      </w:r>
      <w:proofErr w:type="gramStart"/>
      <w:r w:rsidRPr="005131D6">
        <w:rPr>
          <w:rFonts w:ascii="Arial" w:hAnsi="Arial" w:cs="Arial"/>
          <w:sz w:val="18"/>
          <w:szCs w:val="18"/>
        </w:rPr>
        <w:t>düşüş  ile</w:t>
      </w:r>
      <w:proofErr w:type="gramEnd"/>
      <w:r w:rsidRPr="005131D6">
        <w:rPr>
          <w:rFonts w:ascii="Arial" w:hAnsi="Arial" w:cs="Arial"/>
          <w:sz w:val="18"/>
          <w:szCs w:val="18"/>
        </w:rPr>
        <w:t xml:space="preserve"> de ilişkilidir. Tüm bu etkiler, başlangıçta dönüm noktası </w:t>
      </w:r>
      <w:proofErr w:type="gramStart"/>
      <w:r w:rsidRPr="005131D6">
        <w:rPr>
          <w:rFonts w:ascii="Arial" w:hAnsi="Arial" w:cs="Arial"/>
          <w:sz w:val="18"/>
          <w:szCs w:val="18"/>
        </w:rPr>
        <w:t>(</w:t>
      </w:r>
      <w:proofErr w:type="gramEnd"/>
      <w:r w:rsidRPr="005131D6">
        <w:rPr>
          <w:rFonts w:ascii="Arial" w:hAnsi="Arial" w:cs="Arial"/>
          <w:sz w:val="18"/>
          <w:szCs w:val="18"/>
        </w:rPr>
        <w:t>EMPA-REGOUTCOME [</w:t>
      </w:r>
      <w:proofErr w:type="spellStart"/>
      <w:r w:rsidRPr="005131D6">
        <w:rPr>
          <w:rFonts w:ascii="Arial" w:hAnsi="Arial" w:cs="Arial"/>
          <w:sz w:val="18"/>
          <w:szCs w:val="18"/>
        </w:rPr>
        <w:t>Empagliflozin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Cardiovascular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Outcome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Event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Trial in </w:t>
      </w:r>
      <w:proofErr w:type="spellStart"/>
      <w:r w:rsidRPr="005131D6">
        <w:rPr>
          <w:rFonts w:ascii="Arial" w:hAnsi="Arial" w:cs="Arial"/>
          <w:sz w:val="18"/>
          <w:szCs w:val="18"/>
        </w:rPr>
        <w:t>Type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2 </w:t>
      </w:r>
      <w:proofErr w:type="spellStart"/>
      <w:r w:rsidRPr="005131D6">
        <w:rPr>
          <w:rFonts w:ascii="Arial" w:hAnsi="Arial" w:cs="Arial"/>
          <w:sz w:val="18"/>
          <w:szCs w:val="18"/>
        </w:rPr>
        <w:t>Diabetes</w:t>
      </w:r>
      <w:proofErr w:type="spellEnd"/>
    </w:p>
    <w:p w:rsidR="005F57DC" w:rsidRPr="005131D6" w:rsidRDefault="00606EB9" w:rsidP="00606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131D6">
        <w:rPr>
          <w:rFonts w:ascii="Arial" w:hAnsi="Arial" w:cs="Arial"/>
          <w:sz w:val="18"/>
          <w:szCs w:val="18"/>
        </w:rPr>
        <w:t>Mellitus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Patients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5131D6">
        <w:rPr>
          <w:rFonts w:ascii="Arial" w:hAnsi="Arial" w:cs="Arial"/>
          <w:sz w:val="18"/>
          <w:szCs w:val="18"/>
        </w:rPr>
        <w:t>Removing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Excess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31D6">
        <w:rPr>
          <w:rFonts w:ascii="Arial" w:hAnsi="Arial" w:cs="Arial"/>
          <w:sz w:val="18"/>
          <w:szCs w:val="18"/>
        </w:rPr>
        <w:t>Glucose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]) çalışmasında gösterildiği gibi, tip 2 diyabetli </w:t>
      </w:r>
      <w:proofErr w:type="gramStart"/>
      <w:r w:rsidRPr="005131D6">
        <w:rPr>
          <w:rFonts w:ascii="Arial" w:hAnsi="Arial" w:cs="Arial"/>
          <w:sz w:val="18"/>
          <w:szCs w:val="18"/>
        </w:rPr>
        <w:t>hastalarda  KY</w:t>
      </w:r>
      <w:proofErr w:type="gramEnd"/>
      <w:r w:rsidRPr="005131D6">
        <w:rPr>
          <w:rFonts w:ascii="Arial" w:hAnsi="Arial" w:cs="Arial"/>
          <w:sz w:val="18"/>
          <w:szCs w:val="18"/>
        </w:rPr>
        <w:t xml:space="preserve"> gelişiminde bir azalmaya yol açabilecek potansiyel olarak olumlu değişiklikler göstermişti</w:t>
      </w:r>
      <w:r w:rsidR="00127047" w:rsidRPr="005131D6">
        <w:rPr>
          <w:rFonts w:ascii="Arial" w:hAnsi="Arial" w:cs="Arial"/>
          <w:sz w:val="18"/>
          <w:szCs w:val="18"/>
        </w:rPr>
        <w:t>r</w:t>
      </w:r>
      <w:r w:rsidRPr="005131D6">
        <w:rPr>
          <w:rFonts w:ascii="Arial" w:hAnsi="Arial" w:cs="Arial"/>
          <w:sz w:val="18"/>
          <w:szCs w:val="18"/>
        </w:rPr>
        <w:t>.</w:t>
      </w:r>
    </w:p>
    <w:p w:rsidR="005F57DC" w:rsidRDefault="005F57DC" w:rsidP="00606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</w:p>
    <w:p w:rsidR="005F57DC" w:rsidRPr="005131D6" w:rsidRDefault="005F57DC" w:rsidP="005F57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5131D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GLT2 inhibitörleri ve KY için Yeni Kanıt </w:t>
      </w:r>
    </w:p>
    <w:p w:rsidR="005F57DC" w:rsidRPr="005131D6" w:rsidRDefault="005F57DC" w:rsidP="005131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5131D6">
        <w:rPr>
          <w:rFonts w:ascii="Arial" w:eastAsia="Times New Roman" w:hAnsi="Arial" w:cs="Arial"/>
          <w:sz w:val="18"/>
          <w:szCs w:val="18"/>
          <w:lang w:eastAsia="tr-TR"/>
        </w:rPr>
        <w:t xml:space="preserve">CCS / CHFS, KY için hastanede yatış ve ölüm riskini azaltmak için tip 2 diyabet ve </w:t>
      </w:r>
      <w:proofErr w:type="spellStart"/>
      <w:r w:rsidRPr="005131D6">
        <w:rPr>
          <w:rFonts w:ascii="Arial" w:eastAsia="Times New Roman" w:hAnsi="Arial" w:cs="Arial"/>
          <w:sz w:val="18"/>
          <w:szCs w:val="18"/>
          <w:lang w:eastAsia="tr-TR"/>
        </w:rPr>
        <w:t>aterosklerotik</w:t>
      </w:r>
      <w:proofErr w:type="spellEnd"/>
      <w:r w:rsidRPr="005131D6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proofErr w:type="spellStart"/>
      <w:r w:rsidRPr="005131D6">
        <w:rPr>
          <w:rFonts w:ascii="Arial" w:eastAsia="Times New Roman" w:hAnsi="Arial" w:cs="Arial"/>
          <w:sz w:val="18"/>
          <w:szCs w:val="18"/>
          <w:lang w:eastAsia="tr-TR"/>
        </w:rPr>
        <w:t>kardiyovasküler</w:t>
      </w:r>
      <w:proofErr w:type="spellEnd"/>
      <w:r w:rsidRPr="005131D6">
        <w:rPr>
          <w:rFonts w:ascii="Arial" w:eastAsia="Times New Roman" w:hAnsi="Arial" w:cs="Arial"/>
          <w:sz w:val="18"/>
          <w:szCs w:val="18"/>
          <w:lang w:eastAsia="tr-TR"/>
        </w:rPr>
        <w:t xml:space="preserve"> hastalık </w:t>
      </w:r>
      <w:proofErr w:type="gramStart"/>
      <w:r w:rsidRPr="005131D6">
        <w:rPr>
          <w:rFonts w:ascii="Arial" w:eastAsia="Times New Roman" w:hAnsi="Arial" w:cs="Arial"/>
          <w:sz w:val="18"/>
          <w:szCs w:val="18"/>
          <w:lang w:eastAsia="tr-TR"/>
        </w:rPr>
        <w:t>bulunan  hastaların</w:t>
      </w:r>
      <w:proofErr w:type="gramEnd"/>
      <w:r w:rsidRPr="005131D6">
        <w:rPr>
          <w:rFonts w:ascii="Arial" w:eastAsia="Times New Roman" w:hAnsi="Arial" w:cs="Arial"/>
          <w:sz w:val="18"/>
          <w:szCs w:val="18"/>
          <w:lang w:eastAsia="tr-TR"/>
        </w:rPr>
        <w:t xml:space="preserve"> tedavisi için SGLT2 inhibitörlerinin (</w:t>
      </w:r>
      <w:proofErr w:type="spellStart"/>
      <w:r w:rsidRPr="005131D6">
        <w:rPr>
          <w:rFonts w:ascii="Arial" w:eastAsia="Times New Roman" w:hAnsi="Arial" w:cs="Arial"/>
          <w:sz w:val="18"/>
          <w:szCs w:val="18"/>
          <w:lang w:eastAsia="tr-TR"/>
        </w:rPr>
        <w:t>empagliflozin</w:t>
      </w:r>
      <w:proofErr w:type="spellEnd"/>
      <w:r w:rsidRPr="005131D6">
        <w:rPr>
          <w:rFonts w:ascii="Arial" w:eastAsia="Times New Roman" w:hAnsi="Arial" w:cs="Arial"/>
          <w:sz w:val="18"/>
          <w:szCs w:val="18"/>
          <w:lang w:eastAsia="tr-TR"/>
        </w:rPr>
        <w:t xml:space="preserve">, </w:t>
      </w:r>
      <w:proofErr w:type="spellStart"/>
      <w:r w:rsidRPr="005131D6">
        <w:rPr>
          <w:rFonts w:ascii="Arial" w:eastAsia="Times New Roman" w:hAnsi="Arial" w:cs="Arial"/>
          <w:sz w:val="18"/>
          <w:szCs w:val="18"/>
          <w:lang w:eastAsia="tr-TR"/>
        </w:rPr>
        <w:t>canagliflozin</w:t>
      </w:r>
      <w:proofErr w:type="spellEnd"/>
      <w:r w:rsidRPr="005131D6">
        <w:rPr>
          <w:rFonts w:ascii="Arial" w:eastAsia="Times New Roman" w:hAnsi="Arial" w:cs="Arial"/>
          <w:sz w:val="18"/>
          <w:szCs w:val="18"/>
          <w:lang w:eastAsia="tr-TR"/>
        </w:rPr>
        <w:t xml:space="preserve">, </w:t>
      </w:r>
      <w:proofErr w:type="spellStart"/>
      <w:r w:rsidRPr="005131D6">
        <w:rPr>
          <w:rFonts w:ascii="Arial" w:eastAsia="Times New Roman" w:hAnsi="Arial" w:cs="Arial"/>
          <w:sz w:val="18"/>
          <w:szCs w:val="18"/>
          <w:lang w:eastAsia="tr-TR"/>
        </w:rPr>
        <w:t>dapagliflozin</w:t>
      </w:r>
      <w:proofErr w:type="spellEnd"/>
      <w:r w:rsidRPr="005131D6">
        <w:rPr>
          <w:rFonts w:ascii="Arial" w:eastAsia="Times New Roman" w:hAnsi="Arial" w:cs="Arial"/>
          <w:sz w:val="18"/>
          <w:szCs w:val="18"/>
          <w:lang w:eastAsia="tr-TR"/>
        </w:rPr>
        <w:t>) kullanılmasını önermektedir (güçlü öneri).</w:t>
      </w:r>
    </w:p>
    <w:p w:rsidR="005F57DC" w:rsidRPr="005131D6" w:rsidRDefault="005F57DC" w:rsidP="005F57D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5131D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Dapagliflozin</w:t>
      </w:r>
      <w:proofErr w:type="spellEnd"/>
      <w:r w:rsidRPr="005131D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gibi SGLT2 inhibitörlerinin, aşağıdaki özelliklere sahip hastalarda kullanılması önerilir:</w:t>
      </w:r>
    </w:p>
    <w:p w:rsidR="005F57DC" w:rsidRPr="00127047" w:rsidRDefault="005F57DC" w:rsidP="005131D6">
      <w:pPr>
        <w:pStyle w:val="ListeParagraf"/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HF hastanede yatış riskini azaltmak için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aterosklerotik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kardiyovasküler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hastalık için ek risk faktörleriyle birlikte 50 yaşından büyük Tip 2 diyabet (güçlü öneri).</w:t>
      </w:r>
    </w:p>
    <w:p w:rsidR="005F57DC" w:rsidRPr="00127047" w:rsidRDefault="005F57DC" w:rsidP="005131D6">
      <w:pPr>
        <w:pStyle w:val="ListeParagraf"/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Semptomları ve yaşam kalitesini düzeltmek ve hastaneye yatış ve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kardiyovasküler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mortalite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riskini azaltmak için tip 2 diyabetin eşlik </w:t>
      </w:r>
      <w:proofErr w:type="gram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ettiği  düşük</w:t>
      </w:r>
      <w:proofErr w:type="gram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 LVEF  ( ≤% 40) bağlı hafif ila orta derecede KY hastalarında (güçlü öneri)</w:t>
      </w:r>
    </w:p>
    <w:p w:rsidR="005F57DC" w:rsidRPr="00127047" w:rsidRDefault="005F57DC" w:rsidP="005131D6">
      <w:pPr>
        <w:pStyle w:val="ListeParagraf"/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proofErr w:type="gram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ve</w:t>
      </w:r>
      <w:proofErr w:type="gram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eşlik eden diyabeti olmayan ve düşük Azalmış SVEF (≤% 40) nedeniyle hafif ila orta derecede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KY’de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, semptomları ve yaşam kalitesini düzeltmek ve hastaneye yatış ve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kardiyovasküler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mortalite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riskini azaltmak için (koşullu öneri).</w:t>
      </w:r>
    </w:p>
    <w:p w:rsidR="005F57DC" w:rsidRPr="00127047" w:rsidRDefault="005F57DC" w:rsidP="005131D6">
      <w:pPr>
        <w:pStyle w:val="ListeParagraf"/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CCS / CHFS,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canagliflozin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gibi SGLT2 </w:t>
      </w:r>
      <w:proofErr w:type="spellStart"/>
      <w:proofErr w:type="gram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inhibitörlerini,KY</w:t>
      </w:r>
      <w:proofErr w:type="spellEnd"/>
      <w:proofErr w:type="gram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 için  hastanede yatış ve böbrek hastalığının ilerlemesi riskini azaltmak için tip 2 diyabet ve </w:t>
      </w:r>
      <w:proofErr w:type="spellStart"/>
      <w:r w:rsidRPr="00127047">
        <w:rPr>
          <w:rFonts w:ascii="Arial" w:eastAsia="Times New Roman" w:hAnsi="Arial" w:cs="Arial"/>
          <w:sz w:val="18"/>
          <w:szCs w:val="18"/>
          <w:lang w:eastAsia="tr-TR"/>
        </w:rPr>
        <w:t>makroalbüminerik</w:t>
      </w:r>
      <w:proofErr w:type="spellEnd"/>
      <w:r w:rsidRPr="00127047">
        <w:rPr>
          <w:rFonts w:ascii="Arial" w:eastAsia="Times New Roman" w:hAnsi="Arial" w:cs="Arial"/>
          <w:sz w:val="18"/>
          <w:szCs w:val="18"/>
          <w:lang w:eastAsia="tr-TR"/>
        </w:rPr>
        <w:t xml:space="preserve"> böbrek hastalığı olan 30 yaş üstü hastalarda kullanılabilir (güçlü öneri).</w:t>
      </w:r>
    </w:p>
    <w:p w:rsidR="005131D6" w:rsidRPr="005131D6" w:rsidRDefault="00307337" w:rsidP="005131D6">
      <w:pPr>
        <w:pStyle w:val="NormalWeb"/>
        <w:rPr>
          <w:b/>
        </w:rPr>
      </w:pPr>
      <w:r>
        <w:rPr>
          <w:b/>
        </w:rPr>
        <w:t>Kinik İ</w:t>
      </w:r>
      <w:r w:rsidR="005F57DC" w:rsidRPr="005131D6">
        <w:rPr>
          <w:b/>
        </w:rPr>
        <w:t>puçları</w:t>
      </w:r>
      <w:r>
        <w:rPr>
          <w:b/>
        </w:rPr>
        <w:t>:</w:t>
      </w:r>
    </w:p>
    <w:p w:rsidR="005131D6" w:rsidRDefault="005F57DC" w:rsidP="005131D6">
      <w:pPr>
        <w:pStyle w:val="NormalWeb"/>
        <w:numPr>
          <w:ilvl w:val="0"/>
          <w:numId w:val="5"/>
        </w:numPr>
        <w:rPr>
          <w:b/>
          <w:i/>
        </w:rPr>
      </w:pPr>
      <w:r w:rsidRPr="00127047">
        <w:rPr>
          <w:rFonts w:ascii="Arial" w:hAnsi="Arial" w:cs="Arial"/>
          <w:sz w:val="18"/>
          <w:szCs w:val="18"/>
        </w:rPr>
        <w:t>SGLT2 inhibitörlerinin şu anda tip 1 diyabetli hastalar için kontrendikedir.</w:t>
      </w:r>
    </w:p>
    <w:p w:rsidR="005131D6" w:rsidRDefault="005F57DC" w:rsidP="005131D6">
      <w:pPr>
        <w:pStyle w:val="NormalWeb"/>
        <w:numPr>
          <w:ilvl w:val="0"/>
          <w:numId w:val="5"/>
        </w:numPr>
        <w:rPr>
          <w:b/>
          <w:i/>
        </w:rPr>
      </w:pPr>
      <w:r w:rsidRPr="005131D6">
        <w:rPr>
          <w:rFonts w:ascii="Arial" w:hAnsi="Arial" w:cs="Arial"/>
          <w:sz w:val="18"/>
          <w:szCs w:val="18"/>
        </w:rPr>
        <w:t xml:space="preserve">SGLT2 inhibitörlerinin en yaygın olumsuz etkileri </w:t>
      </w:r>
      <w:proofErr w:type="spellStart"/>
      <w:r w:rsidRPr="005131D6">
        <w:rPr>
          <w:rFonts w:ascii="Arial" w:hAnsi="Arial" w:cs="Arial"/>
          <w:sz w:val="18"/>
          <w:szCs w:val="18"/>
        </w:rPr>
        <w:t>genital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mantar </w:t>
      </w:r>
      <w:proofErr w:type="spellStart"/>
      <w:r w:rsidRPr="005131D6">
        <w:rPr>
          <w:rFonts w:ascii="Arial" w:hAnsi="Arial" w:cs="Arial"/>
          <w:sz w:val="18"/>
          <w:szCs w:val="18"/>
        </w:rPr>
        <w:t>infeksiyonları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(GMI) olup; kadınlarda en yüksek riski (% 10-% 15), daha önce GMI olanlar ve sünnetsiz erkeklerdir. </w:t>
      </w:r>
      <w:proofErr w:type="spellStart"/>
      <w:r w:rsidRPr="005131D6">
        <w:rPr>
          <w:rFonts w:ascii="Arial" w:hAnsi="Arial" w:cs="Arial"/>
          <w:sz w:val="18"/>
          <w:szCs w:val="18"/>
        </w:rPr>
        <w:t>GMI'lar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genellikle </w:t>
      </w:r>
      <w:proofErr w:type="spellStart"/>
      <w:r w:rsidRPr="005131D6">
        <w:rPr>
          <w:rFonts w:ascii="Arial" w:hAnsi="Arial" w:cs="Arial"/>
          <w:sz w:val="18"/>
          <w:szCs w:val="18"/>
        </w:rPr>
        <w:t>antifungal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ilaçlarla tedavi edilebilir ve tedavinin kesilmesini gerektirmez.</w:t>
      </w:r>
    </w:p>
    <w:p w:rsidR="005131D6" w:rsidRDefault="005F57DC" w:rsidP="005131D6">
      <w:pPr>
        <w:pStyle w:val="NormalWeb"/>
        <w:numPr>
          <w:ilvl w:val="0"/>
          <w:numId w:val="5"/>
        </w:numPr>
        <w:rPr>
          <w:b/>
          <w:i/>
        </w:rPr>
      </w:pPr>
      <w:r w:rsidRPr="005131D6">
        <w:rPr>
          <w:rFonts w:ascii="Arial" w:hAnsi="Arial" w:cs="Arial"/>
          <w:sz w:val="18"/>
          <w:szCs w:val="18"/>
        </w:rPr>
        <w:lastRenderedPageBreak/>
        <w:t>SGLT2 inhibitörleri (</w:t>
      </w:r>
      <w:proofErr w:type="spellStart"/>
      <w:r w:rsidRPr="005131D6">
        <w:rPr>
          <w:rFonts w:ascii="Arial" w:hAnsi="Arial" w:cs="Arial"/>
          <w:sz w:val="18"/>
          <w:szCs w:val="18"/>
        </w:rPr>
        <w:t>eGFR</w:t>
      </w:r>
      <w:proofErr w:type="spellEnd"/>
      <w:r w:rsidRPr="005131D6">
        <w:rPr>
          <w:rFonts w:ascii="Arial" w:hAnsi="Arial" w:cs="Arial"/>
          <w:sz w:val="18"/>
          <w:szCs w:val="18"/>
        </w:rPr>
        <w:t>) '</w:t>
      </w:r>
      <w:proofErr w:type="spellStart"/>
      <w:r w:rsidRPr="005131D6">
        <w:rPr>
          <w:rFonts w:ascii="Arial" w:hAnsi="Arial" w:cs="Arial"/>
          <w:sz w:val="18"/>
          <w:szCs w:val="18"/>
        </w:rPr>
        <w:t>nin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15'e kadar geçici olarak azalmasına neden olabilir (genellikle 1-3 ay içinde düzelir). Bu ilaçlar aynı zamanda akut böbrek hasarı ile de ilişkilendirilmiştir ve risk altındaki kişilerde daha fazla izleme yapılması gerekmektedir.</w:t>
      </w:r>
    </w:p>
    <w:p w:rsidR="005131D6" w:rsidRDefault="005F57DC" w:rsidP="005131D6">
      <w:pPr>
        <w:pStyle w:val="NormalWeb"/>
        <w:numPr>
          <w:ilvl w:val="0"/>
          <w:numId w:val="5"/>
        </w:numPr>
        <w:rPr>
          <w:b/>
          <w:i/>
        </w:rPr>
      </w:pPr>
      <w:r w:rsidRPr="005131D6">
        <w:rPr>
          <w:rFonts w:ascii="Arial" w:hAnsi="Arial" w:cs="Arial"/>
          <w:sz w:val="18"/>
          <w:szCs w:val="18"/>
        </w:rPr>
        <w:t xml:space="preserve">SGLT2 inhibitörleri, eşzamanlı insülin ve / veya </w:t>
      </w:r>
      <w:proofErr w:type="spellStart"/>
      <w:r w:rsidRPr="005131D6">
        <w:rPr>
          <w:rFonts w:ascii="Arial" w:hAnsi="Arial" w:cs="Arial"/>
          <w:sz w:val="18"/>
          <w:szCs w:val="18"/>
        </w:rPr>
        <w:t>sekretagog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tedavisi bulunmadan hipoglisemiye neden olmaz. Arka plan tedavilerinin hipoglisemiyi önlemek için yeniden düzenlenmesi gerekebilir.</w:t>
      </w:r>
    </w:p>
    <w:p w:rsidR="005131D6" w:rsidRDefault="005F57DC" w:rsidP="005131D6">
      <w:pPr>
        <w:pStyle w:val="NormalWeb"/>
        <w:numPr>
          <w:ilvl w:val="0"/>
          <w:numId w:val="5"/>
        </w:numPr>
        <w:rPr>
          <w:b/>
          <w:i/>
        </w:rPr>
      </w:pPr>
      <w:r w:rsidRPr="005131D6">
        <w:rPr>
          <w:rFonts w:ascii="Arial" w:hAnsi="Arial" w:cs="Arial"/>
          <w:sz w:val="18"/>
          <w:szCs w:val="18"/>
        </w:rPr>
        <w:t xml:space="preserve">SGLT2 inhibitörleri, “hasta günü” </w:t>
      </w:r>
      <w:proofErr w:type="gramStart"/>
      <w:r w:rsidRPr="005131D6">
        <w:rPr>
          <w:rFonts w:ascii="Arial" w:hAnsi="Arial" w:cs="Arial"/>
          <w:sz w:val="18"/>
          <w:szCs w:val="18"/>
        </w:rPr>
        <w:t>tedavisinin  bir</w:t>
      </w:r>
      <w:proofErr w:type="gramEnd"/>
      <w:r w:rsidRPr="005131D6">
        <w:rPr>
          <w:rFonts w:ascii="Arial" w:hAnsi="Arial" w:cs="Arial"/>
          <w:sz w:val="18"/>
          <w:szCs w:val="18"/>
        </w:rPr>
        <w:t xml:space="preserve"> parçası olarak, eşlik eden </w:t>
      </w:r>
      <w:proofErr w:type="spellStart"/>
      <w:r w:rsidRPr="005131D6">
        <w:rPr>
          <w:rFonts w:ascii="Arial" w:hAnsi="Arial" w:cs="Arial"/>
          <w:sz w:val="18"/>
          <w:szCs w:val="18"/>
        </w:rPr>
        <w:t>dehidratasyon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hastalığı durumunda durdurulmalıdır. Hastalar “hasta gün” tedavisi konusunda eğitilmelidir.</w:t>
      </w:r>
    </w:p>
    <w:p w:rsidR="00307337" w:rsidRPr="00307337" w:rsidRDefault="005F57DC" w:rsidP="005131D6">
      <w:pPr>
        <w:pStyle w:val="NormalWeb"/>
        <w:numPr>
          <w:ilvl w:val="0"/>
          <w:numId w:val="5"/>
        </w:numPr>
        <w:rPr>
          <w:b/>
          <w:i/>
        </w:rPr>
      </w:pPr>
      <w:r w:rsidRPr="005131D6">
        <w:rPr>
          <w:rFonts w:ascii="Arial" w:hAnsi="Arial" w:cs="Arial"/>
          <w:sz w:val="18"/>
          <w:szCs w:val="18"/>
        </w:rPr>
        <w:t xml:space="preserve">Bu ajanlar diyabetik </w:t>
      </w:r>
      <w:proofErr w:type="spellStart"/>
      <w:r w:rsidRPr="005131D6">
        <w:rPr>
          <w:rFonts w:ascii="Arial" w:hAnsi="Arial" w:cs="Arial"/>
          <w:sz w:val="18"/>
          <w:szCs w:val="18"/>
        </w:rPr>
        <w:t>ketoasidoz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5131D6">
        <w:rPr>
          <w:rFonts w:ascii="Arial" w:hAnsi="Arial" w:cs="Arial"/>
          <w:sz w:val="18"/>
          <w:szCs w:val="18"/>
        </w:rPr>
        <w:t>insidans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% </w:t>
      </w:r>
      <w:proofErr w:type="gramStart"/>
      <w:r w:rsidRPr="005131D6">
        <w:rPr>
          <w:rFonts w:ascii="Arial" w:hAnsi="Arial" w:cs="Arial"/>
          <w:sz w:val="18"/>
          <w:szCs w:val="18"/>
        </w:rPr>
        <w:t>0.1</w:t>
      </w:r>
      <w:proofErr w:type="gramEnd"/>
      <w:r w:rsidRPr="005131D6">
        <w:rPr>
          <w:rFonts w:ascii="Arial" w:hAnsi="Arial" w:cs="Arial"/>
          <w:sz w:val="18"/>
          <w:szCs w:val="18"/>
        </w:rPr>
        <w:t xml:space="preserve">) ile ilişkilendirilmiştir. Hastalar normal veya sadece orta derecede yüksek kan şekeri seviyesi (&lt;14 </w:t>
      </w:r>
      <w:proofErr w:type="spellStart"/>
      <w:r w:rsidRPr="005131D6">
        <w:rPr>
          <w:rFonts w:ascii="Arial" w:hAnsi="Arial" w:cs="Arial"/>
          <w:sz w:val="18"/>
          <w:szCs w:val="18"/>
        </w:rPr>
        <w:t>mmol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/ L) ile bulunabilirler. Nadiren, SGLT2 inhibitörleri normal anyon </w:t>
      </w:r>
      <w:proofErr w:type="gramStart"/>
      <w:r w:rsidRPr="005131D6">
        <w:rPr>
          <w:rFonts w:ascii="Arial" w:hAnsi="Arial" w:cs="Arial"/>
          <w:sz w:val="18"/>
          <w:szCs w:val="18"/>
        </w:rPr>
        <w:t xml:space="preserve">açığı  </w:t>
      </w:r>
      <w:proofErr w:type="spellStart"/>
      <w:r w:rsidRPr="005131D6">
        <w:rPr>
          <w:rFonts w:ascii="Arial" w:hAnsi="Arial" w:cs="Arial"/>
          <w:sz w:val="18"/>
          <w:szCs w:val="18"/>
        </w:rPr>
        <w:t>asidozu</w:t>
      </w:r>
      <w:proofErr w:type="spellEnd"/>
      <w:proofErr w:type="gramEnd"/>
      <w:r w:rsidRPr="005131D6">
        <w:rPr>
          <w:rFonts w:ascii="Arial" w:hAnsi="Arial" w:cs="Arial"/>
          <w:sz w:val="18"/>
          <w:szCs w:val="18"/>
        </w:rPr>
        <w:t xml:space="preserve"> ile ilişkili olabilir (en iyi serum ketonların ölçümü ile tespit edilir). </w:t>
      </w:r>
    </w:p>
    <w:p w:rsidR="00307337" w:rsidRDefault="005F57DC" w:rsidP="005F57DC">
      <w:pPr>
        <w:pStyle w:val="NormalWeb"/>
        <w:numPr>
          <w:ilvl w:val="0"/>
          <w:numId w:val="5"/>
        </w:numPr>
        <w:rPr>
          <w:b/>
          <w:i/>
        </w:rPr>
      </w:pPr>
      <w:r w:rsidRPr="005131D6">
        <w:rPr>
          <w:rFonts w:ascii="Arial" w:hAnsi="Arial" w:cs="Arial"/>
          <w:sz w:val="18"/>
          <w:szCs w:val="18"/>
        </w:rPr>
        <w:t xml:space="preserve">Diyabetik </w:t>
      </w:r>
      <w:proofErr w:type="spellStart"/>
      <w:r w:rsidRPr="005131D6">
        <w:rPr>
          <w:rFonts w:ascii="Arial" w:hAnsi="Arial" w:cs="Arial"/>
          <w:sz w:val="18"/>
          <w:szCs w:val="18"/>
        </w:rPr>
        <w:t>ketoasidoz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 ile ilişkili </w:t>
      </w:r>
      <w:proofErr w:type="gramStart"/>
      <w:r w:rsidRPr="005131D6">
        <w:rPr>
          <w:rFonts w:ascii="Arial" w:hAnsi="Arial" w:cs="Arial"/>
          <w:sz w:val="18"/>
          <w:szCs w:val="18"/>
        </w:rPr>
        <w:t>spesifik</w:t>
      </w:r>
      <w:proofErr w:type="gramEnd"/>
      <w:r w:rsidRPr="005131D6">
        <w:rPr>
          <w:rFonts w:ascii="Arial" w:hAnsi="Arial" w:cs="Arial"/>
          <w:sz w:val="18"/>
          <w:szCs w:val="18"/>
        </w:rPr>
        <w:t xml:space="preserve"> olmayan semptomlar arasında </w:t>
      </w:r>
      <w:proofErr w:type="spellStart"/>
      <w:r w:rsidRPr="005131D6">
        <w:rPr>
          <w:rFonts w:ascii="Arial" w:hAnsi="Arial" w:cs="Arial"/>
          <w:sz w:val="18"/>
          <w:szCs w:val="18"/>
        </w:rPr>
        <w:t>dispne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, bulantı / kusma, karın ağrısı, </w:t>
      </w:r>
      <w:proofErr w:type="spellStart"/>
      <w:r w:rsidRPr="005131D6">
        <w:rPr>
          <w:rFonts w:ascii="Arial" w:hAnsi="Arial" w:cs="Arial"/>
          <w:sz w:val="18"/>
          <w:szCs w:val="18"/>
        </w:rPr>
        <w:t>konfüzyon</w:t>
      </w:r>
      <w:proofErr w:type="spellEnd"/>
      <w:r w:rsidRPr="005131D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131D6">
        <w:rPr>
          <w:rFonts w:ascii="Arial" w:hAnsi="Arial" w:cs="Arial"/>
          <w:sz w:val="18"/>
          <w:szCs w:val="18"/>
        </w:rPr>
        <w:t>anoreksi</w:t>
      </w:r>
      <w:proofErr w:type="spellEnd"/>
      <w:r w:rsidRPr="005131D6">
        <w:rPr>
          <w:rFonts w:ascii="Arial" w:hAnsi="Arial" w:cs="Arial"/>
          <w:sz w:val="18"/>
          <w:szCs w:val="18"/>
        </w:rPr>
        <w:t>, aşırı susama ve uyuşukluk bulunur.</w:t>
      </w:r>
    </w:p>
    <w:p w:rsidR="005F57DC" w:rsidRPr="00307337" w:rsidRDefault="005F57DC" w:rsidP="005F57DC">
      <w:pPr>
        <w:pStyle w:val="NormalWeb"/>
        <w:numPr>
          <w:ilvl w:val="0"/>
          <w:numId w:val="5"/>
        </w:numPr>
        <w:rPr>
          <w:b/>
          <w:i/>
        </w:rPr>
      </w:pPr>
      <w:proofErr w:type="spellStart"/>
      <w:r w:rsidRPr="00307337">
        <w:rPr>
          <w:rFonts w:ascii="Arial" w:hAnsi="Arial" w:cs="Arial"/>
          <w:sz w:val="20"/>
          <w:szCs w:val="20"/>
        </w:rPr>
        <w:t>Diürezi</w:t>
      </w:r>
      <w:proofErr w:type="spellEnd"/>
      <w:r w:rsidRPr="00307337">
        <w:rPr>
          <w:rFonts w:ascii="Arial" w:hAnsi="Arial" w:cs="Arial"/>
          <w:sz w:val="20"/>
          <w:szCs w:val="20"/>
        </w:rPr>
        <w:t xml:space="preserve"> teşvik etmek için eşlik eden </w:t>
      </w:r>
      <w:r w:rsidR="00127047" w:rsidRPr="00307337">
        <w:rPr>
          <w:rFonts w:ascii="Arial" w:hAnsi="Arial" w:cs="Arial"/>
          <w:sz w:val="20"/>
          <w:szCs w:val="20"/>
        </w:rPr>
        <w:t xml:space="preserve">olumlu </w:t>
      </w:r>
      <w:r w:rsidRPr="00307337">
        <w:rPr>
          <w:rFonts w:ascii="Arial" w:hAnsi="Arial" w:cs="Arial"/>
          <w:sz w:val="20"/>
          <w:szCs w:val="20"/>
        </w:rPr>
        <w:t xml:space="preserve">etkileri nedeniyle SGLT2 inhibitörleri, </w:t>
      </w:r>
      <w:proofErr w:type="spellStart"/>
      <w:r w:rsidRPr="00307337">
        <w:rPr>
          <w:rFonts w:ascii="Arial" w:hAnsi="Arial" w:cs="Arial"/>
          <w:sz w:val="20"/>
          <w:szCs w:val="20"/>
        </w:rPr>
        <w:t>ARNI'ler</w:t>
      </w:r>
      <w:proofErr w:type="spellEnd"/>
      <w:r w:rsidRPr="00307337"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307337">
        <w:rPr>
          <w:rFonts w:ascii="Arial" w:hAnsi="Arial" w:cs="Arial"/>
          <w:sz w:val="20"/>
          <w:szCs w:val="20"/>
        </w:rPr>
        <w:t>diüretikleri</w:t>
      </w:r>
      <w:proofErr w:type="spellEnd"/>
      <w:r w:rsidRPr="00307337">
        <w:rPr>
          <w:rFonts w:ascii="Arial" w:hAnsi="Arial" w:cs="Arial"/>
          <w:sz w:val="20"/>
          <w:szCs w:val="20"/>
        </w:rPr>
        <w:t xml:space="preserve"> birleştirirken dikkatli olunmalı...</w:t>
      </w:r>
    </w:p>
    <w:p w:rsidR="00743635" w:rsidRDefault="00743635" w:rsidP="005F57DC">
      <w:pPr>
        <w:pStyle w:val="NormalWeb"/>
        <w:rPr>
          <w:rFonts w:ascii="Arial" w:hAnsi="Arial" w:cs="Arial"/>
          <w:sz w:val="20"/>
          <w:szCs w:val="20"/>
        </w:rPr>
      </w:pPr>
    </w:p>
    <w:p w:rsidR="00743635" w:rsidRDefault="00743635" w:rsidP="005F57DC">
      <w:pPr>
        <w:pStyle w:val="NormalWeb"/>
        <w:rPr>
          <w:rFonts w:ascii="Arial" w:hAnsi="Arial" w:cs="Arial"/>
          <w:sz w:val="20"/>
          <w:szCs w:val="20"/>
        </w:rPr>
      </w:pPr>
    </w:p>
    <w:p w:rsidR="00743635" w:rsidRDefault="00743635" w:rsidP="005F57DC">
      <w:pPr>
        <w:pStyle w:val="NormalWeb"/>
        <w:rPr>
          <w:rFonts w:ascii="Arial" w:hAnsi="Arial" w:cs="Arial"/>
          <w:sz w:val="20"/>
          <w:szCs w:val="20"/>
        </w:rPr>
      </w:pPr>
    </w:p>
    <w:p w:rsidR="00743635" w:rsidRDefault="00743635" w:rsidP="005F57DC">
      <w:pPr>
        <w:pStyle w:val="NormalWeb"/>
        <w:rPr>
          <w:rFonts w:ascii="Arial" w:hAnsi="Arial" w:cs="Arial"/>
          <w:sz w:val="20"/>
          <w:szCs w:val="20"/>
        </w:rPr>
      </w:pPr>
    </w:p>
    <w:p w:rsidR="005F57DC" w:rsidRPr="00127047" w:rsidRDefault="005F57DC" w:rsidP="005F57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sectPr w:rsidR="005F57DC" w:rsidRPr="0012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896"/>
    <w:multiLevelType w:val="hybridMultilevel"/>
    <w:tmpl w:val="04FCBB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28EE"/>
    <w:multiLevelType w:val="hybridMultilevel"/>
    <w:tmpl w:val="EA4CE5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6126"/>
    <w:multiLevelType w:val="hybridMultilevel"/>
    <w:tmpl w:val="1CEAA0EE"/>
    <w:lvl w:ilvl="0" w:tplc="3844E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F3E27"/>
    <w:multiLevelType w:val="hybridMultilevel"/>
    <w:tmpl w:val="31DACD9C"/>
    <w:lvl w:ilvl="0" w:tplc="D68A08B2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b/>
        <w:color w:val="FF00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EE5B55"/>
    <w:multiLevelType w:val="hybridMultilevel"/>
    <w:tmpl w:val="EBB2888C"/>
    <w:lvl w:ilvl="0" w:tplc="D68A08B2">
      <w:start w:val="1"/>
      <w:numFmt w:val="bullet"/>
      <w:lvlText w:val="o"/>
      <w:lvlJc w:val="left"/>
      <w:pPr>
        <w:ind w:left="1722" w:hanging="360"/>
      </w:pPr>
      <w:rPr>
        <w:rFonts w:ascii="Arial" w:hAnsi="Arial" w:cs="Arial" w:hint="default"/>
        <w:b/>
        <w:color w:val="FF00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9"/>
    <w:rsid w:val="00127047"/>
    <w:rsid w:val="002679DF"/>
    <w:rsid w:val="00307337"/>
    <w:rsid w:val="004E09F4"/>
    <w:rsid w:val="005131D6"/>
    <w:rsid w:val="00562619"/>
    <w:rsid w:val="0057504B"/>
    <w:rsid w:val="005F57DC"/>
    <w:rsid w:val="00605C1E"/>
    <w:rsid w:val="00606EB9"/>
    <w:rsid w:val="00673E97"/>
    <w:rsid w:val="00743635"/>
    <w:rsid w:val="00807488"/>
    <w:rsid w:val="008F2E6E"/>
    <w:rsid w:val="00945536"/>
    <w:rsid w:val="00BB20E6"/>
    <w:rsid w:val="00C445ED"/>
    <w:rsid w:val="00CD79D7"/>
    <w:rsid w:val="00F9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DA9E-C3BB-4645-82FE-C66FB57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57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18</cp:revision>
  <dcterms:created xsi:type="dcterms:W3CDTF">2020-05-22T15:20:00Z</dcterms:created>
  <dcterms:modified xsi:type="dcterms:W3CDTF">2021-04-01T09:31:00Z</dcterms:modified>
</cp:coreProperties>
</file>