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4A1" w:rsidRDefault="00534511" w:rsidP="003474A1">
      <w:pPr>
        <w:spacing w:line="240" w:lineRule="auto"/>
        <w:textAlignment w:val="top"/>
        <w:rPr>
          <w:rFonts w:ascii="Times New Roman" w:eastAsia="Times New Roman" w:hAnsi="Times New Roman" w:cs="Times New Roman"/>
          <w:b/>
          <w:color w:val="C00000"/>
          <w:sz w:val="40"/>
          <w:szCs w:val="40"/>
          <w:lang w:eastAsia="tr-TR"/>
        </w:rPr>
      </w:pPr>
      <w:r w:rsidRPr="00B322C2">
        <w:rPr>
          <w:rFonts w:ascii="Times New Roman" w:eastAsia="Times New Roman" w:hAnsi="Times New Roman" w:cs="Times New Roman"/>
          <w:b/>
          <w:color w:val="C00000"/>
          <w:sz w:val="40"/>
          <w:szCs w:val="40"/>
          <w:lang w:eastAsia="tr-TR"/>
        </w:rPr>
        <w:t xml:space="preserve">KALP YETERSİZLİĞİNDE TAMAMLAYICI TIP KONUSUNDA YENİ </w:t>
      </w:r>
      <w:r w:rsidR="00B322C2">
        <w:rPr>
          <w:rFonts w:ascii="Times New Roman" w:eastAsia="Times New Roman" w:hAnsi="Times New Roman" w:cs="Times New Roman"/>
          <w:b/>
          <w:color w:val="C00000"/>
          <w:sz w:val="40"/>
          <w:szCs w:val="40"/>
          <w:lang w:eastAsia="tr-TR"/>
        </w:rPr>
        <w:t>BİLİMSEL</w:t>
      </w:r>
      <w:r w:rsidR="00306976" w:rsidRPr="00B322C2">
        <w:rPr>
          <w:rFonts w:ascii="Times New Roman" w:eastAsia="Times New Roman" w:hAnsi="Times New Roman" w:cs="Times New Roman"/>
          <w:b/>
          <w:color w:val="C00000"/>
          <w:sz w:val="40"/>
          <w:szCs w:val="40"/>
          <w:lang w:eastAsia="tr-TR"/>
        </w:rPr>
        <w:t xml:space="preserve"> </w:t>
      </w:r>
      <w:r w:rsidRPr="00B322C2">
        <w:rPr>
          <w:rFonts w:ascii="Times New Roman" w:eastAsia="Times New Roman" w:hAnsi="Times New Roman" w:cs="Times New Roman"/>
          <w:b/>
          <w:color w:val="C00000"/>
          <w:sz w:val="40"/>
          <w:szCs w:val="40"/>
          <w:lang w:eastAsia="tr-TR"/>
        </w:rPr>
        <w:t xml:space="preserve">AHA BİLDİRİSİ </w:t>
      </w:r>
    </w:p>
    <w:p w:rsidR="00EF0148" w:rsidRPr="004F6BED" w:rsidRDefault="00EF0148" w:rsidP="00EF0148">
      <w:pPr>
        <w:rPr>
          <w:rFonts w:ascii="Arial" w:hAnsi="Arial" w:cs="Arial"/>
          <w:sz w:val="24"/>
          <w:szCs w:val="24"/>
        </w:rPr>
      </w:pPr>
      <w:proofErr w:type="gramStart"/>
      <w:r w:rsidRPr="00E47FF5">
        <w:rPr>
          <w:rFonts w:ascii="Arial" w:hAnsi="Arial" w:cs="Arial"/>
          <w:sz w:val="24"/>
          <w:szCs w:val="24"/>
        </w:rPr>
        <w:t>tartışılmış</w:t>
      </w:r>
      <w:proofErr w:type="gramEnd"/>
      <w:r w:rsidRPr="00E47FF5">
        <w:rPr>
          <w:rFonts w:ascii="Arial" w:hAnsi="Arial" w:cs="Arial"/>
          <w:sz w:val="24"/>
          <w:szCs w:val="24"/>
        </w:rPr>
        <w:t xml:space="preserve"> ve bildirinin özeti sunulmuştur).</w:t>
      </w:r>
    </w:p>
    <w:p w:rsidR="00EF0148" w:rsidRPr="00B6425C" w:rsidRDefault="00EF0148" w:rsidP="00EF0148">
      <w:pPr>
        <w:pBdr>
          <w:bottom w:val="single" w:sz="4" w:space="1" w:color="auto"/>
        </w:pBdr>
        <w:shd w:val="clear" w:color="auto" w:fill="E2EFD9" w:themeFill="accent6" w:themeFillTint="33"/>
        <w:rPr>
          <w:rFonts w:ascii="Times New Roman" w:hAnsi="Times New Roman" w:cs="Times New Roman"/>
          <w:b/>
          <w:sz w:val="24"/>
          <w:szCs w:val="24"/>
        </w:rPr>
      </w:pPr>
      <w:r w:rsidRPr="00B6425C">
        <w:rPr>
          <w:rFonts w:ascii="Times New Roman" w:hAnsi="Times New Roman" w:cs="Times New Roman"/>
          <w:sz w:val="24"/>
          <w:szCs w:val="24"/>
        </w:rPr>
        <w:t>Chow SL; Bozkurt B;Baker WL; Bleske BE; Breathett K;et al.</w:t>
      </w:r>
      <w:r w:rsidRPr="00B6425C">
        <w:rPr>
          <w:rFonts w:ascii="Times New Roman" w:hAnsi="Times New Roman" w:cs="Times New Roman"/>
          <w:b/>
          <w:sz w:val="24"/>
          <w:szCs w:val="24"/>
        </w:rPr>
        <w:t xml:space="preserve"> Complementary and Alternative Medicines in the Management of Heart Failure: A Scientific Statement From the American Heart Association</w:t>
      </w:r>
    </w:p>
    <w:p w:rsidR="00EF0148" w:rsidRPr="00B6425C" w:rsidRDefault="00EF0148" w:rsidP="00EF0148">
      <w:pPr>
        <w:pBdr>
          <w:bottom w:val="single" w:sz="4" w:space="1" w:color="auto"/>
        </w:pBdr>
        <w:shd w:val="clear" w:color="auto" w:fill="E2EFD9" w:themeFill="accent6" w:themeFillTint="33"/>
        <w:rPr>
          <w:rFonts w:ascii="Times New Roman" w:hAnsi="Times New Roman" w:cs="Times New Roman"/>
          <w:sz w:val="24"/>
          <w:szCs w:val="24"/>
        </w:rPr>
      </w:pPr>
      <w:r w:rsidRPr="00B6425C">
        <w:rPr>
          <w:rFonts w:ascii="Times New Roman" w:hAnsi="Times New Roman" w:cs="Times New Roman"/>
          <w:sz w:val="24"/>
          <w:szCs w:val="24"/>
        </w:rPr>
        <w:t>Circulation. 2022;</w:t>
      </w:r>
      <w:proofErr w:type="gramStart"/>
      <w:r w:rsidRPr="00B6425C">
        <w:rPr>
          <w:rFonts w:ascii="Times New Roman" w:hAnsi="Times New Roman" w:cs="Times New Roman"/>
          <w:sz w:val="24"/>
          <w:szCs w:val="24"/>
        </w:rPr>
        <w:t>146:00</w:t>
      </w:r>
      <w:proofErr w:type="gramEnd"/>
      <w:r w:rsidRPr="00B6425C">
        <w:rPr>
          <w:rFonts w:ascii="Times New Roman" w:hAnsi="Times New Roman" w:cs="Times New Roman"/>
          <w:sz w:val="24"/>
          <w:szCs w:val="24"/>
        </w:rPr>
        <w:t>–00. DOI: 10.1161/CIR.0000000000001110</w:t>
      </w:r>
    </w:p>
    <w:p w:rsidR="00EF0148" w:rsidRDefault="00EF0148" w:rsidP="00EF0148">
      <w:pPr>
        <w:pBdr>
          <w:top w:val="single" w:sz="4" w:space="1" w:color="auto"/>
          <w:left w:val="single" w:sz="4" w:space="4" w:color="auto"/>
          <w:bottom w:val="single" w:sz="4" w:space="1" w:color="auto"/>
          <w:right w:val="single" w:sz="4" w:space="4" w:color="auto"/>
        </w:pBdr>
        <w:shd w:val="clear" w:color="auto" w:fill="E7E6E6" w:themeFill="background2"/>
        <w:rPr>
          <w:rFonts w:ascii="Times New Roman" w:hAnsi="Times New Roman" w:cs="Times New Roman"/>
          <w:color w:val="0070C0"/>
          <w:sz w:val="24"/>
          <w:szCs w:val="24"/>
        </w:rPr>
      </w:pPr>
      <w:r w:rsidRPr="00B6425C">
        <w:rPr>
          <w:rFonts w:ascii="Times New Roman" w:hAnsi="Times New Roman" w:cs="Times New Roman"/>
          <w:b/>
          <w:sz w:val="28"/>
          <w:szCs w:val="28"/>
        </w:rPr>
        <w:t>Özet-</w:t>
      </w:r>
      <w:r w:rsidRPr="00B6425C">
        <w:rPr>
          <w:rFonts w:ascii="Times New Roman" w:hAnsi="Times New Roman" w:cs="Times New Roman"/>
          <w:sz w:val="24"/>
          <w:szCs w:val="24"/>
        </w:rPr>
        <w:t xml:space="preserve"> Tamamlayıcı ve alternatif ilaçlar (TAT), dünya genelinde farklı </w:t>
      </w:r>
      <w:proofErr w:type="gramStart"/>
      <w:r w:rsidRPr="00B6425C">
        <w:rPr>
          <w:rFonts w:ascii="Times New Roman" w:hAnsi="Times New Roman" w:cs="Times New Roman"/>
          <w:sz w:val="24"/>
          <w:szCs w:val="24"/>
        </w:rPr>
        <w:t>popülasyonlar</w:t>
      </w:r>
      <w:proofErr w:type="gramEnd"/>
      <w:r w:rsidRPr="00B6425C">
        <w:rPr>
          <w:rFonts w:ascii="Times New Roman" w:hAnsi="Times New Roman" w:cs="Times New Roman"/>
          <w:sz w:val="24"/>
          <w:szCs w:val="24"/>
        </w:rPr>
        <w:t xml:space="preserve"> ve etnik kökenler tarafından yaygın olarak kullanılmaktadır, ancak büyük ölçüde düzenlenmemiştir.</w:t>
      </w:r>
      <w:r w:rsidRPr="00B6425C">
        <w:t xml:space="preserve"> </w:t>
      </w:r>
      <w:r w:rsidRPr="00B6425C">
        <w:rPr>
          <w:rFonts w:ascii="Times New Roman" w:hAnsi="Times New Roman" w:cs="Times New Roman"/>
          <w:sz w:val="24"/>
          <w:szCs w:val="24"/>
        </w:rPr>
        <w:t>Birçok TAT ajanının halk tarafından etkili ve güvenli olduğu iddia edilse de, TAT'ın kalp yetersizliğinde kullanımını destekleyen klinik kanıtlar sınırlı ve tartışmalıdır.</w:t>
      </w:r>
      <w:r w:rsidRPr="00B6425C">
        <w:t xml:space="preserve"> </w:t>
      </w:r>
      <w:r w:rsidRPr="00B6425C">
        <w:rPr>
          <w:rFonts w:ascii="Times New Roman" w:hAnsi="Times New Roman" w:cs="Times New Roman"/>
          <w:sz w:val="24"/>
          <w:szCs w:val="24"/>
        </w:rPr>
        <w:t>Ayrıca, sağlık uzmanları tıbbi kayıtların bir parçası olarak TAT kullanımını nadiren sorgular veya belgelendirir ve hastalar</w:t>
      </w:r>
      <w:r>
        <w:rPr>
          <w:rFonts w:ascii="Times New Roman" w:hAnsi="Times New Roman" w:cs="Times New Roman"/>
          <w:sz w:val="24"/>
          <w:szCs w:val="24"/>
        </w:rPr>
        <w:t>ın</w:t>
      </w:r>
      <w:r w:rsidRPr="00B6425C">
        <w:rPr>
          <w:rFonts w:ascii="Times New Roman" w:hAnsi="Times New Roman" w:cs="Times New Roman"/>
          <w:sz w:val="24"/>
          <w:szCs w:val="24"/>
        </w:rPr>
        <w:t xml:space="preserve"> nadiren daha fazla sorulmadan kullanımlarını </w:t>
      </w:r>
      <w:proofErr w:type="gramStart"/>
      <w:r w:rsidRPr="00B6425C">
        <w:rPr>
          <w:rFonts w:ascii="Times New Roman" w:hAnsi="Times New Roman" w:cs="Times New Roman"/>
          <w:sz w:val="24"/>
          <w:szCs w:val="24"/>
        </w:rPr>
        <w:t>açıklar .</w:t>
      </w:r>
      <w:proofErr w:type="gramEnd"/>
    </w:p>
    <w:p w:rsidR="00EF0148" w:rsidRDefault="00EF0148" w:rsidP="00EF0148">
      <w:pPr>
        <w:pBdr>
          <w:top w:val="single" w:sz="4" w:space="1" w:color="auto"/>
          <w:left w:val="single" w:sz="4" w:space="4" w:color="auto"/>
          <w:bottom w:val="single" w:sz="4" w:space="1" w:color="auto"/>
          <w:right w:val="single" w:sz="4" w:space="4" w:color="auto"/>
        </w:pBdr>
        <w:shd w:val="clear" w:color="auto" w:fill="E7E6E6" w:themeFill="background2"/>
        <w:rPr>
          <w:rFonts w:ascii="Times New Roman" w:hAnsi="Times New Roman" w:cs="Times New Roman"/>
          <w:sz w:val="24"/>
          <w:szCs w:val="24"/>
        </w:rPr>
      </w:pPr>
      <w:r w:rsidRPr="002C0505">
        <w:rPr>
          <w:rFonts w:ascii="Times New Roman" w:hAnsi="Times New Roman" w:cs="Times New Roman"/>
          <w:color w:val="0070C0"/>
          <w:sz w:val="24"/>
          <w:szCs w:val="24"/>
        </w:rPr>
        <w:t>.</w:t>
      </w:r>
      <w:r w:rsidRPr="000A1A5D">
        <w:rPr>
          <w:rFonts w:ascii="Times New Roman" w:hAnsi="Times New Roman" w:cs="Times New Roman"/>
          <w:sz w:val="24"/>
          <w:szCs w:val="24"/>
        </w:rPr>
        <w:t>Bu bilimsel beyanın amacı, KY'de TAT ve tamamlayıcı girişimsel sağlık yaklaşımları için yayınlanmış etkinlik ve güvenlik verilerini özetlemektir.</w:t>
      </w:r>
      <w:r w:rsidRPr="000A1A5D">
        <w:t xml:space="preserve"> </w:t>
      </w:r>
      <w:r w:rsidRPr="000A1A5D">
        <w:rPr>
          <w:rFonts w:ascii="Times New Roman" w:hAnsi="Times New Roman" w:cs="Times New Roman"/>
          <w:sz w:val="24"/>
          <w:szCs w:val="24"/>
        </w:rPr>
        <w:t xml:space="preserve">Ayrıca, KY hastalarının güvenliğini etkileyebilecek yan etkiler ve ilaç etkileşimleri gibi diğer önemli hususlar </w:t>
      </w:r>
      <w:r>
        <w:rPr>
          <w:rFonts w:ascii="Times New Roman" w:hAnsi="Times New Roman" w:cs="Times New Roman"/>
          <w:sz w:val="24"/>
          <w:szCs w:val="24"/>
        </w:rPr>
        <w:t xml:space="preserve">da </w:t>
      </w:r>
      <w:r w:rsidR="007455E7">
        <w:rPr>
          <w:rFonts w:ascii="Times New Roman" w:hAnsi="Times New Roman" w:cs="Times New Roman"/>
          <w:sz w:val="24"/>
          <w:szCs w:val="24"/>
        </w:rPr>
        <w:t xml:space="preserve">gözden </w:t>
      </w:r>
      <w:r w:rsidRPr="000A1A5D">
        <w:rPr>
          <w:rFonts w:ascii="Times New Roman" w:hAnsi="Times New Roman" w:cs="Times New Roman"/>
          <w:sz w:val="24"/>
          <w:szCs w:val="24"/>
        </w:rPr>
        <w:t>geçirilmiş ve tartışılmıştır.</w:t>
      </w:r>
    </w:p>
    <w:p w:rsidR="00E31917" w:rsidRDefault="00E31917" w:rsidP="004A05B8">
      <w:pPr>
        <w:spacing w:line="240" w:lineRule="auto"/>
        <w:textAlignment w:val="top"/>
        <w:rPr>
          <w:rFonts w:ascii="Times New Roman" w:eastAsia="Times New Roman" w:hAnsi="Times New Roman" w:cs="Times New Roman"/>
          <w:b/>
          <w:i/>
          <w:sz w:val="16"/>
          <w:szCs w:val="16"/>
          <w:lang w:eastAsia="tr-TR"/>
        </w:rPr>
      </w:pPr>
    </w:p>
    <w:p w:rsidR="00D527BB" w:rsidRPr="004A05B8" w:rsidRDefault="00E31917" w:rsidP="004A05B8">
      <w:pPr>
        <w:spacing w:line="240" w:lineRule="auto"/>
        <w:textAlignment w:val="top"/>
        <w:rPr>
          <w:rFonts w:ascii="Times New Roman" w:eastAsia="Times New Roman" w:hAnsi="Times New Roman" w:cs="Times New Roman"/>
          <w:i/>
          <w:sz w:val="40"/>
          <w:szCs w:val="40"/>
          <w:lang w:eastAsia="tr-TR"/>
        </w:rPr>
      </w:pPr>
      <w:r w:rsidRPr="004A05B8">
        <w:rPr>
          <w:rFonts w:ascii="Times New Roman" w:eastAsia="Times New Roman" w:hAnsi="Times New Roman" w:cs="Times New Roman"/>
          <w:i/>
          <w:sz w:val="40"/>
          <w:szCs w:val="40"/>
          <w:lang w:eastAsia="tr-TR"/>
        </w:rPr>
        <w:t xml:space="preserve">Kanıta-dayalı Tıp desteği zayıf </w:t>
      </w:r>
    </w:p>
    <w:p w:rsidR="00E31917" w:rsidRPr="004A05B8" w:rsidRDefault="00E31917" w:rsidP="004A05B8">
      <w:pPr>
        <w:spacing w:line="240" w:lineRule="auto"/>
        <w:textAlignment w:val="top"/>
        <w:rPr>
          <w:rFonts w:ascii="Times New Roman" w:eastAsia="Times New Roman" w:hAnsi="Times New Roman" w:cs="Times New Roman"/>
          <w:b/>
          <w:i/>
          <w:sz w:val="40"/>
          <w:szCs w:val="40"/>
          <w:lang w:eastAsia="tr-TR"/>
        </w:rPr>
      </w:pPr>
      <w:r w:rsidRPr="004A05B8">
        <w:rPr>
          <w:rFonts w:ascii="Times New Roman" w:eastAsia="Times New Roman" w:hAnsi="Times New Roman" w:cs="Times New Roman"/>
          <w:b/>
          <w:i/>
          <w:sz w:val="40"/>
          <w:szCs w:val="40"/>
          <w:lang w:eastAsia="tr-TR"/>
        </w:rPr>
        <w:t>Tamamlayıcı ve Alternatif Tıp</w:t>
      </w:r>
    </w:p>
    <w:p w:rsidR="00D527BB" w:rsidRPr="004A05B8" w:rsidRDefault="00D527BB" w:rsidP="004A05B8">
      <w:pPr>
        <w:spacing w:line="240" w:lineRule="auto"/>
        <w:textAlignment w:val="top"/>
        <w:rPr>
          <w:rFonts w:ascii="Times New Roman" w:eastAsia="Times New Roman" w:hAnsi="Times New Roman" w:cs="Times New Roman"/>
          <w:b/>
          <w:i/>
          <w:sz w:val="40"/>
          <w:szCs w:val="40"/>
          <w:lang w:eastAsia="tr-TR"/>
        </w:rPr>
      </w:pPr>
      <w:r w:rsidRPr="004A05B8">
        <w:rPr>
          <w:rFonts w:ascii="Times New Roman" w:eastAsia="Times New Roman" w:hAnsi="Times New Roman" w:cs="Times New Roman"/>
          <w:b/>
          <w:i/>
          <w:sz w:val="40"/>
          <w:szCs w:val="40"/>
          <w:lang w:eastAsia="tr-TR"/>
        </w:rPr>
        <w:t xml:space="preserve">                           Ve</w:t>
      </w:r>
    </w:p>
    <w:p w:rsidR="00D527BB" w:rsidRPr="004A05B8" w:rsidRDefault="00D527BB" w:rsidP="004A05B8">
      <w:pPr>
        <w:spacing w:line="240" w:lineRule="auto"/>
        <w:textAlignment w:val="top"/>
        <w:rPr>
          <w:rFonts w:ascii="Times New Roman" w:eastAsia="Times New Roman" w:hAnsi="Times New Roman" w:cs="Times New Roman"/>
          <w:b/>
          <w:i/>
          <w:sz w:val="40"/>
          <w:szCs w:val="40"/>
          <w:lang w:eastAsia="tr-TR"/>
        </w:rPr>
      </w:pPr>
      <w:r w:rsidRPr="004A05B8">
        <w:rPr>
          <w:rFonts w:ascii="Times New Roman" w:eastAsia="Times New Roman" w:hAnsi="Times New Roman" w:cs="Times New Roman"/>
          <w:b/>
          <w:i/>
          <w:sz w:val="40"/>
          <w:szCs w:val="40"/>
          <w:lang w:eastAsia="tr-TR"/>
        </w:rPr>
        <w:t>Tıbbi Marihuana, Kannabis</w:t>
      </w:r>
    </w:p>
    <w:p w:rsidR="00EF0148" w:rsidRPr="00E31917" w:rsidRDefault="00EF0148" w:rsidP="004A05B8">
      <w:pPr>
        <w:spacing w:line="240" w:lineRule="auto"/>
        <w:textAlignment w:val="top"/>
        <w:rPr>
          <w:rFonts w:ascii="Times New Roman" w:eastAsia="Times New Roman" w:hAnsi="Times New Roman" w:cs="Times New Roman"/>
          <w:b/>
          <w:color w:val="C00000"/>
          <w:sz w:val="16"/>
          <w:szCs w:val="16"/>
          <w:lang w:eastAsia="tr-TR"/>
        </w:rPr>
      </w:pPr>
    </w:p>
    <w:p w:rsidR="00D7090E" w:rsidRDefault="003474A1">
      <w:pPr>
        <w:rPr>
          <w:rFonts w:ascii="Arial" w:hAnsi="Arial" w:cs="Arial"/>
          <w:sz w:val="24"/>
          <w:szCs w:val="24"/>
        </w:rPr>
      </w:pPr>
      <w:r w:rsidRPr="003474A1">
        <w:rPr>
          <w:rFonts w:ascii="Arial" w:hAnsi="Arial" w:cs="Arial"/>
          <w:b/>
          <w:i/>
          <w:sz w:val="24"/>
          <w:szCs w:val="24"/>
        </w:rPr>
        <w:t>Aralık 2022-</w:t>
      </w:r>
      <w:r w:rsidRPr="003474A1">
        <w:rPr>
          <w:rFonts w:ascii="Arial" w:hAnsi="Arial" w:cs="Arial"/>
          <w:sz w:val="24"/>
          <w:szCs w:val="24"/>
        </w:rPr>
        <w:t xml:space="preserve"> AHA konuyla ilgili yeni bir bilimsel açıklamada, KY'li hastaların </w:t>
      </w:r>
      <w:proofErr w:type="gramStart"/>
      <w:r w:rsidRPr="003474A1">
        <w:rPr>
          <w:rFonts w:ascii="Arial" w:hAnsi="Arial" w:cs="Arial"/>
          <w:sz w:val="24"/>
          <w:szCs w:val="24"/>
        </w:rPr>
        <w:t>semptomları</w:t>
      </w:r>
      <w:proofErr w:type="gramEnd"/>
      <w:r w:rsidRPr="003474A1">
        <w:rPr>
          <w:rFonts w:ascii="Arial" w:hAnsi="Arial" w:cs="Arial"/>
          <w:sz w:val="24"/>
          <w:szCs w:val="24"/>
        </w:rPr>
        <w:t xml:space="preserve"> yönetmek için kullanabileceği tam</w:t>
      </w:r>
      <w:r>
        <w:rPr>
          <w:rFonts w:ascii="Arial" w:hAnsi="Arial" w:cs="Arial"/>
          <w:sz w:val="24"/>
          <w:szCs w:val="24"/>
        </w:rPr>
        <w:t>amlayıcı ve alternatif ilaçlar</w:t>
      </w:r>
      <w:r w:rsidRPr="003474A1">
        <w:rPr>
          <w:rFonts w:ascii="Arial" w:hAnsi="Arial" w:cs="Arial"/>
          <w:sz w:val="24"/>
          <w:szCs w:val="24"/>
        </w:rPr>
        <w:t xml:space="preserve"> (TAT [complementary and alternative medicines (CAM)]) </w:t>
      </w:r>
      <w:r>
        <w:rPr>
          <w:rFonts w:ascii="Arial" w:hAnsi="Arial" w:cs="Arial"/>
          <w:sz w:val="24"/>
          <w:szCs w:val="24"/>
        </w:rPr>
        <w:t xml:space="preserve"> ile </w:t>
      </w:r>
      <w:r w:rsidRPr="003474A1">
        <w:rPr>
          <w:rFonts w:ascii="Arial" w:hAnsi="Arial" w:cs="Arial"/>
          <w:sz w:val="24"/>
          <w:szCs w:val="24"/>
        </w:rPr>
        <w:t>ilişkili bazı faydalar ve potansiyel olarak ciddi riskler olduğunu söylüyor.</w:t>
      </w:r>
      <w:r w:rsidRPr="003474A1">
        <w:t xml:space="preserve"> </w:t>
      </w:r>
      <w:r w:rsidRPr="003474A1">
        <w:rPr>
          <w:rFonts w:ascii="Arial" w:hAnsi="Arial" w:cs="Arial"/>
          <w:sz w:val="24"/>
          <w:szCs w:val="24"/>
        </w:rPr>
        <w:t>-</w:t>
      </w:r>
      <w:r w:rsidRPr="003474A1">
        <w:rPr>
          <w:rFonts w:ascii="Arial" w:hAnsi="Arial" w:cs="Arial"/>
          <w:sz w:val="24"/>
          <w:szCs w:val="24"/>
        </w:rPr>
        <w:tab/>
        <w:t>Örneğin, yoga ve “tai chi</w:t>
      </w:r>
      <w:r w:rsidR="00194875">
        <w:rPr>
          <w:rFonts w:ascii="Arial" w:hAnsi="Arial" w:cs="Arial"/>
          <w:sz w:val="24"/>
          <w:szCs w:val="24"/>
        </w:rPr>
        <w:t xml:space="preserve"> </w:t>
      </w:r>
      <w:r w:rsidR="00194875" w:rsidRPr="00194875">
        <w:rPr>
          <w:rFonts w:ascii="Arial" w:hAnsi="Arial" w:cs="Arial"/>
          <w:b/>
          <w:color w:val="FF0000"/>
          <w:sz w:val="28"/>
          <w:szCs w:val="28"/>
        </w:rPr>
        <w:t xml:space="preserve">* </w:t>
      </w:r>
      <w:r w:rsidRPr="003474A1">
        <w:rPr>
          <w:rFonts w:ascii="Arial" w:hAnsi="Arial" w:cs="Arial"/>
          <w:sz w:val="24"/>
          <w:szCs w:val="24"/>
        </w:rPr>
        <w:t>” kalp yetersizliği olan kişiler için faydalı olabilir ve omega-3 çoklu doymamış yağ asitlerinin de faydaları olabilir.</w:t>
      </w:r>
      <w:r w:rsidR="00194875" w:rsidRPr="00194875">
        <w:t xml:space="preserve"> </w:t>
      </w:r>
      <w:r w:rsidR="00194875" w:rsidRPr="00194875">
        <w:rPr>
          <w:rFonts w:ascii="Arial" w:hAnsi="Arial" w:cs="Arial"/>
          <w:sz w:val="24"/>
          <w:szCs w:val="24"/>
        </w:rPr>
        <w:t>-</w:t>
      </w:r>
      <w:r w:rsidR="00194875" w:rsidRPr="00194875">
        <w:rPr>
          <w:rFonts w:ascii="Arial" w:hAnsi="Arial" w:cs="Arial"/>
          <w:sz w:val="24"/>
          <w:szCs w:val="24"/>
        </w:rPr>
        <w:tab/>
        <w:t xml:space="preserve">Bununla birlikte, D vitamini, mavi ‘cohosh’ ve ‘Lily of the Valley’ </w:t>
      </w:r>
      <w:proofErr w:type="gramStart"/>
      <w:r w:rsidR="00194875" w:rsidRPr="00194875">
        <w:rPr>
          <w:rFonts w:ascii="Arial" w:hAnsi="Arial" w:cs="Arial"/>
          <w:sz w:val="24"/>
          <w:szCs w:val="24"/>
        </w:rPr>
        <w:t>dahil</w:t>
      </w:r>
      <w:proofErr w:type="gramEnd"/>
      <w:r w:rsidR="00194875" w:rsidRPr="00194875">
        <w:rPr>
          <w:rFonts w:ascii="Arial" w:hAnsi="Arial" w:cs="Arial"/>
          <w:sz w:val="24"/>
          <w:szCs w:val="24"/>
        </w:rPr>
        <w:t xml:space="preserve"> olmak üzere yaygın olarak kullanılan diğer reçetesiz (OTC</w:t>
      </w:r>
      <w:r w:rsidR="00194875">
        <w:rPr>
          <w:rFonts w:ascii="Arial" w:hAnsi="Arial" w:cs="Arial"/>
          <w:sz w:val="24"/>
          <w:szCs w:val="24"/>
        </w:rPr>
        <w:t xml:space="preserve"> -over-the-counter </w:t>
      </w:r>
      <w:r w:rsidR="00194875" w:rsidRPr="00194875">
        <w:rPr>
          <w:rFonts w:ascii="Arial" w:hAnsi="Arial" w:cs="Arial"/>
          <w:sz w:val="24"/>
          <w:szCs w:val="24"/>
        </w:rPr>
        <w:t>) TAT tedavileriyle ilgili güvenlik endişeleri vardır.</w:t>
      </w:r>
    </w:p>
    <w:p w:rsidR="00534511" w:rsidRPr="000E2924" w:rsidRDefault="00194875" w:rsidP="00534511">
      <w:pPr>
        <w:pBdr>
          <w:bottom w:val="single" w:sz="4" w:space="1" w:color="auto"/>
        </w:pBdr>
        <w:spacing w:after="0" w:line="240" w:lineRule="auto"/>
      </w:pPr>
      <w:r w:rsidRPr="00194875">
        <w:rPr>
          <w:rFonts w:ascii="Arial" w:hAnsi="Arial" w:cs="Arial"/>
          <w:b/>
          <w:i/>
          <w:color w:val="FF0000"/>
          <w:sz w:val="28"/>
          <w:szCs w:val="28"/>
        </w:rPr>
        <w:t xml:space="preserve">*- </w:t>
      </w:r>
      <w:r w:rsidRPr="00194875">
        <w:rPr>
          <w:rFonts w:ascii="Times New Roman" w:eastAsia="Times New Roman" w:hAnsi="Times New Roman" w:cs="Times New Roman"/>
          <w:b/>
          <w:i/>
          <w:color w:val="222222"/>
          <w:sz w:val="24"/>
          <w:szCs w:val="24"/>
          <w:lang w:eastAsia="tr-TR"/>
        </w:rPr>
        <w:t>Tai chi:</w:t>
      </w:r>
      <w:r w:rsidRPr="00FA0494">
        <w:rPr>
          <w:rFonts w:ascii="Times New Roman" w:eastAsia="Times New Roman" w:hAnsi="Times New Roman" w:cs="Times New Roman"/>
          <w:color w:val="222222"/>
          <w:sz w:val="24"/>
          <w:szCs w:val="24"/>
          <w:lang w:eastAsia="tr-TR"/>
        </w:rPr>
        <w:t xml:space="preserve"> </w:t>
      </w:r>
      <w:r w:rsidRPr="000E2924">
        <w:rPr>
          <w:rFonts w:ascii="Times New Roman" w:eastAsia="Times New Roman" w:hAnsi="Times New Roman" w:cs="Times New Roman"/>
          <w:i/>
          <w:color w:val="222222"/>
          <w:lang w:eastAsia="tr-TR"/>
        </w:rPr>
        <w:t>Taici çüen</w:t>
      </w:r>
      <w:r w:rsidRPr="000E2924">
        <w:rPr>
          <w:rFonts w:ascii="Times New Roman" w:eastAsia="Times New Roman" w:hAnsi="Times New Roman" w:cs="Times New Roman"/>
          <w:color w:val="222222"/>
          <w:lang w:eastAsia="tr-TR"/>
        </w:rPr>
        <w:t xml:space="preserve"> genellikle </w:t>
      </w:r>
      <w:r w:rsidRPr="000E2924">
        <w:rPr>
          <w:rFonts w:ascii="Times New Roman" w:eastAsia="Times New Roman" w:hAnsi="Times New Roman" w:cs="Times New Roman"/>
          <w:i/>
          <w:color w:val="222222"/>
          <w:lang w:eastAsia="tr-TR"/>
        </w:rPr>
        <w:t>Tai-Chi</w:t>
      </w:r>
      <w:r w:rsidRPr="000E2924">
        <w:rPr>
          <w:rFonts w:ascii="Times New Roman" w:eastAsia="Times New Roman" w:hAnsi="Times New Roman" w:cs="Times New Roman"/>
          <w:color w:val="222222"/>
          <w:lang w:eastAsia="tr-TR"/>
        </w:rPr>
        <w:t xml:space="preserve"> olarak bilinen Çin Tao öğretisinden ortaya çıkmış evrenle uyumlanma, içrek savaş sanatıdır. Buradaki savaş sözcüğünü çatışma ile ilişkilendirilmemelidir. Dayanma gücü, dirlik, uyumu bulma mücadelesi daha uygun olacaktır. Tai-Chi'nin temel kökleri kadim iki kitaba dayanır.</w:t>
      </w:r>
      <w:r w:rsidR="0030201F" w:rsidRPr="000E2924">
        <w:t xml:space="preserve"> </w:t>
      </w:r>
      <w:r w:rsidR="0030201F" w:rsidRPr="000E2924">
        <w:rPr>
          <w:rFonts w:ascii="Times New Roman" w:eastAsia="Times New Roman" w:hAnsi="Times New Roman" w:cs="Times New Roman"/>
          <w:color w:val="222222"/>
          <w:lang w:eastAsia="tr-TR"/>
        </w:rPr>
        <w:t xml:space="preserve">KY'li yaklaşık 3 hastadan 1 tanesinin TAT kullandığı tahmin edilmektedir. Ancak hastalar sıklıkla TAT kullanımlarını klinisyenlerine bildirmezler, dolayısı ile klinisyenler rutin </w:t>
      </w:r>
      <w:r w:rsidR="0030201F" w:rsidRPr="000E2924">
        <w:rPr>
          <w:rFonts w:ascii="Times New Roman" w:eastAsia="Times New Roman" w:hAnsi="Times New Roman" w:cs="Times New Roman"/>
          <w:color w:val="222222"/>
          <w:lang w:eastAsia="tr-TR"/>
        </w:rPr>
        <w:lastRenderedPageBreak/>
        <w:t>olarak TAT kullanımı hakkında soru sormayabilir veya TAT tedavilerini değerlendirecek kaynaklara sahip olmayabilir</w:t>
      </w:r>
      <w:r w:rsidR="00C92F04" w:rsidRPr="000E2924">
        <w:rPr>
          <w:rFonts w:ascii="Times New Roman" w:eastAsia="Times New Roman" w:hAnsi="Times New Roman" w:cs="Times New Roman"/>
          <w:color w:val="222222"/>
          <w:lang w:eastAsia="tr-TR"/>
        </w:rPr>
        <w:t>.</w:t>
      </w:r>
      <w:r w:rsidR="00C92F04" w:rsidRPr="000E2924">
        <w:t xml:space="preserve"> </w:t>
      </w:r>
    </w:p>
    <w:p w:rsidR="00534511" w:rsidRDefault="00534511" w:rsidP="00534511">
      <w:pPr>
        <w:spacing w:after="0" w:line="240" w:lineRule="auto"/>
      </w:pPr>
    </w:p>
    <w:p w:rsidR="00194875" w:rsidRPr="00FA0494" w:rsidRDefault="00C92F04" w:rsidP="00534511">
      <w:pPr>
        <w:spacing w:after="0" w:line="240" w:lineRule="auto"/>
        <w:rPr>
          <w:rFonts w:ascii="Times New Roman" w:eastAsia="Times New Roman" w:hAnsi="Times New Roman" w:cs="Times New Roman"/>
          <w:color w:val="222222"/>
          <w:sz w:val="24"/>
          <w:szCs w:val="24"/>
          <w:lang w:eastAsia="tr-TR"/>
        </w:rPr>
      </w:pPr>
      <w:proofErr w:type="gramStart"/>
      <w:r w:rsidRPr="00534511">
        <w:rPr>
          <w:rFonts w:ascii="Arial" w:eastAsia="Times New Roman" w:hAnsi="Arial" w:cs="Arial"/>
          <w:color w:val="222222"/>
          <w:sz w:val="24"/>
          <w:szCs w:val="24"/>
          <w:lang w:eastAsia="tr-TR"/>
        </w:rPr>
        <w:t>Tüketicilerin  potansiyel</w:t>
      </w:r>
      <w:proofErr w:type="gramEnd"/>
      <w:r w:rsidRPr="00534511">
        <w:rPr>
          <w:rFonts w:ascii="Arial" w:eastAsia="Times New Roman" w:hAnsi="Arial" w:cs="Arial"/>
          <w:color w:val="222222"/>
          <w:sz w:val="24"/>
          <w:szCs w:val="24"/>
          <w:lang w:eastAsia="tr-TR"/>
        </w:rPr>
        <w:t xml:space="preserve"> olarak tehlikeli ve çok az düzenlemeye tabi tutulan  bu ürünleri</w:t>
      </w:r>
      <w:r w:rsidR="00DE5C36" w:rsidRPr="00534511">
        <w:rPr>
          <w:rFonts w:ascii="Arial" w:eastAsia="Times New Roman" w:hAnsi="Arial" w:cs="Arial"/>
          <w:color w:val="222222"/>
          <w:sz w:val="24"/>
          <w:szCs w:val="24"/>
          <w:lang w:eastAsia="tr-TR"/>
        </w:rPr>
        <w:t>,</w:t>
      </w:r>
      <w:r w:rsidRPr="00534511">
        <w:rPr>
          <w:rFonts w:ascii="Arial" w:eastAsia="Times New Roman" w:hAnsi="Arial" w:cs="Arial"/>
          <w:color w:val="222222"/>
          <w:sz w:val="24"/>
          <w:szCs w:val="24"/>
          <w:lang w:eastAsia="tr-TR"/>
        </w:rPr>
        <w:t xml:space="preserve"> bir sağlık uzmanının bilgi veya tavsiyesi olmadan sıklıkla satın al</w:t>
      </w:r>
      <w:r w:rsidR="00DE5C36" w:rsidRPr="00534511">
        <w:rPr>
          <w:rFonts w:ascii="Arial" w:eastAsia="Times New Roman" w:hAnsi="Arial" w:cs="Arial"/>
          <w:color w:val="222222"/>
          <w:sz w:val="24"/>
          <w:szCs w:val="24"/>
          <w:lang w:eastAsia="tr-TR"/>
        </w:rPr>
        <w:t>abildikleri de  düşünüldüğünde</w:t>
      </w:r>
      <w:r w:rsidRPr="00534511">
        <w:rPr>
          <w:rFonts w:ascii="Arial" w:eastAsia="Times New Roman" w:hAnsi="Arial" w:cs="Arial"/>
          <w:color w:val="222222"/>
          <w:sz w:val="24"/>
          <w:szCs w:val="24"/>
          <w:lang w:eastAsia="tr-TR"/>
        </w:rPr>
        <w:t xml:space="preserve">, </w:t>
      </w:r>
      <w:r w:rsidR="004B2F50" w:rsidRPr="00534511">
        <w:rPr>
          <w:rFonts w:ascii="Arial" w:eastAsia="Times New Roman" w:hAnsi="Arial" w:cs="Arial"/>
          <w:color w:val="222222"/>
          <w:sz w:val="24"/>
          <w:szCs w:val="24"/>
          <w:lang w:eastAsia="tr-TR"/>
        </w:rPr>
        <w:t xml:space="preserve">aslında </w:t>
      </w:r>
      <w:r w:rsidRPr="00534511">
        <w:rPr>
          <w:rFonts w:ascii="Arial" w:eastAsia="Times New Roman" w:hAnsi="Arial" w:cs="Arial"/>
          <w:color w:val="222222"/>
          <w:sz w:val="24"/>
          <w:szCs w:val="24"/>
          <w:lang w:eastAsia="tr-TR"/>
        </w:rPr>
        <w:t>bu durum</w:t>
      </w:r>
      <w:r w:rsidR="00DE5C36" w:rsidRPr="00534511">
        <w:rPr>
          <w:rFonts w:ascii="Arial" w:eastAsia="Times New Roman" w:hAnsi="Arial" w:cs="Arial"/>
          <w:color w:val="222222"/>
          <w:sz w:val="24"/>
          <w:szCs w:val="24"/>
          <w:lang w:eastAsia="tr-TR"/>
        </w:rPr>
        <w:t xml:space="preserve">un </w:t>
      </w:r>
      <w:r w:rsidR="004B2F50" w:rsidRPr="00534511">
        <w:rPr>
          <w:rFonts w:ascii="Arial" w:eastAsia="Times New Roman" w:hAnsi="Arial" w:cs="Arial"/>
          <w:color w:val="222222"/>
          <w:sz w:val="24"/>
          <w:szCs w:val="24"/>
          <w:lang w:eastAsia="tr-TR"/>
        </w:rPr>
        <w:t xml:space="preserve">titizlikle üzerinde durulması gereken </w:t>
      </w:r>
      <w:r w:rsidR="00DE5C36" w:rsidRPr="00534511">
        <w:rPr>
          <w:rFonts w:ascii="Arial" w:eastAsia="Times New Roman" w:hAnsi="Arial" w:cs="Arial"/>
          <w:color w:val="222222"/>
          <w:sz w:val="24"/>
          <w:szCs w:val="24"/>
          <w:lang w:eastAsia="tr-TR"/>
        </w:rPr>
        <w:t xml:space="preserve">göz ardı edilemeyecek </w:t>
      </w:r>
      <w:r w:rsidRPr="00534511">
        <w:rPr>
          <w:rFonts w:ascii="Arial" w:eastAsia="Times New Roman" w:hAnsi="Arial" w:cs="Arial"/>
          <w:color w:val="222222"/>
          <w:sz w:val="24"/>
          <w:szCs w:val="24"/>
          <w:lang w:eastAsia="tr-TR"/>
        </w:rPr>
        <w:t xml:space="preserve"> </w:t>
      </w:r>
      <w:r w:rsidR="004B2F50" w:rsidRPr="00534511">
        <w:rPr>
          <w:rFonts w:ascii="Arial" w:eastAsia="Times New Roman" w:hAnsi="Arial" w:cs="Arial"/>
          <w:color w:val="222222"/>
          <w:sz w:val="24"/>
          <w:szCs w:val="24"/>
          <w:lang w:eastAsia="tr-TR"/>
        </w:rPr>
        <w:t xml:space="preserve">kadar </w:t>
      </w:r>
      <w:r w:rsidRPr="00534511">
        <w:rPr>
          <w:rFonts w:ascii="Arial" w:eastAsia="Times New Roman" w:hAnsi="Arial" w:cs="Arial"/>
          <w:color w:val="222222"/>
          <w:sz w:val="24"/>
          <w:szCs w:val="24"/>
          <w:lang w:eastAsia="tr-TR"/>
        </w:rPr>
        <w:t xml:space="preserve">büyük bir halk </w:t>
      </w:r>
      <w:r w:rsidR="004B2F50" w:rsidRPr="00534511">
        <w:rPr>
          <w:rFonts w:ascii="Arial" w:eastAsia="Times New Roman" w:hAnsi="Arial" w:cs="Arial"/>
          <w:color w:val="222222"/>
          <w:sz w:val="24"/>
          <w:szCs w:val="24"/>
          <w:lang w:eastAsia="tr-TR"/>
        </w:rPr>
        <w:t>sağlığı sorunu  alacağıdır</w:t>
      </w:r>
      <w:r w:rsidRPr="00534511">
        <w:rPr>
          <w:rFonts w:ascii="Arial" w:eastAsia="Times New Roman" w:hAnsi="Arial" w:cs="Arial"/>
          <w:color w:val="222222"/>
          <w:sz w:val="24"/>
          <w:szCs w:val="24"/>
          <w:lang w:eastAsia="tr-TR"/>
        </w:rPr>
        <w:t>.</w:t>
      </w:r>
    </w:p>
    <w:p w:rsidR="00C94B5B" w:rsidRDefault="00C94B5B" w:rsidP="002C6BC2">
      <w:pPr>
        <w:spacing w:after="0" w:line="240" w:lineRule="auto"/>
        <w:rPr>
          <w:rFonts w:ascii="Times New Roman" w:eastAsia="Times New Roman" w:hAnsi="Times New Roman" w:cs="Times New Roman"/>
          <w:sz w:val="24"/>
          <w:szCs w:val="24"/>
          <w:lang w:eastAsia="tr-TR"/>
        </w:rPr>
      </w:pPr>
    </w:p>
    <w:p w:rsidR="002C6BC2" w:rsidRPr="001166DA" w:rsidRDefault="001166DA" w:rsidP="002C6BC2">
      <w:pPr>
        <w:spacing w:after="0" w:line="240" w:lineRule="auto"/>
        <w:rPr>
          <w:rFonts w:ascii="Times New Roman" w:eastAsia="Times New Roman" w:hAnsi="Times New Roman" w:cs="Times New Roman"/>
          <w:sz w:val="24"/>
          <w:szCs w:val="24"/>
          <w:lang w:eastAsia="tr-TR"/>
        </w:rPr>
      </w:pPr>
      <w:r w:rsidRPr="00C94B5B">
        <w:rPr>
          <w:rFonts w:ascii="Arial" w:eastAsia="Times New Roman" w:hAnsi="Arial" w:cs="Arial"/>
          <w:i/>
          <w:sz w:val="28"/>
          <w:szCs w:val="28"/>
          <w:lang w:eastAsia="tr-TR"/>
        </w:rPr>
        <w:t xml:space="preserve">AHA’nın bu 27 </w:t>
      </w:r>
      <w:proofErr w:type="gramStart"/>
      <w:r w:rsidRPr="00C94B5B">
        <w:rPr>
          <w:rFonts w:ascii="Arial" w:eastAsia="Times New Roman" w:hAnsi="Arial" w:cs="Arial"/>
          <w:i/>
          <w:sz w:val="28"/>
          <w:szCs w:val="28"/>
          <w:lang w:eastAsia="tr-TR"/>
        </w:rPr>
        <w:t>sayfalık  bilimsel</w:t>
      </w:r>
      <w:proofErr w:type="gramEnd"/>
      <w:r w:rsidRPr="00C94B5B">
        <w:rPr>
          <w:rFonts w:ascii="Arial" w:eastAsia="Times New Roman" w:hAnsi="Arial" w:cs="Arial"/>
          <w:i/>
          <w:sz w:val="28"/>
          <w:szCs w:val="28"/>
          <w:lang w:eastAsia="tr-TR"/>
        </w:rPr>
        <w:t xml:space="preserve"> durum raporu 8 Aralık'ta Circulatıon’da çevrimiçi olarak yayınlandı</w:t>
      </w:r>
      <w:r w:rsidR="00534511">
        <w:rPr>
          <w:rFonts w:ascii="Times New Roman" w:eastAsia="Times New Roman" w:hAnsi="Times New Roman" w:cs="Times New Roman"/>
          <w:i/>
          <w:sz w:val="24"/>
          <w:szCs w:val="24"/>
          <w:lang w:eastAsia="tr-TR"/>
        </w:rPr>
        <w:t xml:space="preserve"> (</w:t>
      </w:r>
      <w:r w:rsidR="00534511" w:rsidRPr="00534511">
        <w:rPr>
          <w:rFonts w:ascii="Times New Roman" w:eastAsia="Times New Roman" w:hAnsi="Times New Roman" w:cs="Times New Roman"/>
          <w:i/>
          <w:color w:val="0070C0"/>
          <w:sz w:val="24"/>
          <w:szCs w:val="24"/>
          <w:lang w:eastAsia="tr-TR"/>
        </w:rPr>
        <w:t>https://www.ahajournals.org/doi/suppl/10.1161/CIR.0000000000001110</w:t>
      </w:r>
      <w:r w:rsidR="00534511">
        <w:rPr>
          <w:rFonts w:ascii="Times New Roman" w:eastAsia="Times New Roman" w:hAnsi="Times New Roman" w:cs="Times New Roman"/>
          <w:i/>
          <w:sz w:val="24"/>
          <w:szCs w:val="24"/>
          <w:lang w:eastAsia="tr-TR"/>
        </w:rPr>
        <w:t>).</w:t>
      </w:r>
    </w:p>
    <w:p w:rsidR="002C6BC2" w:rsidRDefault="002C6BC2">
      <w:pPr>
        <w:rPr>
          <w:rFonts w:ascii="Arial" w:hAnsi="Arial" w:cs="Arial"/>
          <w:sz w:val="24"/>
          <w:szCs w:val="24"/>
        </w:rPr>
      </w:pPr>
    </w:p>
    <w:p w:rsidR="00534511" w:rsidRDefault="00534511">
      <w:pPr>
        <w:rPr>
          <w:rFonts w:ascii="Arial" w:hAnsi="Arial" w:cs="Arial"/>
          <w:sz w:val="24"/>
          <w:szCs w:val="24"/>
        </w:rPr>
      </w:pPr>
    </w:p>
    <w:p w:rsidR="00534511" w:rsidRPr="00534511" w:rsidRDefault="00534511" w:rsidP="00534511">
      <w:pPr>
        <w:spacing w:after="300" w:line="240" w:lineRule="auto"/>
        <w:outlineLvl w:val="2"/>
        <w:rPr>
          <w:rFonts w:ascii="Times New Roman" w:eastAsia="Times New Roman" w:hAnsi="Times New Roman" w:cs="Times New Roman"/>
          <w:b/>
          <w:sz w:val="32"/>
          <w:szCs w:val="32"/>
          <w:lang w:eastAsia="tr-TR"/>
        </w:rPr>
      </w:pPr>
      <w:r w:rsidRPr="00534511">
        <w:rPr>
          <w:rFonts w:ascii="Times New Roman" w:eastAsia="Times New Roman" w:hAnsi="Times New Roman" w:cs="Times New Roman"/>
          <w:b/>
          <w:sz w:val="32"/>
          <w:szCs w:val="32"/>
          <w:lang w:eastAsia="tr-TR"/>
        </w:rPr>
        <w:t>KY'de Yaygın TAT Kullanımı</w:t>
      </w:r>
    </w:p>
    <w:p w:rsidR="00E401FF" w:rsidRDefault="00E401FF" w:rsidP="00E401FF">
      <w:pPr>
        <w:spacing w:after="300" w:line="240" w:lineRule="auto"/>
        <w:outlineLvl w:val="2"/>
        <w:rPr>
          <w:rFonts w:ascii="Arial" w:eastAsia="Times New Roman" w:hAnsi="Arial" w:cs="Arial"/>
          <w:sz w:val="24"/>
          <w:szCs w:val="24"/>
          <w:lang w:eastAsia="tr-TR"/>
        </w:rPr>
      </w:pPr>
      <w:r w:rsidRPr="00E401FF">
        <w:rPr>
          <w:rFonts w:ascii="Arial" w:eastAsia="Times New Roman" w:hAnsi="Arial" w:cs="Arial"/>
          <w:sz w:val="24"/>
          <w:szCs w:val="24"/>
          <w:lang w:eastAsia="tr-TR"/>
        </w:rPr>
        <w:t>Bildiri, TAT'ı geleneksel, kanıta dayalı uygulama kılavuzlarının standartlarına uymayan tıbbi uygulamalar, takviyeler/destekler ve yaklaşımlar olarak tanımlar.</w:t>
      </w:r>
      <w:r w:rsidRPr="00E401FF">
        <w:rPr>
          <w:rFonts w:ascii="Arial" w:hAnsi="Arial" w:cs="Arial"/>
          <w:sz w:val="24"/>
          <w:szCs w:val="24"/>
        </w:rPr>
        <w:t xml:space="preserve"> TAT</w:t>
      </w:r>
      <w:r w:rsidRPr="00E401FF">
        <w:rPr>
          <w:rFonts w:ascii="Arial" w:eastAsia="Times New Roman" w:hAnsi="Arial" w:cs="Arial"/>
          <w:sz w:val="24"/>
          <w:szCs w:val="24"/>
          <w:lang w:eastAsia="tr-TR"/>
        </w:rPr>
        <w:t xml:space="preserve"> ürünleri, eczanelerde, sağlıklı gıda mağazalarında ve çevrimiçi perakendecilerde reçete veya tıbbi rehberlik olmaksızın temin edilebilir.</w:t>
      </w:r>
    </w:p>
    <w:p w:rsidR="00E609F1" w:rsidRDefault="00046590" w:rsidP="00E401FF">
      <w:pPr>
        <w:spacing w:after="300" w:line="240" w:lineRule="auto"/>
        <w:outlineLvl w:val="2"/>
        <w:rPr>
          <w:rFonts w:ascii="Arial" w:eastAsia="Times New Roman" w:hAnsi="Arial" w:cs="Arial"/>
          <w:sz w:val="24"/>
          <w:szCs w:val="24"/>
          <w:lang w:eastAsia="tr-TR"/>
        </w:rPr>
      </w:pPr>
      <w:r w:rsidRPr="00E609F1">
        <w:rPr>
          <w:rFonts w:ascii="Arial" w:eastAsia="Times New Roman" w:hAnsi="Arial" w:cs="Arial"/>
          <w:sz w:val="24"/>
          <w:szCs w:val="24"/>
          <w:lang w:eastAsia="tr-TR"/>
        </w:rPr>
        <w:t>Bu ajanlar büyük ölçüde FDA tarafından düzenlenmemiştir ve üreticilerin etkinlik veya güvenlik göstermeleri gerekmez. Hem sağlık profesyonelleri</w:t>
      </w:r>
      <w:r w:rsidR="00E609F1" w:rsidRPr="00E609F1">
        <w:rPr>
          <w:rFonts w:ascii="Arial" w:eastAsia="Times New Roman" w:hAnsi="Arial" w:cs="Arial"/>
          <w:sz w:val="24"/>
          <w:szCs w:val="24"/>
          <w:lang w:eastAsia="tr-TR"/>
        </w:rPr>
        <w:t>nin hem de tüketicilerin OTC ( over-the-counter YANİ</w:t>
      </w:r>
      <w:r w:rsidRPr="00E609F1">
        <w:rPr>
          <w:rFonts w:ascii="Arial" w:eastAsia="Times New Roman" w:hAnsi="Arial" w:cs="Arial"/>
          <w:sz w:val="24"/>
          <w:szCs w:val="24"/>
          <w:lang w:eastAsia="tr-TR"/>
        </w:rPr>
        <w:t xml:space="preserve"> tezg</w:t>
      </w:r>
      <w:r w:rsidR="00E609F1" w:rsidRPr="00E609F1">
        <w:rPr>
          <w:rFonts w:ascii="Arial" w:eastAsia="Times New Roman" w:hAnsi="Arial" w:cs="Arial"/>
          <w:sz w:val="24"/>
          <w:szCs w:val="24"/>
          <w:lang w:eastAsia="tr-TR"/>
        </w:rPr>
        <w:t>ahın üstünden reçetesiz satılan</w:t>
      </w:r>
      <w:r w:rsidRPr="00E609F1">
        <w:rPr>
          <w:rFonts w:ascii="Arial" w:eastAsia="Times New Roman" w:hAnsi="Arial" w:cs="Arial"/>
          <w:sz w:val="24"/>
          <w:szCs w:val="24"/>
          <w:lang w:eastAsia="tr-TR"/>
        </w:rPr>
        <w:t xml:space="preserve"> tedavilerle ilgili iletişimi geliştirmeleri ve pot</w:t>
      </w:r>
      <w:r w:rsidR="00E609F1" w:rsidRPr="00E609F1">
        <w:rPr>
          <w:rFonts w:ascii="Arial" w:eastAsia="Times New Roman" w:hAnsi="Arial" w:cs="Arial"/>
          <w:sz w:val="24"/>
          <w:szCs w:val="24"/>
          <w:lang w:eastAsia="tr-TR"/>
        </w:rPr>
        <w:t xml:space="preserve">ansiyel etkinlik ve </w:t>
      </w:r>
      <w:proofErr w:type="gramStart"/>
      <w:r w:rsidR="00E609F1" w:rsidRPr="00E609F1">
        <w:rPr>
          <w:rFonts w:ascii="Arial" w:eastAsia="Times New Roman" w:hAnsi="Arial" w:cs="Arial"/>
          <w:sz w:val="24"/>
          <w:szCs w:val="24"/>
          <w:lang w:eastAsia="tr-TR"/>
        </w:rPr>
        <w:t xml:space="preserve">zarar </w:t>
      </w:r>
      <w:r w:rsidRPr="00E609F1">
        <w:rPr>
          <w:rFonts w:ascii="Arial" w:eastAsia="Times New Roman" w:hAnsi="Arial" w:cs="Arial"/>
          <w:sz w:val="24"/>
          <w:szCs w:val="24"/>
          <w:lang w:eastAsia="tr-TR"/>
        </w:rPr>
        <w:t xml:space="preserve"> risk</w:t>
      </w:r>
      <w:r w:rsidR="00E609F1" w:rsidRPr="00E609F1">
        <w:rPr>
          <w:rFonts w:ascii="Arial" w:eastAsia="Times New Roman" w:hAnsi="Arial" w:cs="Arial"/>
          <w:sz w:val="24"/>
          <w:szCs w:val="24"/>
          <w:lang w:eastAsia="tr-TR"/>
        </w:rPr>
        <w:t>leri</w:t>
      </w:r>
      <w:proofErr w:type="gramEnd"/>
      <w:r w:rsidRPr="00E609F1">
        <w:rPr>
          <w:rFonts w:ascii="Arial" w:eastAsia="Times New Roman" w:hAnsi="Arial" w:cs="Arial"/>
          <w:sz w:val="24"/>
          <w:szCs w:val="24"/>
          <w:lang w:eastAsia="tr-TR"/>
        </w:rPr>
        <w:t xml:space="preserve"> konusunda eğitilmeleri önemlidir, böylece ortak ve bilinçli karar verme gerçekleşebilir.</w:t>
      </w:r>
    </w:p>
    <w:p w:rsidR="00E609F1" w:rsidRDefault="00E609F1" w:rsidP="00E401FF">
      <w:pPr>
        <w:spacing w:after="300" w:line="240" w:lineRule="auto"/>
        <w:outlineLvl w:val="2"/>
        <w:rPr>
          <w:rFonts w:ascii="Arial" w:eastAsia="Times New Roman" w:hAnsi="Arial" w:cs="Arial"/>
          <w:sz w:val="24"/>
          <w:szCs w:val="24"/>
          <w:lang w:eastAsia="tr-TR"/>
        </w:rPr>
      </w:pPr>
      <w:r>
        <w:rPr>
          <w:rFonts w:ascii="Arial" w:eastAsia="Times New Roman" w:hAnsi="Arial" w:cs="Arial"/>
          <w:sz w:val="24"/>
          <w:szCs w:val="24"/>
          <w:lang w:eastAsia="tr-TR"/>
        </w:rPr>
        <w:t>Bilimsel bildirinin y</w:t>
      </w:r>
      <w:r w:rsidRPr="00E609F1">
        <w:rPr>
          <w:rFonts w:ascii="Arial" w:eastAsia="Times New Roman" w:hAnsi="Arial" w:cs="Arial"/>
          <w:sz w:val="24"/>
          <w:szCs w:val="24"/>
          <w:lang w:eastAsia="tr-TR"/>
        </w:rPr>
        <w:t>azı grubu, kalp yetersizliği olan kişiler arasında TAT hakkında Kasım 2021'den önce yayınlanan araştırmayı gözden geçirdi</w:t>
      </w:r>
      <w:r>
        <w:rPr>
          <w:rFonts w:ascii="Arial" w:eastAsia="Times New Roman" w:hAnsi="Arial" w:cs="Arial"/>
          <w:sz w:val="24"/>
          <w:szCs w:val="24"/>
          <w:lang w:eastAsia="tr-TR"/>
        </w:rPr>
        <w:t>.</w:t>
      </w:r>
    </w:p>
    <w:p w:rsidR="004364F6" w:rsidRPr="004364F6" w:rsidRDefault="004364F6" w:rsidP="004364F6">
      <w:pPr>
        <w:pStyle w:val="ListeParagraf"/>
        <w:numPr>
          <w:ilvl w:val="0"/>
          <w:numId w:val="2"/>
        </w:numPr>
        <w:spacing w:after="0" w:line="240" w:lineRule="auto"/>
        <w:rPr>
          <w:rFonts w:ascii="Arial" w:eastAsia="Times New Roman" w:hAnsi="Arial" w:cs="Arial"/>
          <w:sz w:val="24"/>
          <w:szCs w:val="24"/>
          <w:lang w:eastAsia="tr-TR"/>
        </w:rPr>
      </w:pPr>
      <w:r w:rsidRPr="004364F6">
        <w:rPr>
          <w:rFonts w:ascii="Arial" w:eastAsia="Times New Roman" w:hAnsi="Arial" w:cs="Arial"/>
          <w:sz w:val="24"/>
          <w:szCs w:val="24"/>
          <w:lang w:eastAsia="tr-TR"/>
        </w:rPr>
        <w:t>Balık yağı gibi Omega-3 çoklu doymamış (poliansatüre) yağ asitleri (PUFA</w:t>
      </w:r>
      <w:r>
        <w:rPr>
          <w:rFonts w:ascii="Arial" w:eastAsia="Times New Roman" w:hAnsi="Arial" w:cs="Arial"/>
          <w:sz w:val="24"/>
          <w:szCs w:val="24"/>
          <w:lang w:eastAsia="tr-TR"/>
        </w:rPr>
        <w:t>=</w:t>
      </w:r>
      <w:r w:rsidRPr="004364F6">
        <w:rPr>
          <w:rFonts w:ascii="Arial" w:eastAsia="Times New Roman" w:hAnsi="Arial" w:cs="Arial"/>
          <w:sz w:val="24"/>
          <w:szCs w:val="24"/>
          <w:lang w:eastAsia="tr-TR"/>
        </w:rPr>
        <w:t xml:space="preserve">  </w:t>
      </w:r>
      <w:r>
        <w:rPr>
          <w:rFonts w:ascii="Arial" w:eastAsia="Times New Roman" w:hAnsi="Arial" w:cs="Arial"/>
          <w:sz w:val="24"/>
          <w:szCs w:val="24"/>
          <w:lang w:eastAsia="tr-TR"/>
        </w:rPr>
        <w:t>polyunsaturated fatty acids</w:t>
      </w:r>
      <w:r w:rsidRPr="004364F6">
        <w:rPr>
          <w:rFonts w:ascii="Arial" w:eastAsia="Times New Roman" w:hAnsi="Arial" w:cs="Arial"/>
          <w:sz w:val="24"/>
          <w:szCs w:val="24"/>
          <w:lang w:eastAsia="tr-TR"/>
        </w:rPr>
        <w:t xml:space="preserve">), KY'de klinik fayda için </w:t>
      </w:r>
      <w:r w:rsidR="0024327D">
        <w:rPr>
          <w:rFonts w:ascii="Arial" w:eastAsia="Times New Roman" w:hAnsi="Arial" w:cs="Arial"/>
          <w:sz w:val="24"/>
          <w:szCs w:val="24"/>
          <w:lang w:eastAsia="tr-TR"/>
        </w:rPr>
        <w:t>TA</w:t>
      </w:r>
      <w:r>
        <w:rPr>
          <w:rFonts w:ascii="Arial" w:eastAsia="Times New Roman" w:hAnsi="Arial" w:cs="Arial"/>
          <w:sz w:val="24"/>
          <w:szCs w:val="24"/>
          <w:lang w:eastAsia="tr-TR"/>
        </w:rPr>
        <w:t>T</w:t>
      </w:r>
      <w:r w:rsidRPr="004364F6">
        <w:rPr>
          <w:rFonts w:ascii="Arial" w:eastAsia="Times New Roman" w:hAnsi="Arial" w:cs="Arial"/>
          <w:sz w:val="24"/>
          <w:szCs w:val="24"/>
          <w:lang w:eastAsia="tr-TR"/>
        </w:rPr>
        <w:t xml:space="preserve"> ajanları arasında en güçlü kanıtlara sahiptir ve ölçülü olarak ve sağlık ekibine danışılarak hastalar tarafından güvenle kullanılabilir.</w:t>
      </w:r>
    </w:p>
    <w:p w:rsidR="008C24DD" w:rsidRPr="008C24DD" w:rsidRDefault="008C24DD" w:rsidP="008C24DD">
      <w:pPr>
        <w:pStyle w:val="ListeParagraf"/>
        <w:numPr>
          <w:ilvl w:val="0"/>
          <w:numId w:val="2"/>
        </w:numPr>
        <w:spacing w:after="300" w:line="240" w:lineRule="auto"/>
        <w:outlineLvl w:val="2"/>
        <w:rPr>
          <w:rFonts w:ascii="Arial" w:eastAsia="Times New Roman" w:hAnsi="Arial" w:cs="Arial"/>
          <w:sz w:val="24"/>
          <w:szCs w:val="24"/>
          <w:lang w:eastAsia="tr-TR"/>
        </w:rPr>
      </w:pPr>
      <w:r w:rsidRPr="008C24DD">
        <w:rPr>
          <w:rFonts w:ascii="Arial" w:eastAsia="Times New Roman" w:hAnsi="Arial" w:cs="Arial"/>
          <w:sz w:val="24"/>
          <w:szCs w:val="24"/>
          <w:lang w:eastAsia="tr-TR"/>
        </w:rPr>
        <w:t>Araştırm</w:t>
      </w:r>
      <w:r>
        <w:rPr>
          <w:rFonts w:ascii="Arial" w:eastAsia="Times New Roman" w:hAnsi="Arial" w:cs="Arial"/>
          <w:sz w:val="24"/>
          <w:szCs w:val="24"/>
          <w:lang w:eastAsia="tr-TR"/>
        </w:rPr>
        <w:t xml:space="preserve">alar, omega-3 PUFA'ların var olan kalp </w:t>
      </w:r>
      <w:proofErr w:type="gramStart"/>
      <w:r>
        <w:rPr>
          <w:rFonts w:ascii="Arial" w:eastAsia="Times New Roman" w:hAnsi="Arial" w:cs="Arial"/>
          <w:sz w:val="24"/>
          <w:szCs w:val="24"/>
          <w:lang w:eastAsia="tr-TR"/>
        </w:rPr>
        <w:t xml:space="preserve">yetersizliğinde </w:t>
      </w:r>
      <w:r w:rsidRPr="008C24DD">
        <w:rPr>
          <w:rFonts w:ascii="Arial" w:eastAsia="Times New Roman" w:hAnsi="Arial" w:cs="Arial"/>
          <w:sz w:val="24"/>
          <w:szCs w:val="24"/>
          <w:lang w:eastAsia="tr-TR"/>
        </w:rPr>
        <w:t xml:space="preserve"> sol</w:t>
      </w:r>
      <w:proofErr w:type="gramEnd"/>
      <w:r w:rsidRPr="008C24DD">
        <w:rPr>
          <w:rFonts w:ascii="Arial" w:eastAsia="Times New Roman" w:hAnsi="Arial" w:cs="Arial"/>
          <w:sz w:val="24"/>
          <w:szCs w:val="24"/>
          <w:lang w:eastAsia="tr-TR"/>
        </w:rPr>
        <w:t xml:space="preserve"> ventrikül sistolik fonksiyonundaki düzelmelerin yanı sıra kalp yetersizliği gelişme riskinin de  daha düşük olmasıyla ilişkili olduğunu göstermiştir.</w:t>
      </w:r>
    </w:p>
    <w:p w:rsidR="00026CE8" w:rsidRDefault="0009441C" w:rsidP="0009441C">
      <w:r w:rsidRPr="0009441C">
        <w:rPr>
          <w:rFonts w:ascii="Arial" w:eastAsia="Times New Roman" w:hAnsi="Arial" w:cs="Arial"/>
          <w:sz w:val="24"/>
          <w:szCs w:val="24"/>
          <w:lang w:eastAsia="tr-TR"/>
        </w:rPr>
        <w:t>Bununla birlikte, iki klinik çalışma, yüksek doz omega-3 PUFA uygulamasıyla daha yüksek bir atriyal fibrilasyon insidansı bulmuştur. Bu risk doza bağlı gibi görünmektedir ve 2 g/gün balık yağı aşıldığında artmaktadır.</w:t>
      </w:r>
      <w:r w:rsidR="00026CE8" w:rsidRPr="00026CE8">
        <w:t xml:space="preserve"> </w:t>
      </w:r>
    </w:p>
    <w:p w:rsidR="00503D78" w:rsidRPr="00700775" w:rsidRDefault="00026CE8" w:rsidP="00503D78">
      <w:pPr>
        <w:pStyle w:val="ListeParagraf"/>
        <w:numPr>
          <w:ilvl w:val="0"/>
          <w:numId w:val="2"/>
        </w:numPr>
        <w:rPr>
          <w:rFonts w:ascii="Arial" w:eastAsia="Times New Roman" w:hAnsi="Arial" w:cs="Arial"/>
          <w:sz w:val="24"/>
          <w:szCs w:val="24"/>
          <w:lang w:eastAsia="tr-TR"/>
        </w:rPr>
      </w:pPr>
      <w:r w:rsidRPr="00026CE8">
        <w:rPr>
          <w:rFonts w:ascii="Arial" w:eastAsia="Times New Roman" w:hAnsi="Arial" w:cs="Arial"/>
          <w:sz w:val="24"/>
          <w:szCs w:val="24"/>
          <w:lang w:eastAsia="tr-TR"/>
        </w:rPr>
        <w:t>Araştırmalar, standart KY tedavisine eklendiğinde yoga ve tai chi'nin egzersiz toleransını ve yaşam kalitesini artırmaya ve kan basıncını düşürmeye yardımcı olabileceğini düşündürmektedir.</w:t>
      </w:r>
    </w:p>
    <w:p w:rsidR="00503D78" w:rsidRPr="00503D78" w:rsidRDefault="00503D78" w:rsidP="00503D78">
      <w:pPr>
        <w:spacing w:after="300" w:line="240" w:lineRule="auto"/>
        <w:outlineLvl w:val="2"/>
        <w:rPr>
          <w:rFonts w:ascii="proxima_nova_rgbold" w:eastAsia="Times New Roman" w:hAnsi="proxima_nova_rgbold" w:cs="Times New Roman"/>
          <w:b/>
          <w:sz w:val="32"/>
          <w:szCs w:val="32"/>
          <w:lang w:eastAsia="tr-TR"/>
        </w:rPr>
      </w:pPr>
      <w:r w:rsidRPr="00503D78">
        <w:rPr>
          <w:rFonts w:ascii="proxima_nova_rgbold" w:eastAsia="Times New Roman" w:hAnsi="proxima_nova_rgbold" w:cs="Times New Roman"/>
          <w:b/>
          <w:sz w:val="32"/>
          <w:szCs w:val="32"/>
          <w:lang w:eastAsia="tr-TR"/>
        </w:rPr>
        <w:t xml:space="preserve">Kesin </w:t>
      </w:r>
      <w:proofErr w:type="gramStart"/>
      <w:r w:rsidRPr="00503D78">
        <w:rPr>
          <w:rFonts w:ascii="proxima_nova_rgbold" w:eastAsia="Times New Roman" w:hAnsi="proxima_nova_rgbold" w:cs="Times New Roman"/>
          <w:b/>
          <w:sz w:val="32"/>
          <w:szCs w:val="32"/>
          <w:lang w:eastAsia="tr-TR"/>
        </w:rPr>
        <w:t>Olmayan  veya</w:t>
      </w:r>
      <w:proofErr w:type="gramEnd"/>
      <w:r w:rsidRPr="00503D78">
        <w:rPr>
          <w:rFonts w:ascii="proxima_nova_rgbold" w:eastAsia="Times New Roman" w:hAnsi="proxima_nova_rgbold" w:cs="Times New Roman"/>
          <w:b/>
          <w:sz w:val="32"/>
          <w:szCs w:val="32"/>
          <w:lang w:eastAsia="tr-TR"/>
        </w:rPr>
        <w:t xml:space="preserve"> Potansiyel Olarak Zararlı TAT Tedavileri</w:t>
      </w:r>
    </w:p>
    <w:p w:rsidR="00DC2E53" w:rsidRDefault="00DC2E53" w:rsidP="00DC2E53">
      <w:pPr>
        <w:spacing w:after="300" w:line="240" w:lineRule="auto"/>
        <w:outlineLvl w:val="2"/>
        <w:rPr>
          <w:rFonts w:ascii="Arial" w:eastAsia="Times New Roman" w:hAnsi="Arial" w:cs="Arial"/>
          <w:color w:val="0070C0"/>
          <w:sz w:val="24"/>
          <w:szCs w:val="24"/>
          <w:lang w:eastAsia="tr-TR"/>
        </w:rPr>
      </w:pPr>
      <w:r w:rsidRPr="00DC2E53">
        <w:rPr>
          <w:rFonts w:ascii="Arial" w:eastAsia="Times New Roman" w:hAnsi="Arial" w:cs="Arial"/>
          <w:sz w:val="24"/>
          <w:szCs w:val="24"/>
          <w:lang w:eastAsia="tr-TR"/>
        </w:rPr>
        <w:lastRenderedPageBreak/>
        <w:t xml:space="preserve">KY için diğer TAT tedavilerinin mevcut verilere göre </w:t>
      </w:r>
      <w:proofErr w:type="gramStart"/>
      <w:r w:rsidRPr="00DC2E53">
        <w:rPr>
          <w:rFonts w:ascii="Arial" w:eastAsia="Times New Roman" w:hAnsi="Arial" w:cs="Arial"/>
          <w:sz w:val="24"/>
          <w:szCs w:val="24"/>
          <w:lang w:eastAsia="tr-TR"/>
        </w:rPr>
        <w:t>etkisiz , karışık</w:t>
      </w:r>
      <w:proofErr w:type="gramEnd"/>
      <w:r w:rsidRPr="00DC2E53">
        <w:rPr>
          <w:rFonts w:ascii="Arial" w:eastAsia="Times New Roman" w:hAnsi="Arial" w:cs="Arial"/>
          <w:sz w:val="24"/>
          <w:szCs w:val="24"/>
          <w:lang w:eastAsia="tr-TR"/>
        </w:rPr>
        <w:t xml:space="preserve"> bulgulara sahip olduğu veya zararlı göründüğü gösterilmiştir.</w:t>
      </w:r>
      <w:r w:rsidRPr="00DC2E53">
        <w:t xml:space="preserve"> </w:t>
      </w:r>
      <w:r w:rsidRPr="00DC2E53">
        <w:rPr>
          <w:rFonts w:ascii="Arial" w:eastAsia="Times New Roman" w:hAnsi="Arial" w:cs="Arial"/>
          <w:sz w:val="24"/>
          <w:szCs w:val="24"/>
          <w:lang w:eastAsia="tr-TR"/>
        </w:rPr>
        <w:t>Yazı, aşağıdaki örnekleri vurgulamaktadır</w:t>
      </w:r>
      <w:r w:rsidRPr="00FE06D3">
        <w:rPr>
          <w:rFonts w:ascii="Arial" w:eastAsia="Times New Roman" w:hAnsi="Arial" w:cs="Arial"/>
          <w:color w:val="0070C0"/>
          <w:sz w:val="24"/>
          <w:szCs w:val="24"/>
          <w:lang w:eastAsia="tr-TR"/>
        </w:rPr>
        <w:t>:</w:t>
      </w:r>
    </w:p>
    <w:p w:rsidR="00DC2E53" w:rsidRDefault="00DC2E53" w:rsidP="00041473">
      <w:pPr>
        <w:pStyle w:val="ListeParagraf"/>
        <w:numPr>
          <w:ilvl w:val="0"/>
          <w:numId w:val="2"/>
        </w:numPr>
        <w:shd w:val="clear" w:color="auto" w:fill="F2F2F2" w:themeFill="background1" w:themeFillShade="F2"/>
        <w:spacing w:after="300" w:line="240" w:lineRule="auto"/>
        <w:outlineLvl w:val="2"/>
        <w:rPr>
          <w:rFonts w:ascii="Arial" w:eastAsia="Times New Roman" w:hAnsi="Arial" w:cs="Arial"/>
          <w:sz w:val="24"/>
          <w:szCs w:val="24"/>
          <w:lang w:eastAsia="tr-TR"/>
        </w:rPr>
      </w:pPr>
      <w:r w:rsidRPr="00DC2E53">
        <w:rPr>
          <w:rFonts w:ascii="Arial" w:eastAsia="Times New Roman" w:hAnsi="Arial" w:cs="Arial"/>
          <w:sz w:val="24"/>
          <w:szCs w:val="24"/>
          <w:lang w:eastAsia="tr-TR"/>
        </w:rPr>
        <w:t xml:space="preserve">KY hastalarında D vitamini desteğinin değerine ilişkin genel kanıtlar "kesin değildir" ve digoksin, kalsiyum kanal blokerleri ve diüretikler gibi </w:t>
      </w:r>
      <w:r>
        <w:rPr>
          <w:rFonts w:ascii="Arial" w:eastAsia="Times New Roman" w:hAnsi="Arial" w:cs="Arial"/>
          <w:sz w:val="24"/>
          <w:szCs w:val="24"/>
          <w:lang w:eastAsia="tr-TR"/>
        </w:rPr>
        <w:t>KY</w:t>
      </w:r>
      <w:r w:rsidRPr="00DC2E53">
        <w:rPr>
          <w:rFonts w:ascii="Arial" w:eastAsia="Times New Roman" w:hAnsi="Arial" w:cs="Arial"/>
          <w:sz w:val="24"/>
          <w:szCs w:val="24"/>
          <w:lang w:eastAsia="tr-TR"/>
        </w:rPr>
        <w:t xml:space="preserve"> ilaçları ile alındığında zararlı olabilir</w:t>
      </w:r>
      <w:r>
        <w:rPr>
          <w:rFonts w:ascii="Arial" w:eastAsia="Times New Roman" w:hAnsi="Arial" w:cs="Arial"/>
          <w:sz w:val="24"/>
          <w:szCs w:val="24"/>
          <w:lang w:eastAsia="tr-TR"/>
        </w:rPr>
        <w:t>.</w:t>
      </w:r>
    </w:p>
    <w:p w:rsidR="00DC2E53" w:rsidRPr="00DC2E53" w:rsidRDefault="00DC2E53" w:rsidP="00041473">
      <w:pPr>
        <w:pStyle w:val="ListeParagraf"/>
        <w:numPr>
          <w:ilvl w:val="0"/>
          <w:numId w:val="2"/>
        </w:numPr>
        <w:shd w:val="clear" w:color="auto" w:fill="F2F2F2" w:themeFill="background1" w:themeFillShade="F2"/>
        <w:rPr>
          <w:rFonts w:ascii="Arial" w:eastAsia="Times New Roman" w:hAnsi="Arial" w:cs="Arial"/>
          <w:sz w:val="24"/>
          <w:szCs w:val="24"/>
          <w:lang w:eastAsia="tr-TR"/>
        </w:rPr>
      </w:pPr>
      <w:r>
        <w:rPr>
          <w:rFonts w:ascii="Arial" w:eastAsia="Times New Roman" w:hAnsi="Arial" w:cs="Arial"/>
          <w:sz w:val="24"/>
          <w:szCs w:val="24"/>
          <w:lang w:eastAsia="tr-TR"/>
        </w:rPr>
        <w:t>KY'li ve klinik olarak anlamlı T</w:t>
      </w:r>
      <w:r w:rsidRPr="00DC2E53">
        <w:rPr>
          <w:rFonts w:ascii="Arial" w:eastAsia="Times New Roman" w:hAnsi="Arial" w:cs="Arial"/>
          <w:sz w:val="24"/>
          <w:szCs w:val="24"/>
          <w:lang w:eastAsia="tr-TR"/>
        </w:rPr>
        <w:t>iamin eksi</w:t>
      </w:r>
      <w:r>
        <w:rPr>
          <w:rFonts w:ascii="Arial" w:eastAsia="Times New Roman" w:hAnsi="Arial" w:cs="Arial"/>
          <w:sz w:val="24"/>
          <w:szCs w:val="24"/>
          <w:lang w:eastAsia="tr-TR"/>
        </w:rPr>
        <w:t>kliği olmayan hastalarda rutin T</w:t>
      </w:r>
      <w:r w:rsidRPr="00DC2E53">
        <w:rPr>
          <w:rFonts w:ascii="Arial" w:eastAsia="Times New Roman" w:hAnsi="Arial" w:cs="Arial"/>
          <w:sz w:val="24"/>
          <w:szCs w:val="24"/>
          <w:lang w:eastAsia="tr-TR"/>
        </w:rPr>
        <w:t>iamin takviyesi etkili olmayabilir ve bundan kaçınılmalıdır.</w:t>
      </w:r>
    </w:p>
    <w:p w:rsidR="00814C0E" w:rsidRPr="00814C0E" w:rsidRDefault="00814C0E" w:rsidP="00041473">
      <w:pPr>
        <w:pStyle w:val="ListeParagraf"/>
        <w:numPr>
          <w:ilvl w:val="0"/>
          <w:numId w:val="2"/>
        </w:numPr>
        <w:shd w:val="clear" w:color="auto" w:fill="F2F2F2" w:themeFill="background1" w:themeFillShade="F2"/>
        <w:rPr>
          <w:rFonts w:ascii="Arial" w:eastAsia="Times New Roman" w:hAnsi="Arial" w:cs="Arial"/>
          <w:sz w:val="24"/>
          <w:szCs w:val="24"/>
          <w:lang w:eastAsia="tr-TR"/>
        </w:rPr>
      </w:pPr>
      <w:r w:rsidRPr="00814C0E">
        <w:rPr>
          <w:rFonts w:ascii="Arial" w:eastAsia="Times New Roman" w:hAnsi="Arial" w:cs="Arial"/>
          <w:sz w:val="24"/>
          <w:szCs w:val="24"/>
          <w:lang w:eastAsia="tr-TR"/>
        </w:rPr>
        <w:t>Alkolle ilgili araştırmalar değişiklik gösterir, bazı veriler düşük ila orta miktarlarda içmenin (günde bir ila iki içki) kalp yetersizliğini önlemeye yardımcı olab</w:t>
      </w:r>
      <w:r>
        <w:rPr>
          <w:rFonts w:ascii="Arial" w:eastAsia="Times New Roman" w:hAnsi="Arial" w:cs="Arial"/>
          <w:sz w:val="24"/>
          <w:szCs w:val="24"/>
          <w:lang w:eastAsia="tr-TR"/>
        </w:rPr>
        <w:t xml:space="preserve">ileceğini gösterirken, alışkanlık haline </w:t>
      </w:r>
      <w:proofErr w:type="gramStart"/>
      <w:r>
        <w:rPr>
          <w:rFonts w:ascii="Arial" w:eastAsia="Times New Roman" w:hAnsi="Arial" w:cs="Arial"/>
          <w:sz w:val="24"/>
          <w:szCs w:val="24"/>
          <w:lang w:eastAsia="tr-TR"/>
        </w:rPr>
        <w:t xml:space="preserve">gemiş </w:t>
      </w:r>
      <w:r w:rsidRPr="00814C0E">
        <w:rPr>
          <w:rFonts w:ascii="Arial" w:eastAsia="Times New Roman" w:hAnsi="Arial" w:cs="Arial"/>
          <w:sz w:val="24"/>
          <w:szCs w:val="24"/>
          <w:lang w:eastAsia="tr-TR"/>
        </w:rPr>
        <w:t xml:space="preserve"> içki</w:t>
      </w:r>
      <w:proofErr w:type="gramEnd"/>
      <w:r w:rsidRPr="00814C0E">
        <w:rPr>
          <w:rFonts w:ascii="Arial" w:eastAsia="Times New Roman" w:hAnsi="Arial" w:cs="Arial"/>
          <w:sz w:val="24"/>
          <w:szCs w:val="24"/>
          <w:lang w:eastAsia="tr-TR"/>
        </w:rPr>
        <w:t xml:space="preserve"> içmenin veya daha yüksek miktarlarda tüketmenin kalp yetersizliğine katkıda bulunduğu bilinir.</w:t>
      </w:r>
    </w:p>
    <w:p w:rsidR="001F59BE" w:rsidRPr="001F59BE" w:rsidRDefault="001F59BE" w:rsidP="00041473">
      <w:pPr>
        <w:pStyle w:val="ListeParagraf"/>
        <w:numPr>
          <w:ilvl w:val="0"/>
          <w:numId w:val="2"/>
        </w:numPr>
        <w:shd w:val="clear" w:color="auto" w:fill="F2F2F2" w:themeFill="background1" w:themeFillShade="F2"/>
        <w:rPr>
          <w:rFonts w:ascii="Arial" w:eastAsia="Times New Roman" w:hAnsi="Arial" w:cs="Arial"/>
          <w:sz w:val="24"/>
          <w:szCs w:val="24"/>
          <w:lang w:eastAsia="tr-TR"/>
        </w:rPr>
      </w:pPr>
      <w:r w:rsidRPr="001F59BE">
        <w:rPr>
          <w:rFonts w:ascii="Arial" w:eastAsia="Times New Roman" w:hAnsi="Arial" w:cs="Arial"/>
          <w:sz w:val="24"/>
          <w:szCs w:val="24"/>
          <w:lang w:eastAsia="tr-TR"/>
        </w:rPr>
        <w:t xml:space="preserve">Literatür E vitamini konusunda karışıktır. Korunmuş ejeksiyon </w:t>
      </w:r>
      <w:proofErr w:type="gramStart"/>
      <w:r w:rsidRPr="001F59BE">
        <w:rPr>
          <w:rFonts w:ascii="Arial" w:eastAsia="Times New Roman" w:hAnsi="Arial" w:cs="Arial"/>
          <w:sz w:val="24"/>
          <w:szCs w:val="24"/>
          <w:lang w:eastAsia="tr-TR"/>
        </w:rPr>
        <w:t>fraksiyonu</w:t>
      </w:r>
      <w:proofErr w:type="gramEnd"/>
      <w:r w:rsidRPr="001F59BE">
        <w:rPr>
          <w:rFonts w:ascii="Arial" w:eastAsia="Times New Roman" w:hAnsi="Arial" w:cs="Arial"/>
          <w:sz w:val="24"/>
          <w:szCs w:val="24"/>
          <w:lang w:eastAsia="tr-TR"/>
        </w:rPr>
        <w:t xml:space="preserve"> ile KY riskini azaltmada bazı faydaları olabilir ancak aynı zamanda KY nedeniyle hastaneye yatış riskinin artmasıyla da ilişkilendirilmiştir.</w:t>
      </w:r>
    </w:p>
    <w:p w:rsidR="0055299D" w:rsidRDefault="0055299D" w:rsidP="00041473">
      <w:pPr>
        <w:pStyle w:val="ListeParagraf"/>
        <w:numPr>
          <w:ilvl w:val="0"/>
          <w:numId w:val="2"/>
        </w:numPr>
        <w:shd w:val="clear" w:color="auto" w:fill="F2F2F2" w:themeFill="background1" w:themeFillShade="F2"/>
        <w:rPr>
          <w:rFonts w:ascii="Arial" w:eastAsia="Times New Roman" w:hAnsi="Arial" w:cs="Arial"/>
          <w:sz w:val="24"/>
          <w:szCs w:val="24"/>
          <w:lang w:eastAsia="tr-TR"/>
        </w:rPr>
      </w:pPr>
      <w:r w:rsidRPr="0055299D">
        <w:rPr>
          <w:rFonts w:ascii="Arial" w:eastAsia="Times New Roman" w:hAnsi="Arial" w:cs="Arial"/>
          <w:sz w:val="24"/>
          <w:szCs w:val="24"/>
          <w:lang w:eastAsia="tr-TR"/>
        </w:rPr>
        <w:t xml:space="preserve">Genellikle besin takviyesi olarak alınan Koenzim Q10 (Co-Q10), KY sınıfını, </w:t>
      </w:r>
      <w:proofErr w:type="gramStart"/>
      <w:r w:rsidRPr="0055299D">
        <w:rPr>
          <w:rFonts w:ascii="Arial" w:eastAsia="Times New Roman" w:hAnsi="Arial" w:cs="Arial"/>
          <w:sz w:val="24"/>
          <w:szCs w:val="24"/>
          <w:lang w:eastAsia="tr-TR"/>
        </w:rPr>
        <w:t>semptomları</w:t>
      </w:r>
      <w:proofErr w:type="gramEnd"/>
      <w:r w:rsidRPr="0055299D">
        <w:rPr>
          <w:rFonts w:ascii="Arial" w:eastAsia="Times New Roman" w:hAnsi="Arial" w:cs="Arial"/>
          <w:sz w:val="24"/>
          <w:szCs w:val="24"/>
          <w:lang w:eastAsia="tr-TR"/>
        </w:rPr>
        <w:t xml:space="preserve"> ve yaşam kalitesini düzeltmeye yardımcı olabilir, ancak aynı zamanda antihipertansif ve antikoagülan ilaçlarla etkileşime girebilir. Co-Q10</w:t>
      </w:r>
      <w:r>
        <w:rPr>
          <w:rFonts w:ascii="Arial" w:eastAsia="Times New Roman" w:hAnsi="Arial" w:cs="Arial"/>
          <w:sz w:val="24"/>
          <w:szCs w:val="24"/>
          <w:lang w:eastAsia="tr-TR"/>
        </w:rPr>
        <w:t>’nun</w:t>
      </w:r>
      <w:r w:rsidRPr="0055299D">
        <w:rPr>
          <w:rFonts w:ascii="Arial" w:eastAsia="Times New Roman" w:hAnsi="Arial" w:cs="Arial"/>
          <w:sz w:val="24"/>
          <w:szCs w:val="24"/>
          <w:lang w:eastAsia="tr-TR"/>
        </w:rPr>
        <w:t xml:space="preserve">, şu anda </w:t>
      </w:r>
      <w:proofErr w:type="gramStart"/>
      <w:r w:rsidRPr="0055299D">
        <w:rPr>
          <w:rFonts w:ascii="Arial" w:eastAsia="Times New Roman" w:hAnsi="Arial" w:cs="Arial"/>
          <w:sz w:val="24"/>
          <w:szCs w:val="24"/>
          <w:lang w:eastAsia="tr-TR"/>
        </w:rPr>
        <w:t>KY'de  değeri</w:t>
      </w:r>
      <w:proofErr w:type="gramEnd"/>
      <w:r w:rsidRPr="0055299D">
        <w:rPr>
          <w:rFonts w:ascii="Arial" w:eastAsia="Times New Roman" w:hAnsi="Arial" w:cs="Arial"/>
          <w:sz w:val="24"/>
          <w:szCs w:val="24"/>
          <w:lang w:eastAsia="tr-TR"/>
        </w:rPr>
        <w:t xml:space="preserve"> belirsiz kalmıştır. Herhangi bir kesin sonuca varılmadan önce büyük ölçekli randomize kontrollü çalışmalara ihtiyaç vardır.</w:t>
      </w:r>
    </w:p>
    <w:p w:rsidR="00041473" w:rsidRPr="0055299D" w:rsidRDefault="00041473" w:rsidP="00041473">
      <w:pPr>
        <w:pStyle w:val="ListeParagraf"/>
        <w:shd w:val="clear" w:color="auto" w:fill="F2F2F2" w:themeFill="background1" w:themeFillShade="F2"/>
        <w:rPr>
          <w:rFonts w:ascii="Arial" w:eastAsia="Times New Roman" w:hAnsi="Arial" w:cs="Arial"/>
          <w:sz w:val="24"/>
          <w:szCs w:val="24"/>
          <w:lang w:eastAsia="tr-TR"/>
        </w:rPr>
      </w:pPr>
    </w:p>
    <w:p w:rsidR="00DC2E53" w:rsidRDefault="0055299D" w:rsidP="0055299D">
      <w:pPr>
        <w:pStyle w:val="ListeParagraf"/>
        <w:numPr>
          <w:ilvl w:val="0"/>
          <w:numId w:val="2"/>
        </w:numPr>
        <w:spacing w:after="300" w:line="240" w:lineRule="auto"/>
        <w:outlineLvl w:val="2"/>
        <w:rPr>
          <w:rFonts w:ascii="Arial" w:eastAsia="Times New Roman" w:hAnsi="Arial" w:cs="Arial"/>
          <w:sz w:val="24"/>
          <w:szCs w:val="24"/>
          <w:lang w:eastAsia="tr-TR"/>
        </w:rPr>
      </w:pPr>
      <w:r w:rsidRPr="0055299D">
        <w:rPr>
          <w:rFonts w:ascii="Arial" w:eastAsia="Times New Roman" w:hAnsi="Arial" w:cs="Arial"/>
          <w:sz w:val="24"/>
          <w:szCs w:val="24"/>
          <w:lang w:eastAsia="tr-TR"/>
        </w:rPr>
        <w:t xml:space="preserve">Bazı çalışmalarda çiçekli bir çalı olan </w:t>
      </w:r>
      <w:r>
        <w:rPr>
          <w:rFonts w:ascii="Arial" w:eastAsia="Times New Roman" w:hAnsi="Arial" w:cs="Arial"/>
          <w:b/>
          <w:i/>
          <w:sz w:val="24"/>
          <w:szCs w:val="24"/>
          <w:lang w:eastAsia="tr-TR"/>
        </w:rPr>
        <w:t>A</w:t>
      </w:r>
      <w:r w:rsidRPr="0055299D">
        <w:rPr>
          <w:rFonts w:ascii="Arial" w:eastAsia="Times New Roman" w:hAnsi="Arial" w:cs="Arial"/>
          <w:b/>
          <w:i/>
          <w:sz w:val="24"/>
          <w:szCs w:val="24"/>
          <w:lang w:eastAsia="tr-TR"/>
        </w:rPr>
        <w:t>lıç</w:t>
      </w:r>
      <w:r w:rsidRPr="0055299D">
        <w:rPr>
          <w:rFonts w:ascii="Arial" w:eastAsia="Times New Roman" w:hAnsi="Arial" w:cs="Arial"/>
          <w:sz w:val="24"/>
          <w:szCs w:val="24"/>
          <w:lang w:eastAsia="tr-TR"/>
        </w:rPr>
        <w:t xml:space="preserve"> (Hawthorn) bitkisinin egzersiz toleransını arttırdığı ve yorgunluk gibi KY </w:t>
      </w:r>
      <w:proofErr w:type="gramStart"/>
      <w:r w:rsidRPr="0055299D">
        <w:rPr>
          <w:rFonts w:ascii="Arial" w:eastAsia="Times New Roman" w:hAnsi="Arial" w:cs="Arial"/>
          <w:sz w:val="24"/>
          <w:szCs w:val="24"/>
          <w:lang w:eastAsia="tr-TR"/>
        </w:rPr>
        <w:t>semptomlarını</w:t>
      </w:r>
      <w:proofErr w:type="gramEnd"/>
      <w:r w:rsidRPr="0055299D">
        <w:rPr>
          <w:rFonts w:ascii="Arial" w:eastAsia="Times New Roman" w:hAnsi="Arial" w:cs="Arial"/>
          <w:sz w:val="24"/>
          <w:szCs w:val="24"/>
          <w:lang w:eastAsia="tr-TR"/>
        </w:rPr>
        <w:t xml:space="preserve"> düzelttiği gösterilmiştir. Yine de </w:t>
      </w:r>
      <w:r>
        <w:rPr>
          <w:rFonts w:ascii="Arial" w:eastAsia="Times New Roman" w:hAnsi="Arial" w:cs="Arial"/>
          <w:sz w:val="24"/>
          <w:szCs w:val="24"/>
          <w:lang w:eastAsia="tr-TR"/>
        </w:rPr>
        <w:t>KY</w:t>
      </w:r>
      <w:r w:rsidRPr="0055299D">
        <w:rPr>
          <w:rFonts w:ascii="Arial" w:eastAsia="Times New Roman" w:hAnsi="Arial" w:cs="Arial"/>
          <w:sz w:val="24"/>
          <w:szCs w:val="24"/>
          <w:lang w:eastAsia="tr-TR"/>
        </w:rPr>
        <w:t>'yi kötüleştirme potansiyeline sahiptir ve digoksin ile etkileşime girip girmediği konusunda çelişkili araştırmalar vardır</w:t>
      </w:r>
      <w:r>
        <w:rPr>
          <w:rFonts w:ascii="Arial" w:eastAsia="Times New Roman" w:hAnsi="Arial" w:cs="Arial"/>
          <w:sz w:val="24"/>
          <w:szCs w:val="24"/>
          <w:lang w:eastAsia="tr-TR"/>
        </w:rPr>
        <w:t>.</w:t>
      </w:r>
    </w:p>
    <w:p w:rsidR="0055299D" w:rsidRDefault="0055299D" w:rsidP="0055299D">
      <w:pPr>
        <w:spacing w:after="300" w:line="240" w:lineRule="auto"/>
        <w:outlineLvl w:val="2"/>
        <w:rPr>
          <w:rFonts w:ascii="Arial" w:eastAsia="Times New Roman" w:hAnsi="Arial" w:cs="Arial"/>
          <w:sz w:val="24"/>
          <w:szCs w:val="24"/>
          <w:lang w:eastAsia="tr-TR"/>
        </w:rPr>
      </w:pPr>
      <w:r>
        <w:rPr>
          <w:noProof/>
          <w:lang w:eastAsia="tr-TR"/>
        </w:rPr>
        <w:drawing>
          <wp:inline distT="0" distB="0" distL="0" distR="0" wp14:anchorId="0419B9E9" wp14:editId="3E62817C">
            <wp:extent cx="2409825" cy="1895475"/>
            <wp:effectExtent l="0" t="0" r="9525" b="9525"/>
            <wp:docPr id="2" name="Resim 2" descr="SİFİN - ALIÇ MEYVESİNİN FAYDALARI... Alıç çok faydalı bir besin olmasından  kaynaklı olarak faydaları bedenin birçok rahatsızlığını korumaya  karşılıktır. Alıç faydaları yaşlı kişiler tarafından çok iyi bilinmektedir.  Alıçın sağlık için olan baz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İN - ALIÇ MEYVESİNİN FAYDALARI... Alıç çok faydalı bir besin olmasından  kaynaklı olarak faydaları bedenin birçok rahatsızlığını korumaya  karşılıktır. Alıç faydaları yaşlı kişiler tarafından çok iyi bilinmektedir.  Alıçın sağlık için olan baz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1895475"/>
                    </a:xfrm>
                    <a:prstGeom prst="rect">
                      <a:avLst/>
                    </a:prstGeom>
                    <a:noFill/>
                    <a:ln>
                      <a:noFill/>
                    </a:ln>
                  </pic:spPr>
                </pic:pic>
              </a:graphicData>
            </a:graphic>
          </wp:inline>
        </w:drawing>
      </w:r>
    </w:p>
    <w:p w:rsidR="008C24DD" w:rsidRPr="000E2924" w:rsidRDefault="009312A7" w:rsidP="00C94B5B">
      <w:pPr>
        <w:pBdr>
          <w:bottom w:val="single" w:sz="4" w:space="1" w:color="auto"/>
        </w:pBdr>
        <w:spacing w:after="300" w:line="240" w:lineRule="auto"/>
        <w:outlineLvl w:val="2"/>
        <w:rPr>
          <w:rFonts w:ascii="Times New Roman" w:eastAsia="Times New Roman" w:hAnsi="Times New Roman" w:cs="Times New Roman"/>
          <w:lang w:eastAsia="tr-TR"/>
        </w:rPr>
      </w:pPr>
      <w:r>
        <w:rPr>
          <w:rFonts w:ascii="Times New Roman" w:eastAsia="Times New Roman" w:hAnsi="Times New Roman" w:cs="Times New Roman"/>
          <w:b/>
          <w:i/>
          <w:sz w:val="24"/>
          <w:szCs w:val="24"/>
          <w:lang w:eastAsia="tr-TR"/>
        </w:rPr>
        <w:t>Alıı</w:t>
      </w:r>
      <w:r w:rsidRPr="009312A7">
        <w:rPr>
          <w:rFonts w:ascii="Times New Roman" w:eastAsia="Times New Roman" w:hAnsi="Times New Roman" w:cs="Times New Roman"/>
          <w:b/>
          <w:i/>
          <w:sz w:val="24"/>
          <w:szCs w:val="24"/>
          <w:lang w:eastAsia="tr-TR"/>
        </w:rPr>
        <w:t>ç</w:t>
      </w:r>
      <w:r w:rsidR="0055299D" w:rsidRPr="009312A7">
        <w:rPr>
          <w:rFonts w:ascii="Times New Roman" w:eastAsia="Times New Roman" w:hAnsi="Times New Roman" w:cs="Times New Roman"/>
          <w:b/>
          <w:i/>
          <w:sz w:val="24"/>
          <w:szCs w:val="24"/>
          <w:lang w:eastAsia="tr-TR"/>
        </w:rPr>
        <w:t xml:space="preserve"> </w:t>
      </w:r>
      <w:r w:rsidR="0055299D" w:rsidRPr="000E2924">
        <w:rPr>
          <w:rFonts w:ascii="Times New Roman" w:eastAsia="Times New Roman" w:hAnsi="Times New Roman" w:cs="Times New Roman"/>
          <w:lang w:eastAsia="tr-TR"/>
        </w:rPr>
        <w:t>(Hawtorn) bitkisi, akdeniz kuşağında da bulunur.</w:t>
      </w:r>
    </w:p>
    <w:p w:rsidR="004364F6" w:rsidRPr="00C94B5B" w:rsidRDefault="009312A7" w:rsidP="00C94B5B">
      <w:pPr>
        <w:pStyle w:val="ListeParagraf"/>
        <w:numPr>
          <w:ilvl w:val="0"/>
          <w:numId w:val="2"/>
        </w:numPr>
        <w:spacing w:after="300" w:line="240" w:lineRule="auto"/>
        <w:outlineLvl w:val="2"/>
        <w:rPr>
          <w:rFonts w:ascii="Arial" w:eastAsia="Times New Roman" w:hAnsi="Arial" w:cs="Arial"/>
          <w:sz w:val="24"/>
          <w:szCs w:val="24"/>
          <w:lang w:eastAsia="tr-TR"/>
        </w:rPr>
      </w:pPr>
      <w:r w:rsidRPr="00C94B5B">
        <w:rPr>
          <w:rFonts w:ascii="Arial" w:eastAsia="Times New Roman" w:hAnsi="Arial" w:cs="Arial"/>
          <w:sz w:val="24"/>
          <w:szCs w:val="24"/>
          <w:lang w:eastAsia="tr-TR"/>
        </w:rPr>
        <w:t>Sert ağaç ormanlarında bulunan çiçekli bir bitkinin kökünden elde edilen "</w:t>
      </w:r>
      <w:r w:rsidRPr="00C94B5B">
        <w:rPr>
          <w:rFonts w:ascii="Arial" w:eastAsia="Times New Roman" w:hAnsi="Arial" w:cs="Arial"/>
          <w:b/>
          <w:i/>
          <w:sz w:val="24"/>
          <w:szCs w:val="24"/>
          <w:lang w:eastAsia="tr-TR"/>
        </w:rPr>
        <w:t>mavi kohoş</w:t>
      </w:r>
      <w:r w:rsidRPr="00C94B5B">
        <w:rPr>
          <w:rFonts w:ascii="Arial" w:eastAsia="Times New Roman" w:hAnsi="Arial" w:cs="Arial"/>
          <w:sz w:val="24"/>
          <w:szCs w:val="24"/>
          <w:lang w:eastAsia="tr-TR"/>
        </w:rPr>
        <w:t>" (blue cohosh) bitkisel takviyesi taşikardi, yüksek tansiyon, göğüs</w:t>
      </w:r>
      <w:r w:rsidRPr="009312A7">
        <w:t xml:space="preserve"> </w:t>
      </w:r>
      <w:r w:rsidRPr="00C94B5B">
        <w:rPr>
          <w:rFonts w:ascii="Arial" w:eastAsia="Times New Roman" w:hAnsi="Arial" w:cs="Arial"/>
          <w:sz w:val="24"/>
          <w:szCs w:val="24"/>
          <w:lang w:eastAsia="tr-TR"/>
        </w:rPr>
        <w:t>ağrısı ve artmış kan şekerine neden olabilir. Ayrıca, yüksek tansiyon ve tip 2 diyabet tedavisi için alınan ilaçların etkisini azaltabileceği belirtiliyorlar</w:t>
      </w:r>
    </w:p>
    <w:p w:rsidR="00534511" w:rsidRDefault="009312A7">
      <w:pPr>
        <w:rPr>
          <w:rFonts w:ascii="Arial" w:hAnsi="Arial" w:cs="Arial"/>
          <w:sz w:val="24"/>
          <w:szCs w:val="24"/>
        </w:rPr>
      </w:pPr>
      <w:r>
        <w:rPr>
          <w:noProof/>
          <w:lang w:eastAsia="tr-TR"/>
        </w:rPr>
        <w:lastRenderedPageBreak/>
        <w:drawing>
          <wp:inline distT="0" distB="0" distL="0" distR="0" wp14:anchorId="621C1B07" wp14:editId="6B45BDEC">
            <wp:extent cx="1498600" cy="1314450"/>
            <wp:effectExtent l="0" t="0" r="6350" b="0"/>
            <wp:docPr id="4" name="Resim 4" descr="Blue Cohosh Plants For Sale | 3 For $14.99 - TN 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Cohosh Plants For Sale | 3 For $14.99 - TN Nurse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8600" cy="1314450"/>
                    </a:xfrm>
                    <a:prstGeom prst="rect">
                      <a:avLst/>
                    </a:prstGeom>
                    <a:noFill/>
                    <a:ln>
                      <a:noFill/>
                    </a:ln>
                  </pic:spPr>
                </pic:pic>
              </a:graphicData>
            </a:graphic>
          </wp:inline>
        </w:drawing>
      </w:r>
    </w:p>
    <w:p w:rsidR="009312A7" w:rsidRDefault="009312A7" w:rsidP="009312A7">
      <w:pPr>
        <w:spacing w:after="0" w:line="240" w:lineRule="auto"/>
        <w:rPr>
          <w:rFonts w:ascii="Times New Roman" w:eastAsia="Times New Roman" w:hAnsi="Times New Roman" w:cs="Times New Roman"/>
          <w:lang w:eastAsia="tr-TR"/>
        </w:rPr>
      </w:pPr>
      <w:r w:rsidRPr="000E2924">
        <w:rPr>
          <w:rFonts w:ascii="Times New Roman" w:eastAsia="Times New Roman" w:hAnsi="Times New Roman" w:cs="Times New Roman"/>
          <w:b/>
          <w:i/>
          <w:lang w:eastAsia="tr-TR"/>
        </w:rPr>
        <w:t>Mavi kohoş (</w:t>
      </w:r>
      <w:r w:rsidRPr="000E2924">
        <w:rPr>
          <w:rFonts w:ascii="Times New Roman" w:eastAsia="Times New Roman" w:hAnsi="Times New Roman" w:cs="Times New Roman"/>
          <w:i/>
          <w:lang w:eastAsia="tr-TR"/>
        </w:rPr>
        <w:t>Blue cohosh</w:t>
      </w:r>
      <w:r w:rsidRPr="000E2924">
        <w:rPr>
          <w:rFonts w:ascii="Times New Roman" w:eastAsia="Times New Roman" w:hAnsi="Times New Roman" w:cs="Times New Roman"/>
          <w:b/>
          <w:i/>
          <w:lang w:eastAsia="tr-TR"/>
        </w:rPr>
        <w:t>):</w:t>
      </w:r>
      <w:r w:rsidRPr="000E2924">
        <w:rPr>
          <w:rFonts w:ascii="Times New Roman" w:eastAsia="Times New Roman" w:hAnsi="Times New Roman" w:cs="Times New Roman"/>
          <w:lang w:eastAsia="tr-TR"/>
        </w:rPr>
        <w:t xml:space="preserve"> Berberidaceae familyasından çiçekli bir bitkidir. Mavi dut benzeri meyveler ve mavimsi yeşil yapraklar ile orta boylu çok yıllık bir bitkidir.</w:t>
      </w:r>
    </w:p>
    <w:p w:rsidR="00726E3A" w:rsidRPr="000E2924" w:rsidRDefault="00726E3A" w:rsidP="009312A7">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______________________________________________________________________________</w:t>
      </w:r>
    </w:p>
    <w:p w:rsidR="00C94B5B" w:rsidRPr="00726E3A" w:rsidRDefault="00C94B5B" w:rsidP="009312A7">
      <w:pPr>
        <w:spacing w:after="0" w:line="240" w:lineRule="auto"/>
        <w:rPr>
          <w:rFonts w:ascii="Times New Roman" w:eastAsia="Times New Roman" w:hAnsi="Times New Roman" w:cs="Times New Roman"/>
          <w:sz w:val="16"/>
          <w:szCs w:val="16"/>
          <w:lang w:eastAsia="tr-TR"/>
        </w:rPr>
      </w:pPr>
    </w:p>
    <w:p w:rsidR="00C94B5B" w:rsidRPr="00C94B5B" w:rsidRDefault="00C94B5B" w:rsidP="00726E3A">
      <w:pPr>
        <w:pStyle w:val="ListeParagraf"/>
        <w:numPr>
          <w:ilvl w:val="0"/>
          <w:numId w:val="2"/>
        </w:numPr>
        <w:spacing w:after="0" w:line="240" w:lineRule="auto"/>
        <w:rPr>
          <w:rFonts w:ascii="Arial" w:eastAsia="Times New Roman" w:hAnsi="Arial" w:cs="Arial"/>
          <w:sz w:val="24"/>
          <w:szCs w:val="24"/>
          <w:lang w:eastAsia="tr-TR"/>
        </w:rPr>
      </w:pPr>
      <w:r w:rsidRPr="00C94B5B">
        <w:rPr>
          <w:rFonts w:ascii="Times New Roman" w:eastAsia="Times New Roman" w:hAnsi="Times New Roman" w:cs="Times New Roman"/>
          <w:sz w:val="24"/>
          <w:szCs w:val="24"/>
          <w:lang w:eastAsia="tr-TR"/>
        </w:rPr>
        <w:t xml:space="preserve"> </w:t>
      </w:r>
      <w:r w:rsidRPr="00C94B5B">
        <w:rPr>
          <w:rFonts w:ascii="Arial" w:eastAsia="Times New Roman" w:hAnsi="Arial" w:cs="Arial"/>
          <w:sz w:val="24"/>
          <w:szCs w:val="24"/>
          <w:lang w:eastAsia="tr-TR"/>
        </w:rPr>
        <w:t>Kökü, gövdesi ve çiçeği takviye olarak kullanılan "</w:t>
      </w:r>
      <w:r w:rsidRPr="00C94B5B">
        <w:rPr>
          <w:rFonts w:ascii="Arial" w:eastAsia="Times New Roman" w:hAnsi="Arial" w:cs="Arial"/>
          <w:b/>
          <w:i/>
          <w:sz w:val="24"/>
          <w:szCs w:val="24"/>
          <w:lang w:eastAsia="tr-TR"/>
        </w:rPr>
        <w:t>Vadi Zambağı</w:t>
      </w:r>
      <w:r w:rsidRPr="00C94B5B">
        <w:rPr>
          <w:rFonts w:ascii="Arial" w:eastAsia="Times New Roman" w:hAnsi="Arial" w:cs="Arial"/>
          <w:sz w:val="24"/>
          <w:szCs w:val="24"/>
          <w:lang w:eastAsia="tr-TR"/>
        </w:rPr>
        <w:t>"( Lily of the Valley), digoksine benzer aktif kimyasallar içerdiğinden uzun süredir hafif KY'de kullanılmaktadır. Ancak digoksin ile alındığında hipokalemiye yol açabilir.</w:t>
      </w:r>
    </w:p>
    <w:p w:rsidR="009312A7" w:rsidRDefault="00C94B5B">
      <w:pPr>
        <w:rPr>
          <w:rFonts w:ascii="Arial" w:hAnsi="Arial" w:cs="Arial"/>
          <w:sz w:val="24"/>
          <w:szCs w:val="24"/>
        </w:rPr>
      </w:pPr>
      <w:r>
        <w:rPr>
          <w:noProof/>
          <w:lang w:eastAsia="tr-TR"/>
        </w:rPr>
        <w:drawing>
          <wp:inline distT="0" distB="0" distL="0" distR="0" wp14:anchorId="494B22D5" wp14:editId="62841613">
            <wp:extent cx="1676400" cy="1250950"/>
            <wp:effectExtent l="0" t="0" r="0" b="6350"/>
            <wp:docPr id="5" name="Resim 5" descr="Buy Lily of the Valley | Convallaria Majalis For Sale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y Lily of the Valley | Convallaria Majalis For Sale O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250950"/>
                    </a:xfrm>
                    <a:prstGeom prst="rect">
                      <a:avLst/>
                    </a:prstGeom>
                    <a:noFill/>
                    <a:ln>
                      <a:noFill/>
                    </a:ln>
                  </pic:spPr>
                </pic:pic>
              </a:graphicData>
            </a:graphic>
          </wp:inline>
        </w:drawing>
      </w:r>
    </w:p>
    <w:p w:rsidR="00C94B5B" w:rsidRPr="000E2924" w:rsidRDefault="00C94B5B" w:rsidP="00C94B5B">
      <w:pPr>
        <w:pBdr>
          <w:bottom w:val="single" w:sz="4" w:space="1" w:color="auto"/>
        </w:pBdr>
        <w:spacing w:after="0" w:line="240" w:lineRule="auto"/>
        <w:rPr>
          <w:rFonts w:ascii="Times New Roman" w:eastAsia="Times New Roman" w:hAnsi="Times New Roman" w:cs="Times New Roman"/>
          <w:lang w:eastAsia="tr-TR"/>
        </w:rPr>
      </w:pPr>
      <w:r w:rsidRPr="000E2924">
        <w:rPr>
          <w:rFonts w:ascii="Times New Roman" w:eastAsia="Times New Roman" w:hAnsi="Times New Roman" w:cs="Times New Roman"/>
          <w:i/>
          <w:lang w:eastAsia="tr-TR"/>
        </w:rPr>
        <w:t>Vadi zambağı (Lily of the Valley)</w:t>
      </w:r>
      <w:r w:rsidRPr="000E2924">
        <w:rPr>
          <w:rFonts w:ascii="Times New Roman" w:eastAsia="Times New Roman" w:hAnsi="Times New Roman" w:cs="Times New Roman"/>
          <w:b/>
          <w:i/>
          <w:lang w:eastAsia="tr-TR"/>
        </w:rPr>
        <w:t>:</w:t>
      </w:r>
      <w:r w:rsidRPr="000E2924">
        <w:rPr>
          <w:rFonts w:ascii="Times New Roman" w:eastAsia="Times New Roman" w:hAnsi="Times New Roman" w:cs="Times New Roman"/>
          <w:lang w:eastAsia="tr-TR"/>
        </w:rPr>
        <w:t xml:space="preserve"> ‘</w:t>
      </w:r>
      <w:r w:rsidRPr="000E2924">
        <w:rPr>
          <w:rFonts w:ascii="Times New Roman" w:eastAsia="Times New Roman" w:hAnsi="Times New Roman" w:cs="Times New Roman"/>
          <w:b/>
          <w:i/>
          <w:lang w:eastAsia="tr-TR"/>
        </w:rPr>
        <w:t>Müge</w:t>
      </w:r>
      <w:r w:rsidRPr="000E2924">
        <w:rPr>
          <w:rFonts w:ascii="Times New Roman" w:eastAsia="Times New Roman" w:hAnsi="Times New Roman" w:cs="Times New Roman"/>
          <w:lang w:eastAsia="tr-TR"/>
        </w:rPr>
        <w:t xml:space="preserve">’, çiçekli bitkilerin Ruscaceae familyasına </w:t>
      </w:r>
      <w:proofErr w:type="gramStart"/>
      <w:r w:rsidRPr="000E2924">
        <w:rPr>
          <w:rFonts w:ascii="Times New Roman" w:eastAsia="Times New Roman" w:hAnsi="Times New Roman" w:cs="Times New Roman"/>
          <w:lang w:eastAsia="tr-TR"/>
        </w:rPr>
        <w:t>dahil</w:t>
      </w:r>
      <w:proofErr w:type="gramEnd"/>
      <w:r w:rsidRPr="000E2924">
        <w:rPr>
          <w:rFonts w:ascii="Times New Roman" w:eastAsia="Times New Roman" w:hAnsi="Times New Roman" w:cs="Times New Roman"/>
          <w:lang w:eastAsia="tr-TR"/>
        </w:rPr>
        <w:t xml:space="preserve"> cinslerden Convallaria içindeki tek türdür. Kuzey yarım kürenin ılıman iklimli tüm bölgelerinde yaygındır.</w:t>
      </w:r>
      <w:r w:rsidRPr="000E2924">
        <w:rPr>
          <w:rFonts w:ascii="Times New Roman" w:hAnsi="Times New Roman" w:cs="Times New Roman"/>
        </w:rPr>
        <w:t xml:space="preserve"> </w:t>
      </w:r>
      <w:r w:rsidRPr="000E2924">
        <w:rPr>
          <w:rFonts w:ascii="Times New Roman" w:eastAsia="Times New Roman" w:hAnsi="Times New Roman" w:cs="Times New Roman"/>
          <w:lang w:eastAsia="tr-TR"/>
        </w:rPr>
        <w:t>İlkbaharda, topraktan 15–20 cm yukarıya kadar uzayan koyu yeşil geniş yapraklar verir.</w:t>
      </w:r>
    </w:p>
    <w:p w:rsidR="00D62384" w:rsidRPr="00700775" w:rsidRDefault="00D62384">
      <w:pPr>
        <w:rPr>
          <w:rFonts w:ascii="Arial" w:hAnsi="Arial" w:cs="Arial"/>
          <w:sz w:val="16"/>
          <w:szCs w:val="16"/>
        </w:rPr>
      </w:pPr>
    </w:p>
    <w:p w:rsidR="00D62384" w:rsidRPr="00D62384" w:rsidRDefault="00D62384" w:rsidP="00D62384">
      <w:pPr>
        <w:spacing w:after="0" w:line="240" w:lineRule="auto"/>
        <w:rPr>
          <w:rFonts w:ascii="Arial" w:eastAsia="Times New Roman" w:hAnsi="Arial" w:cs="Arial"/>
          <w:sz w:val="24"/>
          <w:szCs w:val="24"/>
          <w:lang w:eastAsia="tr-TR"/>
        </w:rPr>
      </w:pPr>
      <w:r w:rsidRPr="00D62384">
        <w:rPr>
          <w:rFonts w:ascii="Arial" w:eastAsia="Times New Roman" w:hAnsi="Arial" w:cs="Arial"/>
          <w:sz w:val="24"/>
          <w:szCs w:val="24"/>
          <w:lang w:eastAsia="tr-TR"/>
        </w:rPr>
        <w:t xml:space="preserve">Yeni AHA bülteni </w:t>
      </w:r>
      <w:proofErr w:type="gramStart"/>
      <w:r w:rsidRPr="00D62384">
        <w:rPr>
          <w:rFonts w:ascii="Arial" w:eastAsia="Times New Roman" w:hAnsi="Arial" w:cs="Arial"/>
          <w:sz w:val="24"/>
          <w:szCs w:val="24"/>
          <w:lang w:eastAsia="tr-TR"/>
        </w:rPr>
        <w:t>hakkında  denilen</w:t>
      </w:r>
      <w:proofErr w:type="gramEnd"/>
      <w:r w:rsidRPr="00D62384">
        <w:rPr>
          <w:sz w:val="24"/>
          <w:szCs w:val="24"/>
        </w:rPr>
        <w:t xml:space="preserve"> </w:t>
      </w:r>
      <w:r w:rsidRPr="00D62384">
        <w:rPr>
          <w:rFonts w:ascii="Arial" w:eastAsia="Times New Roman" w:hAnsi="Arial" w:cs="Arial"/>
          <w:sz w:val="24"/>
          <w:szCs w:val="24"/>
          <w:lang w:eastAsia="tr-TR"/>
        </w:rPr>
        <w:t>KY için TAT tedavilerinin risklerini ve faydalarını daha iyi anlamak için genel olarak, daha kaliteli araştırmalara ve güçlü randomize kontrollü çalışmalara ihtiyaç vardır.</w:t>
      </w:r>
      <w:r w:rsidR="00DB0A6F" w:rsidRPr="00DB0A6F">
        <w:t xml:space="preserve"> </w:t>
      </w:r>
      <w:r w:rsidR="00DB0A6F" w:rsidRPr="00DB0A6F">
        <w:rPr>
          <w:rFonts w:ascii="Arial" w:eastAsia="Times New Roman" w:hAnsi="Arial" w:cs="Arial"/>
          <w:sz w:val="24"/>
          <w:szCs w:val="24"/>
          <w:lang w:eastAsia="tr-TR"/>
        </w:rPr>
        <w:t>Bu bilimsel açıklama, KY'li insanları tedavi eden sağlık uzmanlarına kritik bilgiler sağlar ve tüketiciler için tamamlayıcı ve alternatif tıp ürünlerinin potansiyel yararları ve zararları hakkında bir kaynak olarak kullanılabilir.</w:t>
      </w:r>
    </w:p>
    <w:p w:rsidR="00D62384" w:rsidRDefault="00D62384">
      <w:pPr>
        <w:rPr>
          <w:rFonts w:ascii="Arial" w:hAnsi="Arial" w:cs="Arial"/>
          <w:sz w:val="24"/>
          <w:szCs w:val="24"/>
        </w:rPr>
      </w:pPr>
    </w:p>
    <w:p w:rsidR="00E47FF5" w:rsidRDefault="004F6BED" w:rsidP="004F6BED">
      <w:pPr>
        <w:rPr>
          <w:rFonts w:ascii="Arial" w:hAnsi="Arial" w:cs="Arial"/>
          <w:sz w:val="24"/>
          <w:szCs w:val="24"/>
        </w:rPr>
      </w:pPr>
      <w:r>
        <w:rPr>
          <w:rFonts w:ascii="Arial" w:hAnsi="Arial" w:cs="Arial"/>
          <w:sz w:val="24"/>
          <w:szCs w:val="24"/>
        </w:rPr>
        <w:t>Bilimsel durum raporunun Yazı grubu, sağlık uzmanlarına KY hastalarının</w:t>
      </w:r>
      <w:r w:rsidRPr="004F6BED">
        <w:rPr>
          <w:rFonts w:ascii="Arial" w:hAnsi="Arial" w:cs="Arial"/>
          <w:sz w:val="24"/>
          <w:szCs w:val="24"/>
        </w:rPr>
        <w:t xml:space="preserve"> </w:t>
      </w:r>
      <w:r>
        <w:rPr>
          <w:rFonts w:ascii="Arial" w:hAnsi="Arial" w:cs="Arial"/>
          <w:sz w:val="24"/>
          <w:szCs w:val="24"/>
        </w:rPr>
        <w:t>TAT</w:t>
      </w:r>
      <w:r w:rsidRPr="004F6BED">
        <w:rPr>
          <w:rFonts w:ascii="Arial" w:hAnsi="Arial" w:cs="Arial"/>
          <w:sz w:val="24"/>
          <w:szCs w:val="24"/>
        </w:rPr>
        <w:t xml:space="preserve"> tedavilerini kullanımları hakkında ruti</w:t>
      </w:r>
      <w:r>
        <w:rPr>
          <w:rFonts w:ascii="Arial" w:hAnsi="Arial" w:cs="Arial"/>
          <w:sz w:val="24"/>
          <w:szCs w:val="24"/>
        </w:rPr>
        <w:t>n olarak soru sormaya teşvik ediyo</w:t>
      </w:r>
      <w:r w:rsidRPr="004F6BED">
        <w:rPr>
          <w:rFonts w:ascii="Arial" w:hAnsi="Arial" w:cs="Arial"/>
          <w:sz w:val="24"/>
          <w:szCs w:val="24"/>
        </w:rPr>
        <w:t xml:space="preserve">r. Ayrıca, KY hastalarına </w:t>
      </w:r>
      <w:r w:rsidR="006725A9">
        <w:rPr>
          <w:rFonts w:ascii="Arial" w:hAnsi="Arial" w:cs="Arial"/>
          <w:sz w:val="24"/>
          <w:szCs w:val="24"/>
        </w:rPr>
        <w:t xml:space="preserve">TAT </w:t>
      </w:r>
      <w:r w:rsidRPr="004F6BED">
        <w:rPr>
          <w:rFonts w:ascii="Arial" w:hAnsi="Arial" w:cs="Arial"/>
          <w:sz w:val="24"/>
          <w:szCs w:val="24"/>
        </w:rPr>
        <w:t xml:space="preserve">tedavilerinin kullanımı hakkında danışmanlık sağlamak için eczacıların </w:t>
      </w:r>
      <w:r w:rsidR="006725A9">
        <w:rPr>
          <w:rFonts w:ascii="Arial" w:hAnsi="Arial" w:cs="Arial"/>
          <w:sz w:val="24"/>
          <w:szCs w:val="24"/>
        </w:rPr>
        <w:t xml:space="preserve">çok-disiplinli sağlık ekibine </w:t>
      </w:r>
      <w:proofErr w:type="gramStart"/>
      <w:r w:rsidR="006725A9">
        <w:rPr>
          <w:rFonts w:ascii="Arial" w:hAnsi="Arial" w:cs="Arial"/>
          <w:sz w:val="24"/>
          <w:szCs w:val="24"/>
        </w:rPr>
        <w:t>dahil</w:t>
      </w:r>
      <w:proofErr w:type="gramEnd"/>
      <w:r w:rsidR="006725A9">
        <w:rPr>
          <w:rFonts w:ascii="Arial" w:hAnsi="Arial" w:cs="Arial"/>
          <w:sz w:val="24"/>
          <w:szCs w:val="24"/>
        </w:rPr>
        <w:t xml:space="preserve"> edilmeleri</w:t>
      </w:r>
      <w:r w:rsidRPr="004F6BED">
        <w:rPr>
          <w:rFonts w:ascii="Arial" w:hAnsi="Arial" w:cs="Arial"/>
          <w:sz w:val="24"/>
          <w:szCs w:val="24"/>
        </w:rPr>
        <w:t xml:space="preserve"> gerektiğini söylüyorlar.</w:t>
      </w:r>
    </w:p>
    <w:p w:rsidR="00E47FF5" w:rsidRPr="004F6BED" w:rsidRDefault="00E47FF5" w:rsidP="004F6BED">
      <w:pPr>
        <w:rPr>
          <w:rFonts w:ascii="Arial" w:hAnsi="Arial" w:cs="Arial"/>
          <w:sz w:val="24"/>
          <w:szCs w:val="24"/>
        </w:rPr>
      </w:pPr>
      <w:r w:rsidRPr="00E47FF5">
        <w:rPr>
          <w:rFonts w:ascii="Arial" w:hAnsi="Arial" w:cs="Arial"/>
          <w:sz w:val="24"/>
          <w:szCs w:val="24"/>
        </w:rPr>
        <w:t>Bilimsel açıklama, KY'de de kullanılan esrar (cannabis) veya geleneksel Çin tıbbını içermemektedir. 2020'de AHA, tıbbi esrar ve eğlence amaçlı esrarın kardiyovasküler sağlık üzerinde kullanımına ilişkin ayrı bir bilimsel açıklama yayınladı (Aşağıda tartışılmış ve bildirinin özeti sunulmuştur).</w:t>
      </w:r>
    </w:p>
    <w:p w:rsidR="00041473" w:rsidRPr="00056B9F" w:rsidRDefault="00041473" w:rsidP="00B6425C">
      <w:pPr>
        <w:rPr>
          <w:rFonts w:ascii="Times New Roman" w:hAnsi="Times New Roman" w:cs="Times New Roman"/>
          <w:sz w:val="16"/>
          <w:szCs w:val="16"/>
        </w:rPr>
      </w:pPr>
    </w:p>
    <w:p w:rsidR="00056B9F" w:rsidRPr="008C1F84" w:rsidRDefault="00041473" w:rsidP="00041473">
      <w:pPr>
        <w:spacing w:line="240" w:lineRule="auto"/>
        <w:textAlignment w:val="top"/>
        <w:rPr>
          <w:rFonts w:ascii="Times New Roman" w:eastAsia="Times New Roman" w:hAnsi="Times New Roman" w:cs="Times New Roman"/>
          <w:b/>
          <w:sz w:val="32"/>
          <w:szCs w:val="32"/>
          <w:lang w:eastAsia="tr-TR"/>
        </w:rPr>
      </w:pPr>
      <w:r w:rsidRPr="00041473">
        <w:rPr>
          <w:rFonts w:ascii="Times New Roman" w:eastAsia="Times New Roman" w:hAnsi="Times New Roman" w:cs="Times New Roman"/>
          <w:b/>
          <w:sz w:val="32"/>
          <w:szCs w:val="32"/>
          <w:lang w:eastAsia="tr-TR"/>
        </w:rPr>
        <w:t>Esrar: Kalp Yararlarına İlişkin Kanıt Yok, Ancak Potansiyel Zararları</w:t>
      </w:r>
    </w:p>
    <w:p w:rsidR="00041473" w:rsidRDefault="00041473" w:rsidP="00041473">
      <w:pPr>
        <w:spacing w:line="240" w:lineRule="auto"/>
        <w:textAlignment w:val="top"/>
        <w:rPr>
          <w:rFonts w:ascii="Arial" w:eastAsia="Times New Roman" w:hAnsi="Arial" w:cs="Arial"/>
          <w:sz w:val="24"/>
          <w:szCs w:val="24"/>
          <w:lang w:eastAsia="tr-TR"/>
        </w:rPr>
      </w:pPr>
      <w:r w:rsidRPr="00041473">
        <w:rPr>
          <w:rFonts w:ascii="Times New Roman" w:eastAsia="Times New Roman" w:hAnsi="Times New Roman" w:cs="Times New Roman"/>
          <w:b/>
          <w:i/>
          <w:sz w:val="24"/>
          <w:szCs w:val="24"/>
          <w:u w:val="single"/>
          <w:lang w:eastAsia="tr-TR"/>
        </w:rPr>
        <w:t>Ağustos 2020-</w:t>
      </w:r>
      <w:r w:rsidRPr="00041473">
        <w:rPr>
          <w:rFonts w:ascii="Arial" w:eastAsia="Times New Roman" w:hAnsi="Arial" w:cs="Arial"/>
          <w:sz w:val="24"/>
          <w:szCs w:val="24"/>
          <w:lang w:eastAsia="tr-TR"/>
        </w:rPr>
        <w:t xml:space="preserve"> AHA'nı</w:t>
      </w:r>
      <w:r>
        <w:rPr>
          <w:rFonts w:ascii="Arial" w:eastAsia="Times New Roman" w:hAnsi="Arial" w:cs="Arial"/>
          <w:sz w:val="24"/>
          <w:szCs w:val="24"/>
          <w:lang w:eastAsia="tr-TR"/>
        </w:rPr>
        <w:t xml:space="preserve">n bilimsel bir </w:t>
      </w:r>
      <w:proofErr w:type="gramStart"/>
      <w:r>
        <w:rPr>
          <w:rFonts w:ascii="Arial" w:eastAsia="Times New Roman" w:hAnsi="Arial" w:cs="Arial"/>
          <w:sz w:val="24"/>
          <w:szCs w:val="24"/>
          <w:lang w:eastAsia="tr-TR"/>
        </w:rPr>
        <w:t xml:space="preserve">açıklamasında </w:t>
      </w:r>
      <w:r w:rsidRPr="00041473">
        <w:rPr>
          <w:rFonts w:ascii="Arial" w:eastAsia="Times New Roman" w:hAnsi="Arial" w:cs="Arial"/>
          <w:sz w:val="24"/>
          <w:szCs w:val="24"/>
          <w:lang w:eastAsia="tr-TR"/>
        </w:rPr>
        <w:t xml:space="preserve"> esrar</w:t>
      </w:r>
      <w:proofErr w:type="gramEnd"/>
      <w:r w:rsidRPr="00041473">
        <w:rPr>
          <w:rFonts w:ascii="Arial" w:eastAsia="Times New Roman" w:hAnsi="Arial" w:cs="Arial"/>
          <w:sz w:val="24"/>
          <w:szCs w:val="24"/>
          <w:lang w:eastAsia="tr-TR"/>
        </w:rPr>
        <w:t xml:space="preserve"> kullanımı ile kardiyovasküler sağlık arasında bir bağlantı olduğuna d</w:t>
      </w:r>
      <w:r>
        <w:rPr>
          <w:rFonts w:ascii="Arial" w:eastAsia="Times New Roman" w:hAnsi="Arial" w:cs="Arial"/>
          <w:sz w:val="24"/>
          <w:szCs w:val="24"/>
          <w:lang w:eastAsia="tr-TR"/>
        </w:rPr>
        <w:t>air kanıtlar desteklenmemekte</w:t>
      </w:r>
      <w:r w:rsidRPr="00041473">
        <w:rPr>
          <w:rFonts w:ascii="Arial" w:eastAsia="Times New Roman" w:hAnsi="Arial" w:cs="Arial"/>
          <w:sz w:val="24"/>
          <w:szCs w:val="24"/>
          <w:lang w:eastAsia="tr-TR"/>
        </w:rPr>
        <w:t xml:space="preserve"> ve potansiyel </w:t>
      </w:r>
      <w:r w:rsidRPr="00041473">
        <w:rPr>
          <w:rFonts w:ascii="Arial" w:eastAsia="Times New Roman" w:hAnsi="Arial" w:cs="Arial"/>
          <w:sz w:val="24"/>
          <w:szCs w:val="24"/>
          <w:lang w:eastAsia="tr-TR"/>
        </w:rPr>
        <w:lastRenderedPageBreak/>
        <w:t>riskler, olası faydalardan daha ağır basmaktadır.</w:t>
      </w:r>
      <w:r w:rsidRPr="00041473">
        <w:rPr>
          <w:rFonts w:ascii="Arial" w:eastAsia="Times New Roman" w:hAnsi="Arial" w:cs="Arial"/>
          <w:color w:val="007CB0"/>
          <w:sz w:val="24"/>
          <w:szCs w:val="24"/>
          <w:lang w:eastAsia="tr-TR"/>
        </w:rPr>
        <w:t xml:space="preserve"> </w:t>
      </w:r>
      <w:r w:rsidRPr="00041473">
        <w:rPr>
          <w:rFonts w:ascii="Arial" w:eastAsia="Times New Roman" w:hAnsi="Arial" w:cs="Arial"/>
          <w:sz w:val="24"/>
          <w:szCs w:val="24"/>
          <w:lang w:eastAsia="tr-TR"/>
        </w:rPr>
        <w:t>Amerika Birleşik Devletleri'nde esrar ve kenevir ürünlerinin (</w:t>
      </w:r>
      <w:r w:rsidRPr="00041473">
        <w:rPr>
          <w:rFonts w:ascii="Times New Roman" w:eastAsia="Times New Roman" w:hAnsi="Times New Roman" w:cs="Times New Roman"/>
          <w:i/>
          <w:sz w:val="24"/>
          <w:szCs w:val="24"/>
          <w:lang w:eastAsia="tr-TR"/>
        </w:rPr>
        <w:t>cannabis and cannabis products</w:t>
      </w:r>
      <w:r w:rsidRPr="00041473">
        <w:rPr>
          <w:rFonts w:ascii="Arial" w:eastAsia="Times New Roman" w:hAnsi="Arial" w:cs="Arial"/>
          <w:sz w:val="24"/>
          <w:szCs w:val="24"/>
          <w:lang w:eastAsia="tr-TR"/>
        </w:rPr>
        <w:t xml:space="preserve">) </w:t>
      </w:r>
      <w:r>
        <w:rPr>
          <w:rFonts w:ascii="Arial" w:eastAsia="Times New Roman" w:hAnsi="Arial" w:cs="Arial"/>
          <w:sz w:val="24"/>
          <w:szCs w:val="24"/>
          <w:lang w:eastAsia="tr-TR"/>
        </w:rPr>
        <w:t xml:space="preserve">gittikçe </w:t>
      </w:r>
      <w:r w:rsidRPr="00041473">
        <w:rPr>
          <w:rFonts w:ascii="Arial" w:eastAsia="Times New Roman" w:hAnsi="Arial" w:cs="Arial"/>
          <w:sz w:val="24"/>
          <w:szCs w:val="24"/>
          <w:lang w:eastAsia="tr-TR"/>
        </w:rPr>
        <w:t xml:space="preserve">artan şekilde yasallaştırılması, tıp uzmanlarını sağlık koşullarıyla </w:t>
      </w:r>
      <w:r>
        <w:rPr>
          <w:rFonts w:ascii="Arial" w:eastAsia="Times New Roman" w:hAnsi="Arial" w:cs="Arial"/>
          <w:sz w:val="24"/>
          <w:szCs w:val="24"/>
          <w:lang w:eastAsia="tr-TR"/>
        </w:rPr>
        <w:t>ilgili olarak esrarın güvenliği</w:t>
      </w:r>
      <w:r w:rsidRPr="00041473">
        <w:rPr>
          <w:rFonts w:ascii="Arial" w:eastAsia="Times New Roman" w:hAnsi="Arial" w:cs="Arial"/>
          <w:sz w:val="24"/>
          <w:szCs w:val="24"/>
          <w:lang w:eastAsia="tr-TR"/>
        </w:rPr>
        <w:t xml:space="preserve"> ve etkililiğini değerlendirmeye </w:t>
      </w:r>
      <w:proofErr w:type="gramStart"/>
      <w:r w:rsidRPr="00041473">
        <w:rPr>
          <w:rFonts w:ascii="Arial" w:eastAsia="Times New Roman" w:hAnsi="Arial" w:cs="Arial"/>
          <w:sz w:val="24"/>
          <w:szCs w:val="24"/>
          <w:lang w:eastAsia="tr-TR"/>
        </w:rPr>
        <w:t>yöneltti.</w:t>
      </w:r>
      <w:r w:rsidR="00B01E45">
        <w:rPr>
          <w:rFonts w:ascii="Arial" w:eastAsia="Times New Roman" w:hAnsi="Arial" w:cs="Arial"/>
          <w:sz w:val="24"/>
          <w:szCs w:val="24"/>
          <w:lang w:eastAsia="tr-TR"/>
        </w:rPr>
        <w:t>Aşağıda</w:t>
      </w:r>
      <w:proofErr w:type="gramEnd"/>
      <w:r w:rsidR="00B01E45">
        <w:rPr>
          <w:rFonts w:ascii="Arial" w:eastAsia="Times New Roman" w:hAnsi="Arial" w:cs="Arial"/>
          <w:sz w:val="24"/>
          <w:szCs w:val="24"/>
          <w:lang w:eastAsia="tr-TR"/>
        </w:rPr>
        <w:t xml:space="preserve"> özetlenen </w:t>
      </w:r>
      <w:r w:rsidR="00B01E45" w:rsidRPr="00B01E45">
        <w:t xml:space="preserve"> </w:t>
      </w:r>
      <w:r w:rsidR="00B01E45" w:rsidRPr="00B01E45">
        <w:rPr>
          <w:rFonts w:ascii="Arial" w:eastAsia="Times New Roman" w:hAnsi="Arial" w:cs="Arial"/>
          <w:sz w:val="24"/>
          <w:szCs w:val="24"/>
          <w:lang w:eastAsia="tr-TR"/>
        </w:rPr>
        <w:t>Circulatıon’da yayınlanan b</w:t>
      </w:r>
      <w:r w:rsidR="00B01E45">
        <w:rPr>
          <w:rFonts w:ascii="Arial" w:eastAsia="Times New Roman" w:hAnsi="Arial" w:cs="Arial"/>
          <w:sz w:val="24"/>
          <w:szCs w:val="24"/>
          <w:lang w:eastAsia="tr-TR"/>
        </w:rPr>
        <w:t xml:space="preserve">ir bildiride </w:t>
      </w:r>
      <w:r w:rsidR="00B01E45" w:rsidRPr="00B01E45">
        <w:rPr>
          <w:rFonts w:ascii="Arial" w:eastAsia="Times New Roman" w:hAnsi="Arial" w:cs="Arial"/>
          <w:sz w:val="24"/>
          <w:szCs w:val="24"/>
          <w:lang w:eastAsia="tr-TR"/>
        </w:rPr>
        <w:t xml:space="preserve"> araştırmacılar, kenevirin belirli koşullarda ağrı ve diğer semptomları hafiflettiği gösterilmiş olmasına rağmen, federal yasa kısıtlamaları nedeniyle ABD'deki klinisyenlerin sağlık üzerindeki etkilerini incelemelerinin sınırlandırıldığını belirtti.</w:t>
      </w:r>
    </w:p>
    <w:p w:rsidR="00041473" w:rsidRDefault="00793AD1" w:rsidP="00592370">
      <w:pPr>
        <w:pStyle w:val="ListeParagraf"/>
        <w:numPr>
          <w:ilvl w:val="0"/>
          <w:numId w:val="2"/>
        </w:numPr>
        <w:spacing w:line="240" w:lineRule="auto"/>
        <w:textAlignment w:val="top"/>
        <w:rPr>
          <w:rFonts w:ascii="Arial" w:eastAsia="Times New Roman" w:hAnsi="Arial" w:cs="Arial"/>
          <w:sz w:val="24"/>
          <w:szCs w:val="24"/>
          <w:lang w:eastAsia="tr-TR"/>
        </w:rPr>
      </w:pPr>
      <w:r w:rsidRPr="00592370">
        <w:rPr>
          <w:rFonts w:ascii="Arial" w:eastAsia="Times New Roman" w:hAnsi="Arial" w:cs="Arial"/>
          <w:i/>
          <w:sz w:val="28"/>
          <w:szCs w:val="28"/>
          <w:lang w:eastAsia="tr-TR"/>
        </w:rPr>
        <w:t>Esrar, kabul edilmiş bir tıbbi kullanımı</w:t>
      </w:r>
      <w:r w:rsidR="006E3082" w:rsidRPr="00592370">
        <w:rPr>
          <w:rFonts w:ascii="Arial" w:eastAsia="Times New Roman" w:hAnsi="Arial" w:cs="Arial"/>
          <w:i/>
          <w:sz w:val="28"/>
          <w:szCs w:val="28"/>
          <w:lang w:eastAsia="tr-TR"/>
        </w:rPr>
        <w:t xml:space="preserve"> </w:t>
      </w:r>
      <w:proofErr w:type="gramStart"/>
      <w:r w:rsidR="006E3082" w:rsidRPr="00592370">
        <w:rPr>
          <w:rFonts w:ascii="Arial" w:eastAsia="Times New Roman" w:hAnsi="Arial" w:cs="Arial"/>
          <w:i/>
          <w:sz w:val="28"/>
          <w:szCs w:val="28"/>
          <w:lang w:eastAsia="tr-TR"/>
        </w:rPr>
        <w:t xml:space="preserve">olmayan </w:t>
      </w:r>
      <w:r w:rsidRPr="00592370">
        <w:rPr>
          <w:rFonts w:ascii="Arial" w:eastAsia="Times New Roman" w:hAnsi="Arial" w:cs="Arial"/>
          <w:i/>
          <w:sz w:val="28"/>
          <w:szCs w:val="28"/>
          <w:lang w:eastAsia="tr-TR"/>
        </w:rPr>
        <w:t>, yüksek</w:t>
      </w:r>
      <w:proofErr w:type="gramEnd"/>
      <w:r w:rsidRPr="00592370">
        <w:rPr>
          <w:rFonts w:ascii="Arial" w:eastAsia="Times New Roman" w:hAnsi="Arial" w:cs="Arial"/>
          <w:i/>
          <w:sz w:val="28"/>
          <w:szCs w:val="28"/>
          <w:lang w:eastAsia="tr-TR"/>
        </w:rPr>
        <w:t xml:space="preserve"> bir </w:t>
      </w:r>
      <w:r w:rsidR="006E3082" w:rsidRPr="00592370">
        <w:rPr>
          <w:rFonts w:ascii="Arial" w:eastAsia="Times New Roman" w:hAnsi="Arial" w:cs="Arial"/>
          <w:i/>
          <w:sz w:val="28"/>
          <w:szCs w:val="28"/>
          <w:lang w:eastAsia="tr-TR"/>
        </w:rPr>
        <w:t>kötüye kullanım</w:t>
      </w:r>
      <w:r w:rsidRPr="00592370">
        <w:rPr>
          <w:rFonts w:ascii="Arial" w:eastAsia="Times New Roman" w:hAnsi="Arial" w:cs="Arial"/>
          <w:i/>
          <w:sz w:val="28"/>
          <w:szCs w:val="28"/>
          <w:lang w:eastAsia="tr-TR"/>
        </w:rPr>
        <w:t xml:space="preserve"> p</w:t>
      </w:r>
      <w:r w:rsidR="006E3082" w:rsidRPr="00592370">
        <w:rPr>
          <w:rFonts w:ascii="Arial" w:eastAsia="Times New Roman" w:hAnsi="Arial" w:cs="Arial"/>
          <w:i/>
          <w:sz w:val="28"/>
          <w:szCs w:val="28"/>
          <w:lang w:eastAsia="tr-TR"/>
        </w:rPr>
        <w:t>otansiyeli ve kabul edilemez  güvenlik profili  kabul edilen</w:t>
      </w:r>
      <w:r w:rsidRPr="00592370">
        <w:rPr>
          <w:rFonts w:ascii="Arial" w:eastAsia="Times New Roman" w:hAnsi="Arial" w:cs="Arial"/>
          <w:i/>
          <w:sz w:val="28"/>
          <w:szCs w:val="28"/>
          <w:lang w:eastAsia="tr-TR"/>
        </w:rPr>
        <w:t xml:space="preserve"> “program kontrollü</w:t>
      </w:r>
      <w:r w:rsidR="006E3082" w:rsidRPr="00592370">
        <w:rPr>
          <w:rFonts w:ascii="Arial" w:eastAsia="Times New Roman" w:hAnsi="Arial" w:cs="Arial"/>
          <w:i/>
          <w:sz w:val="28"/>
          <w:szCs w:val="28"/>
          <w:lang w:eastAsia="tr-TR"/>
        </w:rPr>
        <w:t>”</w:t>
      </w:r>
      <w:r w:rsidRPr="00592370">
        <w:rPr>
          <w:rFonts w:ascii="Arial" w:eastAsia="Times New Roman" w:hAnsi="Arial" w:cs="Arial"/>
          <w:i/>
          <w:sz w:val="28"/>
          <w:szCs w:val="28"/>
          <w:lang w:eastAsia="tr-TR"/>
        </w:rPr>
        <w:t xml:space="preserve"> bir madd</w:t>
      </w:r>
      <w:r w:rsidR="006E3082" w:rsidRPr="00592370">
        <w:rPr>
          <w:rFonts w:ascii="Arial" w:eastAsia="Times New Roman" w:hAnsi="Arial" w:cs="Arial"/>
          <w:i/>
          <w:sz w:val="28"/>
          <w:szCs w:val="28"/>
          <w:lang w:eastAsia="tr-TR"/>
        </w:rPr>
        <w:t>e olmaya devam ediyor</w:t>
      </w:r>
      <w:r w:rsidR="006E3082" w:rsidRPr="00592370">
        <w:rPr>
          <w:rFonts w:ascii="Arial" w:eastAsia="Times New Roman" w:hAnsi="Arial" w:cs="Arial"/>
          <w:sz w:val="24"/>
          <w:szCs w:val="24"/>
          <w:lang w:eastAsia="tr-TR"/>
        </w:rPr>
        <w:t>.</w:t>
      </w:r>
    </w:p>
    <w:p w:rsidR="00240A71" w:rsidRDefault="00592370" w:rsidP="00592370">
      <w:pPr>
        <w:spacing w:line="240" w:lineRule="auto"/>
        <w:textAlignment w:val="top"/>
        <w:rPr>
          <w:rFonts w:ascii="Arial" w:eastAsia="Times New Roman" w:hAnsi="Arial" w:cs="Arial"/>
          <w:sz w:val="24"/>
          <w:szCs w:val="24"/>
          <w:lang w:eastAsia="tr-TR"/>
        </w:rPr>
      </w:pPr>
      <w:r w:rsidRPr="00592370">
        <w:rPr>
          <w:rFonts w:ascii="Arial" w:eastAsia="Times New Roman" w:hAnsi="Arial" w:cs="Arial"/>
          <w:sz w:val="24"/>
          <w:szCs w:val="24"/>
          <w:lang w:eastAsia="tr-TR"/>
        </w:rPr>
        <w:t>Bildiri, kardiyovasküler hastalığı olan veya yüksek risk altındaki kişiler tarafından esrar kullanımıyla ilgili sorunları ele almaktadır. Yazarlar, gözlemsel çalışmaların esrarla ilişkili hiçbir kardiyovasküler fayda göstermediğini belirtti. Esrardaki en ya</w:t>
      </w:r>
      <w:r>
        <w:rPr>
          <w:rFonts w:ascii="Arial" w:eastAsia="Times New Roman" w:hAnsi="Arial" w:cs="Arial"/>
          <w:sz w:val="24"/>
          <w:szCs w:val="24"/>
          <w:lang w:eastAsia="tr-TR"/>
        </w:rPr>
        <w:t>ygın kimyasallar arasında THC (</w:t>
      </w:r>
      <w:r w:rsidRPr="008C1EC5">
        <w:rPr>
          <w:rFonts w:ascii="Times New Roman" w:eastAsia="Times New Roman" w:hAnsi="Times New Roman" w:cs="Times New Roman"/>
          <w:i/>
          <w:sz w:val="24"/>
          <w:szCs w:val="24"/>
          <w:lang w:eastAsia="tr-TR"/>
        </w:rPr>
        <w:t>Tetrahidrokanabinolik asit</w:t>
      </w:r>
      <w:r>
        <w:rPr>
          <w:rFonts w:ascii="Arial" w:eastAsia="Times New Roman" w:hAnsi="Arial" w:cs="Arial"/>
          <w:sz w:val="24"/>
          <w:szCs w:val="24"/>
          <w:lang w:eastAsia="tr-TR"/>
        </w:rPr>
        <w:t>) ve CBD (</w:t>
      </w:r>
      <w:r w:rsidRPr="008C1EC5">
        <w:rPr>
          <w:rFonts w:ascii="Times New Roman" w:eastAsia="Times New Roman" w:hAnsi="Times New Roman" w:cs="Times New Roman"/>
          <w:i/>
          <w:sz w:val="24"/>
          <w:szCs w:val="24"/>
          <w:lang w:eastAsia="tr-TR"/>
        </w:rPr>
        <w:t>Kannabidiol</w:t>
      </w:r>
      <w:r w:rsidRPr="00592370">
        <w:rPr>
          <w:rFonts w:ascii="Arial" w:eastAsia="Times New Roman" w:hAnsi="Arial" w:cs="Arial"/>
          <w:sz w:val="24"/>
          <w:szCs w:val="24"/>
          <w:lang w:eastAsia="tr-TR"/>
        </w:rPr>
        <w:t>) bulunur.</w:t>
      </w:r>
    </w:p>
    <w:p w:rsidR="00240A71" w:rsidRPr="00240A71" w:rsidRDefault="00240A71" w:rsidP="00240A71">
      <w:pPr>
        <w:spacing w:after="0" w:line="240" w:lineRule="auto"/>
      </w:pPr>
      <w:r w:rsidRPr="00240A71">
        <w:rPr>
          <w:rFonts w:ascii="Arial" w:eastAsia="Times New Roman" w:hAnsi="Arial" w:cs="Arial"/>
          <w:sz w:val="24"/>
          <w:szCs w:val="24"/>
          <w:lang w:eastAsia="tr-TR"/>
        </w:rPr>
        <w:t>Yazarlar, bazı araştırmaların düşük kan basıncı ve azalmış inflamasyon dahil olmak üzere CBD</w:t>
      </w:r>
      <w:r>
        <w:rPr>
          <w:rFonts w:ascii="Arial" w:eastAsia="Times New Roman" w:hAnsi="Arial" w:cs="Arial"/>
          <w:sz w:val="24"/>
          <w:szCs w:val="24"/>
          <w:lang w:eastAsia="tr-TR"/>
        </w:rPr>
        <w:t xml:space="preserve"> </w:t>
      </w:r>
      <w:proofErr w:type="gramStart"/>
      <w:r>
        <w:rPr>
          <w:rFonts w:ascii="Arial" w:eastAsia="Times New Roman" w:hAnsi="Arial" w:cs="Arial"/>
          <w:sz w:val="24"/>
          <w:szCs w:val="24"/>
          <w:lang w:eastAsia="tr-TR"/>
        </w:rPr>
        <w:t xml:space="preserve">ile </w:t>
      </w:r>
      <w:r w:rsidR="00B73DED">
        <w:rPr>
          <w:rFonts w:ascii="Arial" w:eastAsia="Times New Roman" w:hAnsi="Arial" w:cs="Arial"/>
          <w:sz w:val="24"/>
          <w:szCs w:val="24"/>
          <w:lang w:eastAsia="tr-TR"/>
        </w:rPr>
        <w:t xml:space="preserve"> kardiyovasküler</w:t>
      </w:r>
      <w:proofErr w:type="gramEnd"/>
      <w:r w:rsidR="00B73DED">
        <w:rPr>
          <w:rFonts w:ascii="Arial" w:eastAsia="Times New Roman" w:hAnsi="Arial" w:cs="Arial"/>
          <w:sz w:val="24"/>
          <w:szCs w:val="24"/>
          <w:lang w:eastAsia="tr-TR"/>
        </w:rPr>
        <w:t xml:space="preserve"> özellikler arasındaki ilişkiler</w:t>
      </w:r>
      <w:r w:rsidRPr="00240A71">
        <w:rPr>
          <w:rFonts w:ascii="Arial" w:eastAsia="Times New Roman" w:hAnsi="Arial" w:cs="Arial"/>
          <w:sz w:val="24"/>
          <w:szCs w:val="24"/>
          <w:lang w:eastAsia="tr-TR"/>
        </w:rPr>
        <w:t xml:space="preserve"> gösterdiğini belirtti.</w:t>
      </w:r>
      <w:r w:rsidRPr="00240A71">
        <w:t xml:space="preserve"> </w:t>
      </w:r>
    </w:p>
    <w:p w:rsidR="00240A71" w:rsidRDefault="00240A71" w:rsidP="00240A71">
      <w:pPr>
        <w:spacing w:after="0" w:line="240" w:lineRule="auto"/>
        <w:rPr>
          <w:rFonts w:ascii="Arial" w:eastAsia="Times New Roman" w:hAnsi="Arial" w:cs="Arial"/>
          <w:sz w:val="24"/>
          <w:szCs w:val="24"/>
          <w:lang w:eastAsia="tr-TR"/>
        </w:rPr>
      </w:pPr>
      <w:r w:rsidRPr="00B73DED">
        <w:rPr>
          <w:rFonts w:ascii="Arial" w:eastAsia="Times New Roman" w:hAnsi="Arial" w:cs="Arial"/>
          <w:sz w:val="24"/>
          <w:szCs w:val="24"/>
          <w:lang w:eastAsia="tr-TR"/>
        </w:rPr>
        <w:t>Bu</w:t>
      </w:r>
      <w:r w:rsidR="00B73DED" w:rsidRPr="00B73DED">
        <w:rPr>
          <w:rFonts w:ascii="Arial" w:eastAsia="Times New Roman" w:hAnsi="Arial" w:cs="Arial"/>
          <w:sz w:val="24"/>
          <w:szCs w:val="24"/>
          <w:lang w:eastAsia="tr-TR"/>
        </w:rPr>
        <w:t>nunla birlikte, esrarın yüksek</w:t>
      </w:r>
      <w:r w:rsidRPr="00B73DED">
        <w:rPr>
          <w:rFonts w:ascii="Arial" w:eastAsia="Times New Roman" w:hAnsi="Arial" w:cs="Arial"/>
          <w:sz w:val="24"/>
          <w:szCs w:val="24"/>
          <w:lang w:eastAsia="tr-TR"/>
        </w:rPr>
        <w:t xml:space="preserve"> veya zehir</w:t>
      </w:r>
      <w:r w:rsidR="00B73DED" w:rsidRPr="00B73DED">
        <w:rPr>
          <w:rFonts w:ascii="Arial" w:eastAsia="Times New Roman" w:hAnsi="Arial" w:cs="Arial"/>
          <w:sz w:val="24"/>
          <w:szCs w:val="24"/>
          <w:lang w:eastAsia="tr-TR"/>
        </w:rPr>
        <w:t xml:space="preserve">lenme ile ilişkili </w:t>
      </w:r>
      <w:proofErr w:type="gramStart"/>
      <w:r w:rsidR="00B73DED" w:rsidRPr="00B73DED">
        <w:rPr>
          <w:rFonts w:ascii="Arial" w:eastAsia="Times New Roman" w:hAnsi="Arial" w:cs="Arial"/>
          <w:sz w:val="24"/>
          <w:szCs w:val="24"/>
          <w:lang w:eastAsia="tr-TR"/>
        </w:rPr>
        <w:t xml:space="preserve">bileşeni </w:t>
      </w:r>
      <w:r w:rsidRPr="00B73DED">
        <w:rPr>
          <w:rFonts w:ascii="Arial" w:eastAsia="Times New Roman" w:hAnsi="Arial" w:cs="Arial"/>
          <w:sz w:val="24"/>
          <w:szCs w:val="24"/>
          <w:lang w:eastAsia="tr-TR"/>
        </w:rPr>
        <w:t xml:space="preserve"> THC</w:t>
      </w:r>
      <w:proofErr w:type="gramEnd"/>
      <w:r w:rsidRPr="00B73DED">
        <w:rPr>
          <w:rFonts w:ascii="Arial" w:eastAsia="Times New Roman" w:hAnsi="Arial" w:cs="Arial"/>
          <w:sz w:val="24"/>
          <w:szCs w:val="24"/>
          <w:lang w:eastAsia="tr-TR"/>
        </w:rPr>
        <w:t>,</w:t>
      </w:r>
      <w:r w:rsidR="00B73DED" w:rsidRPr="00B73DED">
        <w:rPr>
          <w:rFonts w:ascii="Arial" w:eastAsia="Times New Roman" w:hAnsi="Arial" w:cs="Arial"/>
          <w:sz w:val="24"/>
          <w:szCs w:val="24"/>
          <w:lang w:eastAsia="tr-TR"/>
        </w:rPr>
        <w:t xml:space="preserve"> de kalp ritm</w:t>
      </w:r>
      <w:r w:rsidRPr="00B73DED">
        <w:rPr>
          <w:rFonts w:ascii="Arial" w:eastAsia="Times New Roman" w:hAnsi="Arial" w:cs="Arial"/>
          <w:sz w:val="24"/>
          <w:szCs w:val="24"/>
          <w:lang w:eastAsia="tr-TR"/>
        </w:rPr>
        <w:t xml:space="preserve"> anormallikleriyle ilişkilendirilmiştir.</w:t>
      </w:r>
      <w:r w:rsidR="00B73DED">
        <w:rPr>
          <w:rFonts w:ascii="Arial" w:eastAsia="Times New Roman" w:hAnsi="Arial" w:cs="Arial"/>
          <w:sz w:val="24"/>
          <w:szCs w:val="24"/>
          <w:lang w:eastAsia="tr-TR"/>
        </w:rPr>
        <w:t xml:space="preserve"> </w:t>
      </w:r>
      <w:r w:rsidRPr="00B73DED">
        <w:rPr>
          <w:rFonts w:ascii="Arial" w:eastAsia="Times New Roman" w:hAnsi="Arial" w:cs="Arial"/>
          <w:sz w:val="24"/>
          <w:szCs w:val="24"/>
          <w:lang w:eastAsia="tr-TR"/>
        </w:rPr>
        <w:t>Yazarlar, daha fazla araştırmaya ihtiyaç olmas</w:t>
      </w:r>
      <w:r w:rsidR="00B73DED" w:rsidRPr="00B73DED">
        <w:rPr>
          <w:rFonts w:ascii="Arial" w:eastAsia="Times New Roman" w:hAnsi="Arial" w:cs="Arial"/>
          <w:sz w:val="24"/>
          <w:szCs w:val="24"/>
          <w:lang w:eastAsia="tr-TR"/>
        </w:rPr>
        <w:t>ına rağmen, kalp krizi, AF ve KY</w:t>
      </w:r>
      <w:r w:rsidRPr="00B73DED">
        <w:rPr>
          <w:rFonts w:ascii="Arial" w:eastAsia="Times New Roman" w:hAnsi="Arial" w:cs="Arial"/>
          <w:sz w:val="24"/>
          <w:szCs w:val="24"/>
          <w:lang w:eastAsia="tr-TR"/>
        </w:rPr>
        <w:t xml:space="preserve"> riskinde artış olduğunu öne süren verilere </w:t>
      </w:r>
      <w:r w:rsidR="00B73DED">
        <w:rPr>
          <w:rFonts w:ascii="Arial" w:eastAsia="Times New Roman" w:hAnsi="Arial" w:cs="Arial"/>
          <w:sz w:val="24"/>
          <w:szCs w:val="24"/>
          <w:lang w:eastAsia="tr-TR"/>
        </w:rPr>
        <w:t xml:space="preserve">de </w:t>
      </w:r>
      <w:r w:rsidRPr="00B73DED">
        <w:rPr>
          <w:rFonts w:ascii="Arial" w:eastAsia="Times New Roman" w:hAnsi="Arial" w:cs="Arial"/>
          <w:sz w:val="24"/>
          <w:szCs w:val="24"/>
          <w:lang w:eastAsia="tr-TR"/>
        </w:rPr>
        <w:t>atıfta bulundu.</w:t>
      </w:r>
    </w:p>
    <w:p w:rsidR="009E3CD1" w:rsidRDefault="00856157" w:rsidP="00240A71">
      <w:pPr>
        <w:spacing w:after="0" w:line="240" w:lineRule="auto"/>
        <w:rPr>
          <w:rFonts w:ascii="Arial" w:eastAsia="Times New Roman" w:hAnsi="Arial" w:cs="Arial"/>
          <w:sz w:val="24"/>
          <w:szCs w:val="24"/>
          <w:lang w:eastAsia="tr-TR"/>
        </w:rPr>
      </w:pPr>
      <w:r w:rsidRPr="00856157">
        <w:rPr>
          <w:rFonts w:ascii="Arial" w:eastAsia="Times New Roman" w:hAnsi="Arial" w:cs="Arial"/>
          <w:sz w:val="24"/>
          <w:szCs w:val="24"/>
          <w:lang w:eastAsia="tr-TR"/>
        </w:rPr>
        <w:t>Kalp hastalığı, Amer</w:t>
      </w:r>
      <w:r w:rsidR="00BA57EE">
        <w:rPr>
          <w:rFonts w:ascii="Arial" w:eastAsia="Times New Roman" w:hAnsi="Arial" w:cs="Arial"/>
          <w:sz w:val="24"/>
          <w:szCs w:val="24"/>
          <w:lang w:eastAsia="tr-TR"/>
        </w:rPr>
        <w:t>ika Birleşik Devletleri</w:t>
      </w:r>
      <w:r w:rsidRPr="00856157">
        <w:rPr>
          <w:rFonts w:ascii="Arial" w:eastAsia="Times New Roman" w:hAnsi="Arial" w:cs="Arial"/>
          <w:sz w:val="24"/>
          <w:szCs w:val="24"/>
          <w:lang w:eastAsia="tr-TR"/>
        </w:rPr>
        <w:t>nde önde gelen ölüm nedenlerinden biri olmaya devam ettiğinden, şu anda esrarla ilişkili kardiyovasküler riskleri anlamak çok önemlidir. Esrar hakkında</w:t>
      </w:r>
      <w:r>
        <w:rPr>
          <w:rFonts w:ascii="Arial" w:eastAsia="Times New Roman" w:hAnsi="Arial" w:cs="Arial"/>
          <w:sz w:val="24"/>
          <w:szCs w:val="24"/>
          <w:lang w:eastAsia="tr-TR"/>
        </w:rPr>
        <w:t>ki popüler tutumlar/davranışlar</w:t>
      </w:r>
      <w:r w:rsidRPr="00856157">
        <w:rPr>
          <w:rFonts w:ascii="Arial" w:eastAsia="Times New Roman" w:hAnsi="Arial" w:cs="Arial"/>
          <w:sz w:val="24"/>
          <w:szCs w:val="24"/>
          <w:lang w:eastAsia="tr-TR"/>
        </w:rPr>
        <w:t xml:space="preserve"> kullanıcıların kardiyovasküler sağlığı için risk oluşturabilir.</w:t>
      </w:r>
      <w:r w:rsidR="00BA57EE" w:rsidRPr="00BA57EE">
        <w:t xml:space="preserve"> </w:t>
      </w:r>
      <w:r w:rsidR="00BA57EE" w:rsidRPr="00BA57EE">
        <w:rPr>
          <w:rFonts w:ascii="Arial" w:eastAsia="Times New Roman" w:hAnsi="Arial" w:cs="Arial"/>
          <w:sz w:val="24"/>
          <w:szCs w:val="24"/>
          <w:lang w:eastAsia="tr-TR"/>
        </w:rPr>
        <w:t>Esrar hakkında önde gelen bir yanılgı, "doğal" olduğu için güvenli olması gerektiğidir. Tüm ilaçlarda olduğu gibi, esrarın da yan etkileri vardır ve bunların bir kısmı doğası gereği kardiyovasküler olabilir.</w:t>
      </w:r>
      <w:r w:rsidR="00BA57EE">
        <w:rPr>
          <w:rFonts w:ascii="Arial" w:eastAsia="Times New Roman" w:hAnsi="Arial" w:cs="Arial"/>
          <w:sz w:val="24"/>
          <w:szCs w:val="24"/>
          <w:lang w:eastAsia="tr-TR"/>
        </w:rPr>
        <w:t xml:space="preserve"> İkisi</w:t>
      </w:r>
      <w:r w:rsidR="00BA57EE" w:rsidRPr="00BA57EE">
        <w:rPr>
          <w:rFonts w:ascii="Arial" w:eastAsia="Times New Roman" w:hAnsi="Arial" w:cs="Arial"/>
          <w:sz w:val="24"/>
          <w:szCs w:val="24"/>
          <w:lang w:eastAsia="tr-TR"/>
        </w:rPr>
        <w:t xml:space="preserve">de esrarda bulunan CBD ve THC, birçok kardiyovasküler durumu tedavi etmek için kullanılan çok sayıda ilacı metabolize eden CYP3A4'ü inhibe ettiğinden, </w:t>
      </w:r>
      <w:r w:rsidR="00BA57EE">
        <w:rPr>
          <w:rFonts w:ascii="Arial" w:eastAsia="Times New Roman" w:hAnsi="Arial" w:cs="Arial"/>
          <w:sz w:val="24"/>
          <w:szCs w:val="24"/>
          <w:lang w:eastAsia="tr-TR"/>
        </w:rPr>
        <w:t xml:space="preserve">esrar kullanımında </w:t>
      </w:r>
      <w:r w:rsidR="00BA57EE" w:rsidRPr="00BA57EE">
        <w:rPr>
          <w:rFonts w:ascii="Arial" w:eastAsia="Times New Roman" w:hAnsi="Arial" w:cs="Arial"/>
          <w:sz w:val="24"/>
          <w:szCs w:val="24"/>
          <w:lang w:eastAsia="tr-TR"/>
        </w:rPr>
        <w:t>önemli ilaç-ilaç etkileşimleri meydana gelebilir.</w:t>
      </w:r>
      <w:r w:rsidR="00E1127E">
        <w:rPr>
          <w:rFonts w:ascii="Arial" w:eastAsia="Times New Roman" w:hAnsi="Arial" w:cs="Arial"/>
          <w:sz w:val="24"/>
          <w:szCs w:val="24"/>
          <w:lang w:eastAsia="tr-TR"/>
        </w:rPr>
        <w:t xml:space="preserve"> Malesef, yayınlanan verilerin çoğu, </w:t>
      </w:r>
      <w:r w:rsidR="00E1127E" w:rsidRPr="00E1127E">
        <w:rPr>
          <w:rFonts w:ascii="Arial" w:eastAsia="Times New Roman" w:hAnsi="Arial" w:cs="Arial"/>
          <w:sz w:val="24"/>
          <w:szCs w:val="24"/>
          <w:lang w:eastAsia="tr-TR"/>
        </w:rPr>
        <w:t xml:space="preserve"> programlı </w:t>
      </w:r>
      <w:r w:rsidR="00E1127E">
        <w:rPr>
          <w:rFonts w:ascii="Arial" w:eastAsia="Times New Roman" w:hAnsi="Arial" w:cs="Arial"/>
          <w:sz w:val="24"/>
          <w:szCs w:val="24"/>
          <w:lang w:eastAsia="tr-TR"/>
        </w:rPr>
        <w:t xml:space="preserve">bir </w:t>
      </w:r>
      <w:proofErr w:type="gramStart"/>
      <w:r w:rsidR="00E1127E">
        <w:rPr>
          <w:rFonts w:ascii="Arial" w:eastAsia="Times New Roman" w:hAnsi="Arial" w:cs="Arial"/>
          <w:sz w:val="24"/>
          <w:szCs w:val="24"/>
          <w:lang w:eastAsia="tr-TR"/>
        </w:rPr>
        <w:t xml:space="preserve">uyuşturucu </w:t>
      </w:r>
      <w:r w:rsidR="00E1127E" w:rsidRPr="00E1127E">
        <w:rPr>
          <w:rFonts w:ascii="Arial" w:eastAsia="Times New Roman" w:hAnsi="Arial" w:cs="Arial"/>
          <w:sz w:val="24"/>
          <w:szCs w:val="24"/>
          <w:lang w:eastAsia="tr-TR"/>
        </w:rPr>
        <w:t xml:space="preserve"> esrar</w:t>
      </w:r>
      <w:proofErr w:type="gramEnd"/>
      <w:r w:rsidR="00E1127E" w:rsidRPr="00E1127E">
        <w:rPr>
          <w:rFonts w:ascii="Arial" w:eastAsia="Times New Roman" w:hAnsi="Arial" w:cs="Arial"/>
          <w:sz w:val="24"/>
          <w:szCs w:val="24"/>
          <w:lang w:eastAsia="tr-TR"/>
        </w:rPr>
        <w:t xml:space="preserve"> üzerindeki federal kısıtlamalar nedeniyle doğası gereği</w:t>
      </w:r>
      <w:r w:rsidR="009E3CD1">
        <w:rPr>
          <w:rFonts w:ascii="Arial" w:eastAsia="Times New Roman" w:hAnsi="Arial" w:cs="Arial"/>
          <w:sz w:val="24"/>
          <w:szCs w:val="24"/>
          <w:lang w:eastAsia="tr-TR"/>
        </w:rPr>
        <w:t xml:space="preserve"> gözlemseldir. Bununla birlikte</w:t>
      </w:r>
      <w:r w:rsidR="00E1127E" w:rsidRPr="00E1127E">
        <w:rPr>
          <w:rFonts w:ascii="Arial" w:eastAsia="Times New Roman" w:hAnsi="Arial" w:cs="Arial"/>
          <w:sz w:val="24"/>
          <w:szCs w:val="24"/>
          <w:lang w:eastAsia="tr-TR"/>
        </w:rPr>
        <w:t xml:space="preserve"> esrar kullanımı ve miyokard enfarktüsü, KY ve AF </w:t>
      </w:r>
      <w:proofErr w:type="gramStart"/>
      <w:r w:rsidR="00E1127E" w:rsidRPr="00E1127E">
        <w:rPr>
          <w:rFonts w:ascii="Arial" w:eastAsia="Times New Roman" w:hAnsi="Arial" w:cs="Arial"/>
          <w:sz w:val="24"/>
          <w:szCs w:val="24"/>
          <w:lang w:eastAsia="tr-TR"/>
        </w:rPr>
        <w:t>dahil</w:t>
      </w:r>
      <w:proofErr w:type="gramEnd"/>
      <w:r w:rsidR="00E1127E" w:rsidRPr="00E1127E">
        <w:rPr>
          <w:rFonts w:ascii="Arial" w:eastAsia="Times New Roman" w:hAnsi="Arial" w:cs="Arial"/>
          <w:sz w:val="24"/>
          <w:szCs w:val="24"/>
          <w:lang w:eastAsia="tr-TR"/>
        </w:rPr>
        <w:t xml:space="preserve"> o</w:t>
      </w:r>
      <w:r w:rsidR="009E3CD1">
        <w:rPr>
          <w:rFonts w:ascii="Arial" w:eastAsia="Times New Roman" w:hAnsi="Arial" w:cs="Arial"/>
          <w:sz w:val="24"/>
          <w:szCs w:val="24"/>
          <w:lang w:eastAsia="tr-TR"/>
        </w:rPr>
        <w:t>lumsuz kardiyovasküler sonuçları ile ilişkili</w:t>
      </w:r>
      <w:r w:rsidR="00E1127E" w:rsidRPr="00E1127E">
        <w:rPr>
          <w:rFonts w:ascii="Arial" w:eastAsia="Times New Roman" w:hAnsi="Arial" w:cs="Arial"/>
          <w:sz w:val="24"/>
          <w:szCs w:val="24"/>
          <w:lang w:eastAsia="tr-TR"/>
        </w:rPr>
        <w:t xml:space="preserve"> güvenlik sinyalleri ortaya çıkmıştır. </w:t>
      </w:r>
    </w:p>
    <w:p w:rsidR="00470001" w:rsidRDefault="00E1127E" w:rsidP="00240A71">
      <w:pPr>
        <w:spacing w:after="0" w:line="240" w:lineRule="auto"/>
      </w:pPr>
      <w:r w:rsidRPr="00E1127E">
        <w:rPr>
          <w:rFonts w:ascii="Arial" w:eastAsia="Times New Roman" w:hAnsi="Arial" w:cs="Arial"/>
          <w:sz w:val="24"/>
          <w:szCs w:val="24"/>
          <w:lang w:eastAsia="tr-TR"/>
        </w:rPr>
        <w:t>Esrar kullanımı ve kardiyovasküler güvenlik ile ilgili dikkatle tasarlanmış prospektif kısa ve uzun vadeli çalışmalara iht</w:t>
      </w:r>
      <w:r w:rsidR="009E3CD1">
        <w:rPr>
          <w:rFonts w:ascii="Arial" w:eastAsia="Times New Roman" w:hAnsi="Arial" w:cs="Arial"/>
          <w:sz w:val="24"/>
          <w:szCs w:val="24"/>
          <w:lang w:eastAsia="tr-TR"/>
        </w:rPr>
        <w:t>iyaç vardır.</w:t>
      </w:r>
      <w:r w:rsidR="00381405">
        <w:rPr>
          <w:rFonts w:ascii="Arial" w:eastAsia="Times New Roman" w:hAnsi="Arial" w:cs="Arial"/>
          <w:sz w:val="24"/>
          <w:szCs w:val="24"/>
          <w:lang w:eastAsia="tr-TR"/>
        </w:rPr>
        <w:t xml:space="preserve"> </w:t>
      </w:r>
      <w:r w:rsidR="00381405" w:rsidRPr="00381405">
        <w:rPr>
          <w:rFonts w:ascii="Arial" w:eastAsia="Times New Roman" w:hAnsi="Arial" w:cs="Arial"/>
          <w:sz w:val="24"/>
          <w:szCs w:val="24"/>
          <w:lang w:eastAsia="tr-TR"/>
        </w:rPr>
        <w:t xml:space="preserve">Özellikle ek araştırmaya ihtiyaç duyulan alanlar arasında, ergenler, yaşlı yetişkinler, hamile kadınlar, organ nakli yapılan kişiler ve altta yatan kardiyovasküler hastalığı olanlar gibi bazı hassas </w:t>
      </w:r>
      <w:proofErr w:type="gramStart"/>
      <w:r w:rsidR="00381405" w:rsidRPr="00381405">
        <w:rPr>
          <w:rFonts w:ascii="Arial" w:eastAsia="Times New Roman" w:hAnsi="Arial" w:cs="Arial"/>
          <w:sz w:val="24"/>
          <w:szCs w:val="24"/>
          <w:lang w:eastAsia="tr-TR"/>
        </w:rPr>
        <w:t>popülasyonlarda</w:t>
      </w:r>
      <w:proofErr w:type="gramEnd"/>
      <w:r w:rsidR="00381405" w:rsidRPr="00381405">
        <w:rPr>
          <w:rFonts w:ascii="Arial" w:eastAsia="Times New Roman" w:hAnsi="Arial" w:cs="Arial"/>
          <w:sz w:val="24"/>
          <w:szCs w:val="24"/>
          <w:lang w:eastAsia="tr-TR"/>
        </w:rPr>
        <w:t xml:space="preserve"> esrarın kardiyovasküler etkileri yer alır.</w:t>
      </w:r>
      <w:r w:rsidR="00470001" w:rsidRPr="00470001">
        <w:t xml:space="preserve"> </w:t>
      </w:r>
    </w:p>
    <w:p w:rsidR="00AA2CEB" w:rsidRDefault="00470001" w:rsidP="00240A71">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Bununla birlikte bu k</w:t>
      </w:r>
      <w:r w:rsidRPr="00470001">
        <w:rPr>
          <w:rFonts w:ascii="Arial" w:eastAsia="Times New Roman" w:hAnsi="Arial" w:cs="Arial"/>
          <w:sz w:val="24"/>
          <w:szCs w:val="24"/>
          <w:lang w:eastAsia="tr-TR"/>
        </w:rPr>
        <w:t>linik Bilim</w:t>
      </w:r>
      <w:r>
        <w:rPr>
          <w:rFonts w:ascii="Arial" w:eastAsia="Times New Roman" w:hAnsi="Arial" w:cs="Arial"/>
          <w:sz w:val="24"/>
          <w:szCs w:val="24"/>
          <w:lang w:eastAsia="tr-TR"/>
        </w:rPr>
        <w:t xml:space="preserve">sel durum raporunda </w:t>
      </w:r>
      <w:r w:rsidRPr="00470001">
        <w:rPr>
          <w:rFonts w:ascii="Arial" w:eastAsia="Times New Roman" w:hAnsi="Arial" w:cs="Arial"/>
          <w:sz w:val="24"/>
          <w:szCs w:val="24"/>
          <w:lang w:eastAsia="tr-TR"/>
        </w:rPr>
        <w:t xml:space="preserve"> açıklanan güvenlik sinyallerine </w:t>
      </w:r>
      <w:proofErr w:type="gramStart"/>
      <w:r w:rsidRPr="00470001">
        <w:rPr>
          <w:rFonts w:ascii="Arial" w:eastAsia="Times New Roman" w:hAnsi="Arial" w:cs="Arial"/>
          <w:sz w:val="24"/>
          <w:szCs w:val="24"/>
          <w:lang w:eastAsia="tr-TR"/>
        </w:rPr>
        <w:t>dayanarak,</w:t>
      </w:r>
      <w:r>
        <w:rPr>
          <w:rFonts w:ascii="Arial" w:eastAsia="Times New Roman" w:hAnsi="Arial" w:cs="Arial"/>
          <w:sz w:val="24"/>
          <w:szCs w:val="24"/>
          <w:lang w:eastAsia="tr-TR"/>
        </w:rPr>
        <w:t>esrar</w:t>
      </w:r>
      <w:proofErr w:type="gramEnd"/>
      <w:r>
        <w:rPr>
          <w:rFonts w:ascii="Arial" w:eastAsia="Times New Roman" w:hAnsi="Arial" w:cs="Arial"/>
          <w:sz w:val="24"/>
          <w:szCs w:val="24"/>
          <w:lang w:eastAsia="tr-TR"/>
        </w:rPr>
        <w:t xml:space="preserve"> kullanımından önce, </w:t>
      </w:r>
      <w:r w:rsidRPr="00470001">
        <w:rPr>
          <w:rFonts w:ascii="Arial" w:eastAsia="Times New Roman" w:hAnsi="Arial" w:cs="Arial"/>
          <w:sz w:val="24"/>
          <w:szCs w:val="24"/>
          <w:lang w:eastAsia="tr-TR"/>
        </w:rPr>
        <w:t xml:space="preserve"> hasta ve sağlık hizmeti sağlayıcıları arasında esrar kullanmanın risklerine ilişkin açık bir tartışma yapılmalıdır. </w:t>
      </w:r>
    </w:p>
    <w:p w:rsidR="00381405" w:rsidRPr="00B73DED" w:rsidRDefault="00470001" w:rsidP="00240A71">
      <w:pPr>
        <w:spacing w:after="0" w:line="240" w:lineRule="auto"/>
        <w:rPr>
          <w:rFonts w:ascii="Arial" w:eastAsia="Times New Roman" w:hAnsi="Arial" w:cs="Arial"/>
          <w:sz w:val="24"/>
          <w:szCs w:val="24"/>
          <w:lang w:eastAsia="tr-TR"/>
        </w:rPr>
      </w:pPr>
      <w:r w:rsidRPr="00470001">
        <w:rPr>
          <w:rFonts w:ascii="Arial" w:eastAsia="Times New Roman" w:hAnsi="Arial" w:cs="Arial"/>
          <w:sz w:val="24"/>
          <w:szCs w:val="24"/>
          <w:lang w:eastAsia="tr-TR"/>
        </w:rPr>
        <w:t>Ayrıca hastalar, kardiyologları ve birinci basamak sağlık hizmeti sağlayıcıları ile esrar kullanımları konusunda şeffaf olmalıdır.</w:t>
      </w:r>
    </w:p>
    <w:p w:rsidR="00240A71" w:rsidRPr="00CF7321" w:rsidRDefault="00CF7321" w:rsidP="00CF7321">
      <w:pPr>
        <w:spacing w:line="240" w:lineRule="auto"/>
        <w:textAlignment w:val="top"/>
        <w:rPr>
          <w:rFonts w:ascii="Arial" w:eastAsia="Times New Roman" w:hAnsi="Arial" w:cs="Arial"/>
          <w:sz w:val="24"/>
          <w:szCs w:val="24"/>
          <w:lang w:eastAsia="tr-TR"/>
        </w:rPr>
      </w:pPr>
      <w:r w:rsidRPr="00CF7321">
        <w:rPr>
          <w:rFonts w:ascii="Arial" w:eastAsia="Times New Roman" w:hAnsi="Arial" w:cs="Arial"/>
          <w:sz w:val="24"/>
          <w:szCs w:val="24"/>
          <w:lang w:eastAsia="tr-TR"/>
        </w:rPr>
        <w:t xml:space="preserve">Esrar </w:t>
      </w:r>
      <w:proofErr w:type="gramStart"/>
      <w:r w:rsidRPr="00CF7321">
        <w:rPr>
          <w:rFonts w:ascii="Arial" w:eastAsia="Times New Roman" w:hAnsi="Arial" w:cs="Arial"/>
          <w:sz w:val="24"/>
          <w:szCs w:val="24"/>
          <w:lang w:eastAsia="tr-TR"/>
        </w:rPr>
        <w:t>hikayesi</w:t>
      </w:r>
      <w:proofErr w:type="gramEnd"/>
      <w:r w:rsidRPr="00CF7321">
        <w:rPr>
          <w:rFonts w:ascii="Arial" w:eastAsia="Times New Roman" w:hAnsi="Arial" w:cs="Arial"/>
          <w:sz w:val="24"/>
          <w:szCs w:val="24"/>
          <w:lang w:eastAsia="tr-TR"/>
        </w:rPr>
        <w:t xml:space="preserve"> gelişmeye devam edecek ve hızla hareket eden/değişen bir hedeftir</w:t>
      </w:r>
      <w:r>
        <w:rPr>
          <w:rFonts w:ascii="Arial" w:eastAsia="Times New Roman" w:hAnsi="Arial" w:cs="Arial"/>
          <w:sz w:val="24"/>
          <w:szCs w:val="24"/>
          <w:lang w:eastAsia="tr-TR"/>
        </w:rPr>
        <w:t>.</w:t>
      </w:r>
    </w:p>
    <w:p w:rsidR="00417331" w:rsidRDefault="00CF7321" w:rsidP="00B6425C">
      <w:pPr>
        <w:rPr>
          <w:rFonts w:ascii="Arial" w:hAnsi="Arial" w:cs="Arial"/>
          <w:sz w:val="24"/>
          <w:szCs w:val="24"/>
        </w:rPr>
      </w:pPr>
      <w:r w:rsidRPr="00CF7321">
        <w:rPr>
          <w:rFonts w:ascii="Arial" w:hAnsi="Arial" w:cs="Arial"/>
          <w:sz w:val="24"/>
          <w:szCs w:val="24"/>
        </w:rPr>
        <w:lastRenderedPageBreak/>
        <w:t>Esrar kullanımının tütün kullanımında olduğu gibi kardiyovasküler hastalık için kesin bir risk faktörü olup olmadığı hala bilinmemektedir ve bu konuyu ele almak için hem akut hem de uzun vadeli çalışmalara şiddetle ihtiyaç vardır.</w:t>
      </w:r>
    </w:p>
    <w:p w:rsidR="00417331" w:rsidRPr="00417331" w:rsidRDefault="004A05B8" w:rsidP="00417331">
      <w:pPr>
        <w:shd w:val="clear" w:color="auto" w:fill="FFFFFF"/>
        <w:spacing w:before="100" w:beforeAutospacing="1" w:after="100" w:afterAutospacing="1" w:line="240" w:lineRule="auto"/>
        <w:outlineLvl w:val="1"/>
        <w:rPr>
          <w:b/>
        </w:rPr>
      </w:pPr>
      <w:r>
        <w:rPr>
          <w:rFonts w:ascii="Times New Roman" w:eastAsia="Times New Roman" w:hAnsi="Times New Roman" w:cs="Times New Roman"/>
          <w:b/>
          <w:bCs/>
          <w:sz w:val="32"/>
          <w:szCs w:val="32"/>
          <w:lang w:eastAsia="tr-TR"/>
        </w:rPr>
        <w:t>Tıbbi Marihuana</w:t>
      </w:r>
      <w:r w:rsidR="00417331" w:rsidRPr="00417331">
        <w:rPr>
          <w:rFonts w:ascii="Times New Roman" w:eastAsia="Times New Roman" w:hAnsi="Times New Roman" w:cs="Times New Roman"/>
          <w:b/>
          <w:bCs/>
          <w:sz w:val="32"/>
          <w:szCs w:val="32"/>
          <w:lang w:eastAsia="tr-TR"/>
        </w:rPr>
        <w:t xml:space="preserve">, Eğlence </w:t>
      </w:r>
      <w:r>
        <w:rPr>
          <w:rFonts w:ascii="Times New Roman" w:eastAsia="Times New Roman" w:hAnsi="Times New Roman" w:cs="Times New Roman"/>
          <w:b/>
          <w:bCs/>
          <w:sz w:val="32"/>
          <w:szCs w:val="32"/>
          <w:lang w:eastAsia="tr-TR"/>
        </w:rPr>
        <w:t>Kannabis</w:t>
      </w:r>
      <w:r w:rsidR="00417331" w:rsidRPr="00417331">
        <w:rPr>
          <w:rFonts w:ascii="Times New Roman" w:eastAsia="Times New Roman" w:hAnsi="Times New Roman" w:cs="Times New Roman"/>
          <w:b/>
          <w:bCs/>
          <w:sz w:val="32"/>
          <w:szCs w:val="32"/>
          <w:lang w:eastAsia="tr-TR"/>
        </w:rPr>
        <w:t xml:space="preserve"> ve Kardiyovasküler Sağlık:</w:t>
      </w:r>
      <w:r w:rsidR="00417331" w:rsidRPr="00417331">
        <w:rPr>
          <w:b/>
        </w:rPr>
        <w:t xml:space="preserve"> </w:t>
      </w:r>
    </w:p>
    <w:p w:rsidR="00417331" w:rsidRDefault="00417331" w:rsidP="00417331">
      <w:pPr>
        <w:shd w:val="clear" w:color="auto" w:fill="FFFFFF"/>
        <w:spacing w:before="100" w:beforeAutospacing="1" w:after="100" w:afterAutospacing="1" w:line="240" w:lineRule="auto"/>
        <w:outlineLvl w:val="1"/>
        <w:rPr>
          <w:rFonts w:ascii="Times New Roman" w:eastAsia="Times New Roman" w:hAnsi="Times New Roman" w:cs="Times New Roman"/>
          <w:bCs/>
          <w:sz w:val="32"/>
          <w:szCs w:val="32"/>
          <w:lang w:eastAsia="tr-TR"/>
        </w:rPr>
      </w:pPr>
      <w:r w:rsidRPr="00417331">
        <w:rPr>
          <w:rFonts w:ascii="Times New Roman" w:eastAsia="Times New Roman" w:hAnsi="Times New Roman" w:cs="Times New Roman"/>
          <w:bCs/>
          <w:sz w:val="32"/>
          <w:szCs w:val="32"/>
          <w:lang w:eastAsia="tr-TR"/>
        </w:rPr>
        <w:t>Amerikan Kalp Derneği'nden Bilimsel Açıklama</w:t>
      </w:r>
    </w:p>
    <w:p w:rsidR="008C1F84" w:rsidRPr="00417331" w:rsidRDefault="008C1F84" w:rsidP="00417331">
      <w:pPr>
        <w:shd w:val="clear" w:color="auto" w:fill="FFFFFF"/>
        <w:spacing w:before="100" w:beforeAutospacing="1" w:after="100" w:afterAutospacing="1" w:line="240" w:lineRule="auto"/>
        <w:outlineLvl w:val="1"/>
        <w:rPr>
          <w:rFonts w:ascii="Times New Roman" w:eastAsia="Times New Roman" w:hAnsi="Times New Roman" w:cs="Times New Roman"/>
          <w:bCs/>
          <w:sz w:val="32"/>
          <w:szCs w:val="32"/>
          <w:lang w:eastAsia="tr-TR"/>
        </w:rPr>
      </w:pPr>
    </w:p>
    <w:p w:rsidR="00291091" w:rsidRPr="00291091" w:rsidRDefault="00291091" w:rsidP="00417331">
      <w:pPr>
        <w:pBdr>
          <w:bottom w:val="single" w:sz="4" w:space="1" w:color="auto"/>
        </w:pBdr>
        <w:shd w:val="clear" w:color="auto" w:fill="E2EFD9" w:themeFill="accent6" w:themeFillTint="33"/>
        <w:spacing w:after="0" w:line="240" w:lineRule="auto"/>
        <w:rPr>
          <w:rFonts w:ascii="Times New Roman" w:eastAsia="Times New Roman" w:hAnsi="Times New Roman" w:cs="Times New Roman"/>
          <w:b/>
          <w:bCs/>
          <w:color w:val="4A4A4A"/>
          <w:sz w:val="16"/>
          <w:szCs w:val="16"/>
          <w:u w:val="single"/>
          <w:lang w:eastAsia="tr-TR"/>
        </w:rPr>
      </w:pPr>
    </w:p>
    <w:p w:rsidR="00417331" w:rsidRDefault="00136DBF" w:rsidP="00417331">
      <w:pPr>
        <w:pBdr>
          <w:bottom w:val="single" w:sz="4" w:space="1" w:color="auto"/>
        </w:pBdr>
        <w:shd w:val="clear" w:color="auto" w:fill="E2EFD9" w:themeFill="accent6" w:themeFillTint="33"/>
        <w:spacing w:after="0" w:line="240" w:lineRule="auto"/>
        <w:rPr>
          <w:rFonts w:ascii="Times New Roman" w:eastAsia="Times New Roman" w:hAnsi="Times New Roman" w:cs="Times New Roman"/>
          <w:color w:val="000000"/>
          <w:sz w:val="24"/>
          <w:szCs w:val="24"/>
          <w:lang w:eastAsia="tr-TR"/>
        </w:rPr>
      </w:pPr>
      <w:hyperlink r:id="rId9" w:tooltip="Robert L. Page II" w:history="1">
        <w:r w:rsidR="00417331" w:rsidRPr="00BF2854">
          <w:rPr>
            <w:rFonts w:ascii="Times New Roman" w:eastAsia="Times New Roman" w:hAnsi="Times New Roman" w:cs="Times New Roman"/>
            <w:b/>
            <w:bCs/>
            <w:color w:val="4A4A4A"/>
            <w:sz w:val="24"/>
            <w:szCs w:val="24"/>
            <w:u w:val="single"/>
            <w:lang w:eastAsia="tr-TR"/>
          </w:rPr>
          <w:t>Page II</w:t>
        </w:r>
      </w:hyperlink>
      <w:r w:rsidR="00417331" w:rsidRPr="00207D83">
        <w:rPr>
          <w:rFonts w:ascii="Times New Roman" w:eastAsia="Times New Roman" w:hAnsi="Times New Roman" w:cs="Times New Roman"/>
          <w:color w:val="4A4A4A"/>
          <w:sz w:val="24"/>
          <w:szCs w:val="24"/>
          <w:lang w:eastAsia="tr-TR"/>
        </w:rPr>
        <w:t xml:space="preserve"> RL</w:t>
      </w:r>
      <w:r w:rsidR="00417331" w:rsidRPr="00BF2854">
        <w:rPr>
          <w:rFonts w:ascii="Times New Roman" w:eastAsia="Times New Roman" w:hAnsi="Times New Roman" w:cs="Times New Roman"/>
          <w:color w:val="4A4A4A"/>
          <w:sz w:val="24"/>
          <w:szCs w:val="24"/>
          <w:lang w:eastAsia="tr-TR"/>
        </w:rPr>
        <w:t>,</w:t>
      </w:r>
      <w:r w:rsidR="00417331" w:rsidRPr="00207D83">
        <w:rPr>
          <w:rFonts w:ascii="Times New Roman" w:eastAsia="Times New Roman" w:hAnsi="Times New Roman" w:cs="Times New Roman"/>
          <w:color w:val="4A4A4A"/>
          <w:sz w:val="24"/>
          <w:szCs w:val="24"/>
          <w:lang w:eastAsia="tr-TR"/>
        </w:rPr>
        <w:t xml:space="preserve"> </w:t>
      </w:r>
      <w:hyperlink r:id="rId10" w:tooltip="Larry A. Allen" w:history="1">
        <w:r w:rsidR="00417331" w:rsidRPr="00BF2854">
          <w:rPr>
            <w:rFonts w:ascii="Times New Roman" w:eastAsia="Times New Roman" w:hAnsi="Times New Roman" w:cs="Times New Roman"/>
            <w:b/>
            <w:bCs/>
            <w:color w:val="4A4A4A"/>
            <w:sz w:val="24"/>
            <w:szCs w:val="24"/>
            <w:u w:val="single"/>
            <w:lang w:eastAsia="tr-TR"/>
          </w:rPr>
          <w:t>Allen</w:t>
        </w:r>
      </w:hyperlink>
      <w:r w:rsidR="00417331" w:rsidRPr="00207D83">
        <w:rPr>
          <w:rFonts w:ascii="Times New Roman" w:eastAsia="Times New Roman" w:hAnsi="Times New Roman" w:cs="Times New Roman"/>
          <w:color w:val="4A4A4A"/>
          <w:sz w:val="24"/>
          <w:szCs w:val="24"/>
          <w:lang w:eastAsia="tr-TR"/>
        </w:rPr>
        <w:t xml:space="preserve"> LA</w:t>
      </w:r>
      <w:r w:rsidR="00417331" w:rsidRPr="00BF2854">
        <w:rPr>
          <w:rFonts w:ascii="Times New Roman" w:eastAsia="Times New Roman" w:hAnsi="Times New Roman" w:cs="Times New Roman"/>
          <w:color w:val="4A4A4A"/>
          <w:sz w:val="24"/>
          <w:szCs w:val="24"/>
          <w:lang w:eastAsia="tr-TR"/>
        </w:rPr>
        <w:t>,</w:t>
      </w:r>
      <w:r w:rsidR="00417331" w:rsidRPr="00207D83">
        <w:rPr>
          <w:rFonts w:ascii="Times New Roman" w:eastAsia="Times New Roman" w:hAnsi="Times New Roman" w:cs="Times New Roman"/>
          <w:color w:val="4A4A4A"/>
          <w:sz w:val="24"/>
          <w:szCs w:val="24"/>
          <w:lang w:eastAsia="tr-TR"/>
        </w:rPr>
        <w:t xml:space="preserve"> </w:t>
      </w:r>
      <w:hyperlink r:id="rId11" w:tooltip="Robert A. Kloner" w:history="1">
        <w:r w:rsidR="00417331" w:rsidRPr="00BF2854">
          <w:rPr>
            <w:rFonts w:ascii="Times New Roman" w:eastAsia="Times New Roman" w:hAnsi="Times New Roman" w:cs="Times New Roman"/>
            <w:b/>
            <w:bCs/>
            <w:color w:val="4A4A4A"/>
            <w:sz w:val="24"/>
            <w:szCs w:val="24"/>
            <w:u w:val="single"/>
            <w:lang w:eastAsia="tr-TR"/>
          </w:rPr>
          <w:t>Kloner</w:t>
        </w:r>
      </w:hyperlink>
      <w:r w:rsidR="00417331" w:rsidRPr="00207D83">
        <w:rPr>
          <w:rFonts w:ascii="Times New Roman" w:eastAsia="Times New Roman" w:hAnsi="Times New Roman" w:cs="Times New Roman"/>
          <w:color w:val="4A4A4A"/>
          <w:sz w:val="24"/>
          <w:szCs w:val="24"/>
          <w:lang w:eastAsia="tr-TR"/>
        </w:rPr>
        <w:t xml:space="preserve"> RA</w:t>
      </w:r>
      <w:r w:rsidR="00417331" w:rsidRPr="00BF2854">
        <w:rPr>
          <w:rFonts w:ascii="Times New Roman" w:eastAsia="Times New Roman" w:hAnsi="Times New Roman" w:cs="Times New Roman"/>
          <w:color w:val="4A4A4A"/>
          <w:sz w:val="24"/>
          <w:szCs w:val="24"/>
          <w:lang w:eastAsia="tr-TR"/>
        </w:rPr>
        <w:t>,</w:t>
      </w:r>
      <w:r w:rsidR="00417331" w:rsidRPr="00207D83">
        <w:rPr>
          <w:rFonts w:ascii="Times New Roman" w:eastAsia="Times New Roman" w:hAnsi="Times New Roman" w:cs="Times New Roman"/>
          <w:color w:val="4A4A4A"/>
          <w:sz w:val="24"/>
          <w:szCs w:val="24"/>
          <w:lang w:eastAsia="tr-TR"/>
        </w:rPr>
        <w:t xml:space="preserve"> </w:t>
      </w:r>
      <w:hyperlink r:id="rId12" w:tooltip="Colin R. Carriker" w:history="1">
        <w:r w:rsidR="00417331" w:rsidRPr="00BF2854">
          <w:rPr>
            <w:rFonts w:ascii="Times New Roman" w:eastAsia="Times New Roman" w:hAnsi="Times New Roman" w:cs="Times New Roman"/>
            <w:b/>
            <w:bCs/>
            <w:color w:val="4A4A4A"/>
            <w:sz w:val="24"/>
            <w:szCs w:val="24"/>
            <w:u w:val="single"/>
            <w:lang w:eastAsia="tr-TR"/>
          </w:rPr>
          <w:t>Carriker</w:t>
        </w:r>
      </w:hyperlink>
      <w:r w:rsidR="00417331" w:rsidRPr="00207D83">
        <w:rPr>
          <w:rFonts w:ascii="Times New Roman" w:eastAsia="Times New Roman" w:hAnsi="Times New Roman" w:cs="Times New Roman"/>
          <w:color w:val="4A4A4A"/>
          <w:sz w:val="24"/>
          <w:szCs w:val="24"/>
          <w:lang w:eastAsia="tr-TR"/>
        </w:rPr>
        <w:t xml:space="preserve"> CR</w:t>
      </w:r>
      <w:r w:rsidR="00417331" w:rsidRPr="00BF2854">
        <w:rPr>
          <w:rFonts w:ascii="Times New Roman" w:eastAsia="Times New Roman" w:hAnsi="Times New Roman" w:cs="Times New Roman"/>
          <w:color w:val="4A4A4A"/>
          <w:sz w:val="24"/>
          <w:szCs w:val="24"/>
          <w:lang w:eastAsia="tr-TR"/>
        </w:rPr>
        <w:t>,</w:t>
      </w:r>
      <w:r w:rsidR="00417331" w:rsidRPr="00207D83">
        <w:rPr>
          <w:rFonts w:ascii="Times New Roman" w:eastAsia="Times New Roman" w:hAnsi="Times New Roman" w:cs="Times New Roman"/>
          <w:color w:val="4A4A4A"/>
          <w:sz w:val="24"/>
          <w:szCs w:val="24"/>
          <w:lang w:eastAsia="tr-TR"/>
        </w:rPr>
        <w:t>et al.</w:t>
      </w:r>
      <w:r w:rsidR="00417331" w:rsidRPr="00BF2854">
        <w:rPr>
          <w:rFonts w:ascii="Times New Roman" w:eastAsia="Times New Roman" w:hAnsi="Times New Roman" w:cs="Times New Roman"/>
          <w:b/>
          <w:bCs/>
          <w:color w:val="000000"/>
          <w:kern w:val="36"/>
          <w:sz w:val="24"/>
          <w:szCs w:val="24"/>
          <w:lang w:eastAsia="tr-TR"/>
        </w:rPr>
        <w:t>Medical Marijuana, Recreational Cannabis, and Cardiovascular Health: A Scientific Statement From the American Heart Association</w:t>
      </w:r>
      <w:r w:rsidR="00417331" w:rsidRPr="00207D83">
        <w:rPr>
          <w:rFonts w:ascii="Times New Roman" w:eastAsia="Times New Roman" w:hAnsi="Times New Roman" w:cs="Times New Roman"/>
          <w:color w:val="4A4A4A"/>
          <w:sz w:val="24"/>
          <w:szCs w:val="24"/>
          <w:lang w:eastAsia="tr-TR"/>
        </w:rPr>
        <w:t xml:space="preserve"> </w:t>
      </w:r>
      <w:hyperlink r:id="rId13" w:history="1">
        <w:r w:rsidR="00417331" w:rsidRPr="00B322C2">
          <w:rPr>
            <w:rStyle w:val="Kpr"/>
            <w:rFonts w:ascii="Times New Roman" w:eastAsia="Times New Roman" w:hAnsi="Times New Roman" w:cs="Times New Roman"/>
            <w:i/>
            <w:sz w:val="24"/>
            <w:szCs w:val="24"/>
            <w:lang w:eastAsia="tr-TR"/>
          </w:rPr>
          <w:t>https://doi.org/10.1161/CIR.0000000000000883 Circulation</w:t>
        </w:r>
      </w:hyperlink>
      <w:r w:rsidR="00417331" w:rsidRPr="00207D83">
        <w:rPr>
          <w:rFonts w:ascii="Times New Roman" w:eastAsia="Times New Roman" w:hAnsi="Times New Roman" w:cs="Times New Roman"/>
          <w:color w:val="000000"/>
          <w:sz w:val="24"/>
          <w:szCs w:val="24"/>
          <w:lang w:eastAsia="tr-TR"/>
        </w:rPr>
        <w:t xml:space="preserve">. </w:t>
      </w:r>
      <w:r w:rsidR="00417331" w:rsidRPr="00BF2854">
        <w:rPr>
          <w:rFonts w:ascii="Times New Roman" w:eastAsia="Times New Roman" w:hAnsi="Times New Roman" w:cs="Times New Roman"/>
          <w:color w:val="000000"/>
          <w:sz w:val="24"/>
          <w:szCs w:val="24"/>
          <w:lang w:eastAsia="tr-TR"/>
        </w:rPr>
        <w:t>2020;142:e131–e152</w:t>
      </w:r>
    </w:p>
    <w:p w:rsidR="00291091" w:rsidRPr="00291091" w:rsidRDefault="00291091" w:rsidP="00417331">
      <w:pPr>
        <w:pBdr>
          <w:bottom w:val="single" w:sz="4" w:space="1" w:color="auto"/>
        </w:pBdr>
        <w:shd w:val="clear" w:color="auto" w:fill="E2EFD9" w:themeFill="accent6" w:themeFillTint="33"/>
        <w:spacing w:after="0" w:line="240" w:lineRule="auto"/>
        <w:rPr>
          <w:rFonts w:ascii="Times New Roman" w:eastAsia="Times New Roman" w:hAnsi="Times New Roman" w:cs="Times New Roman"/>
          <w:color w:val="4A4A4A"/>
          <w:sz w:val="16"/>
          <w:szCs w:val="16"/>
          <w:lang w:eastAsia="tr-TR"/>
        </w:rPr>
      </w:pPr>
    </w:p>
    <w:p w:rsidR="00B322C2" w:rsidRPr="00291091" w:rsidRDefault="00B322C2" w:rsidP="00B6425C">
      <w:pPr>
        <w:rPr>
          <w:rFonts w:ascii="Arial" w:hAnsi="Arial" w:cs="Arial"/>
          <w:sz w:val="16"/>
          <w:szCs w:val="16"/>
        </w:rPr>
      </w:pPr>
    </w:p>
    <w:p w:rsidR="00B322C2" w:rsidRDefault="008C1F84" w:rsidP="008C1F84">
      <w:pPr>
        <w:pBdr>
          <w:top w:val="single" w:sz="4" w:space="1" w:color="auto"/>
          <w:left w:val="single" w:sz="4" w:space="4" w:color="auto"/>
          <w:bottom w:val="single" w:sz="4" w:space="1" w:color="auto"/>
          <w:right w:val="single" w:sz="4" w:space="4" w:color="auto"/>
        </w:pBdr>
        <w:shd w:val="clear" w:color="auto" w:fill="E7E6E6" w:themeFill="background2"/>
        <w:rPr>
          <w:rFonts w:ascii="Times New Roman" w:eastAsia="Times New Roman" w:hAnsi="Times New Roman" w:cs="Times New Roman"/>
          <w:bCs/>
          <w:sz w:val="24"/>
          <w:szCs w:val="24"/>
          <w:lang w:eastAsia="tr-TR"/>
        </w:rPr>
      </w:pPr>
      <w:r w:rsidRPr="008C1F84">
        <w:rPr>
          <w:rFonts w:ascii="Times New Roman" w:eastAsia="Times New Roman" w:hAnsi="Times New Roman" w:cs="Times New Roman"/>
          <w:b/>
          <w:bCs/>
          <w:i/>
          <w:sz w:val="32"/>
          <w:szCs w:val="32"/>
          <w:lang w:eastAsia="tr-TR"/>
        </w:rPr>
        <w:t>Özet-</w:t>
      </w:r>
      <w:r>
        <w:rPr>
          <w:rFonts w:ascii="Times New Roman" w:eastAsia="Times New Roman" w:hAnsi="Times New Roman" w:cs="Times New Roman"/>
          <w:bCs/>
          <w:sz w:val="24"/>
          <w:szCs w:val="24"/>
          <w:lang w:eastAsia="tr-TR"/>
        </w:rPr>
        <w:t xml:space="preserve"> </w:t>
      </w:r>
      <w:r w:rsidR="00B322C2" w:rsidRPr="00B322C2">
        <w:rPr>
          <w:rFonts w:ascii="Times New Roman" w:eastAsia="Times New Roman" w:hAnsi="Times New Roman" w:cs="Times New Roman"/>
          <w:bCs/>
          <w:sz w:val="24"/>
          <w:szCs w:val="24"/>
          <w:lang w:eastAsia="tr-TR"/>
        </w:rPr>
        <w:t>Esrar veya marihuana, özellikle Δ-9-tetrahidrokanabinol ve kannabidiol olmak üzere çoklu bileşiklerle ilgili potansiyel terapötik ve tıbbi özelliklere sahiptir.</w:t>
      </w:r>
      <w:r w:rsidR="00B322C2" w:rsidRPr="00B322C2">
        <w:t xml:space="preserve"> </w:t>
      </w:r>
      <w:r w:rsidR="00B322C2" w:rsidRPr="00B322C2">
        <w:rPr>
          <w:rFonts w:ascii="Times New Roman" w:eastAsia="Times New Roman" w:hAnsi="Times New Roman" w:cs="Times New Roman"/>
          <w:bCs/>
          <w:sz w:val="24"/>
          <w:szCs w:val="24"/>
          <w:lang w:eastAsia="tr-TR"/>
        </w:rPr>
        <w:t>Son 25 yılda, ABD'de eyalet düzeyinde tıbbi ve eğlence amaçlı kullanımın yasallaştırılması ve Kanada ve Uruguay'da ulusal düzeyde eğlence amaçlı kullanımın yasallaştırılmasıyla birlikte, esrara yönelik tutumlar hızla gelişti.</w:t>
      </w:r>
      <w:r w:rsidR="0092131A" w:rsidRPr="0092131A">
        <w:t xml:space="preserve"> </w:t>
      </w:r>
      <w:r w:rsidR="0092131A" w:rsidRPr="0092131A">
        <w:rPr>
          <w:rFonts w:ascii="Times New Roman" w:eastAsia="Times New Roman" w:hAnsi="Times New Roman" w:cs="Times New Roman"/>
          <w:bCs/>
          <w:sz w:val="24"/>
          <w:szCs w:val="24"/>
          <w:lang w:eastAsia="tr-TR"/>
        </w:rPr>
        <w:t>Sonuç olarak, kenevir ürünlerinin tüketimi, özellikle gençler arasında önemli ölçüde artmaktadır. Esrarın güvenliği ve etkinliğine ilişkin anlayışımız, dü</w:t>
      </w:r>
      <w:r w:rsidR="0092131A">
        <w:rPr>
          <w:rFonts w:ascii="Times New Roman" w:eastAsia="Times New Roman" w:hAnsi="Times New Roman" w:cs="Times New Roman"/>
          <w:bCs/>
          <w:sz w:val="24"/>
          <w:szCs w:val="24"/>
          <w:lang w:eastAsia="tr-TR"/>
        </w:rPr>
        <w:t>nya çapında onlarca yıllık yasa</w:t>
      </w:r>
      <w:r w:rsidR="0092131A" w:rsidRPr="0092131A">
        <w:rPr>
          <w:rFonts w:ascii="Times New Roman" w:eastAsia="Times New Roman" w:hAnsi="Times New Roman" w:cs="Times New Roman"/>
          <w:bCs/>
          <w:sz w:val="24"/>
          <w:szCs w:val="24"/>
          <w:lang w:eastAsia="tr-TR"/>
        </w:rPr>
        <w:t>dışılıkla sınırlıydı ve ABD'de esrarın Çizelge 1 (Schedule 1) kontrollü bir madde olarak devam eden sınıflandırmasıyla sınırlı kalmaya devam ediyor. Esrar kullanımındaki bu değişimler, klinisyenlerin birbiriyle çelişen yasala</w:t>
      </w:r>
      <w:r w:rsidR="0092131A">
        <w:rPr>
          <w:rFonts w:ascii="Times New Roman" w:eastAsia="Times New Roman" w:hAnsi="Times New Roman" w:cs="Times New Roman"/>
          <w:bCs/>
          <w:sz w:val="24"/>
          <w:szCs w:val="24"/>
          <w:lang w:eastAsia="tr-TR"/>
        </w:rPr>
        <w:t>rı, sağlık üzerindeki etkileri</w:t>
      </w:r>
      <w:r w:rsidR="0092131A" w:rsidRPr="0092131A">
        <w:rPr>
          <w:rFonts w:ascii="Times New Roman" w:eastAsia="Times New Roman" w:hAnsi="Times New Roman" w:cs="Times New Roman"/>
          <w:bCs/>
          <w:sz w:val="24"/>
          <w:szCs w:val="24"/>
          <w:lang w:eastAsia="tr-TR"/>
        </w:rPr>
        <w:t xml:space="preserve"> ve terapötik olasılıkları anlamasını gerektirir.</w:t>
      </w:r>
    </w:p>
    <w:p w:rsidR="004F3542" w:rsidRDefault="004F3542" w:rsidP="008C1F84">
      <w:pPr>
        <w:pBdr>
          <w:top w:val="single" w:sz="4" w:space="1" w:color="auto"/>
          <w:left w:val="single" w:sz="4" w:space="4" w:color="auto"/>
          <w:bottom w:val="single" w:sz="4" w:space="1" w:color="auto"/>
          <w:right w:val="single" w:sz="4" w:space="4" w:color="auto"/>
        </w:pBdr>
        <w:shd w:val="clear" w:color="auto" w:fill="E7E6E6" w:themeFill="background2"/>
        <w:spacing w:before="100" w:beforeAutospacing="1" w:after="100" w:afterAutospacing="1" w:line="240" w:lineRule="auto"/>
        <w:outlineLvl w:val="1"/>
        <w:rPr>
          <w:rFonts w:ascii="Times New Roman" w:eastAsia="Times New Roman" w:hAnsi="Times New Roman" w:cs="Times New Roman"/>
          <w:bCs/>
          <w:sz w:val="24"/>
          <w:szCs w:val="24"/>
          <w:lang w:eastAsia="tr-TR"/>
        </w:rPr>
      </w:pPr>
      <w:r w:rsidRPr="008C1F84">
        <w:rPr>
          <w:rFonts w:ascii="Times New Roman" w:eastAsia="Times New Roman" w:hAnsi="Times New Roman" w:cs="Times New Roman"/>
          <w:bCs/>
          <w:sz w:val="24"/>
          <w:szCs w:val="24"/>
          <w:lang w:eastAsia="tr-TR"/>
        </w:rPr>
        <w:t>Esrarın terapötik faydaları olabilir, ancak çok azı doğası gereği kardiyovaskülerdir.</w:t>
      </w:r>
      <w:r w:rsidRPr="008C1F84">
        <w:t xml:space="preserve"> </w:t>
      </w:r>
      <w:r w:rsidRPr="008C1F84">
        <w:rPr>
          <w:rFonts w:ascii="Times New Roman" w:eastAsia="Times New Roman" w:hAnsi="Times New Roman" w:cs="Times New Roman"/>
          <w:bCs/>
          <w:sz w:val="24"/>
          <w:szCs w:val="24"/>
          <w:lang w:eastAsia="tr-TR"/>
        </w:rPr>
        <w:t>Tersine, kenevirin ilgili sağlık etkilerinin çoğu, dağıtım mekanizmaları tarafından aracılık edilebilse de k</w:t>
      </w:r>
      <w:r w:rsidRPr="008C1F84">
        <w:t xml:space="preserve"> </w:t>
      </w:r>
      <w:r w:rsidRPr="008C1F84">
        <w:rPr>
          <w:rFonts w:ascii="Times New Roman" w:eastAsia="Times New Roman" w:hAnsi="Times New Roman" w:cs="Times New Roman"/>
          <w:bCs/>
          <w:sz w:val="24"/>
          <w:szCs w:val="24"/>
          <w:lang w:eastAsia="tr-TR"/>
        </w:rPr>
        <w:t xml:space="preserve">Bu bildiri, özellikle kardiyovasküler sağlıkla ilişkili olarak güvenlik ve etkinlik </w:t>
      </w:r>
      <w:proofErr w:type="gramStart"/>
      <w:r w:rsidRPr="008C1F84">
        <w:rPr>
          <w:rFonts w:ascii="Times New Roman" w:eastAsia="Times New Roman" w:hAnsi="Times New Roman" w:cs="Times New Roman"/>
          <w:bCs/>
          <w:sz w:val="24"/>
          <w:szCs w:val="24"/>
          <w:lang w:eastAsia="tr-TR"/>
        </w:rPr>
        <w:t>profilini</w:t>
      </w:r>
      <w:proofErr w:type="gramEnd"/>
      <w:r w:rsidRPr="008C1F84">
        <w:rPr>
          <w:rFonts w:ascii="Times New Roman" w:eastAsia="Times New Roman" w:hAnsi="Times New Roman" w:cs="Times New Roman"/>
          <w:bCs/>
          <w:sz w:val="24"/>
          <w:szCs w:val="24"/>
          <w:lang w:eastAsia="tr-TR"/>
        </w:rPr>
        <w:t xml:space="preserve"> değerlendirerek, tıbbi ve eğlence amaçlı kenevirin kullanımını klinik açıdan ve aynı zamanda politika ve halk sağlığı açısından eleştirel bir şekild</w:t>
      </w:r>
      <w:r w:rsidR="008C1F84" w:rsidRPr="008C1F84">
        <w:rPr>
          <w:rFonts w:ascii="Times New Roman" w:eastAsia="Times New Roman" w:hAnsi="Times New Roman" w:cs="Times New Roman"/>
          <w:bCs/>
          <w:sz w:val="24"/>
          <w:szCs w:val="24"/>
          <w:lang w:eastAsia="tr-TR"/>
        </w:rPr>
        <w:t>e incelemektedir.</w:t>
      </w:r>
    </w:p>
    <w:p w:rsidR="008C1F84" w:rsidRPr="008C1F84" w:rsidRDefault="008C1F84" w:rsidP="008C1F84">
      <w:pPr>
        <w:pStyle w:val="NormalWeb"/>
        <w:shd w:val="clear" w:color="auto" w:fill="FFFFFF"/>
        <w:spacing w:before="0" w:beforeAutospacing="0"/>
        <w:rPr>
          <w:rFonts w:ascii="Arial" w:hAnsi="Arial" w:cs="Arial"/>
        </w:rPr>
      </w:pPr>
      <w:r w:rsidRPr="008C1F84">
        <w:rPr>
          <w:rFonts w:ascii="Arial" w:hAnsi="Arial" w:cs="Arial"/>
        </w:rPr>
        <w:t>Esrar, özellikle Δ-9-tetrahidrokanabinol (THC) ve kannabidiol (CBD) olmak üzere çoklu bileşiklerinden kaynaklanan potansiyel terapötik ve tıbbi özellikleri nedeniyle milattan sonra (MS) 100 kadar erken bir zamandan beri kullanılmaktadır.</w:t>
      </w:r>
    </w:p>
    <w:p w:rsidR="00F42A2B" w:rsidRPr="00FF2AB3" w:rsidRDefault="00F42A2B" w:rsidP="00F42A2B">
      <w:pPr>
        <w:pStyle w:val="NormalWeb"/>
        <w:shd w:val="clear" w:color="auto" w:fill="FFFFFF"/>
        <w:spacing w:before="0" w:beforeAutospacing="0"/>
        <w:rPr>
          <w:rFonts w:ascii="Arial" w:hAnsi="Arial" w:cs="Arial"/>
          <w:color w:val="0070C0"/>
        </w:rPr>
      </w:pPr>
      <w:r w:rsidRPr="00F42A2B">
        <w:rPr>
          <w:rFonts w:ascii="Arial" w:hAnsi="Arial" w:cs="Arial"/>
        </w:rPr>
        <w:t>Son 25 yıl içinde, ABD'de esrarın eğlence amaçlı ve tıbbi kullanımına yönelik tutumlar, yasa dışı olmaktan suç olmaktan çıkarılmaya ve eyalet düzeyind</w:t>
      </w:r>
      <w:r w:rsidR="005F3A6E">
        <w:rPr>
          <w:rFonts w:ascii="Arial" w:hAnsi="Arial" w:cs="Arial"/>
        </w:rPr>
        <w:t>e yasallaştırmaya hızla evrildi</w:t>
      </w:r>
      <w:r w:rsidRPr="00337924">
        <w:rPr>
          <w:rFonts w:ascii="Arial" w:hAnsi="Arial" w:cs="Arial"/>
          <w:color w:val="0070C0"/>
        </w:rPr>
        <w:t>.</w:t>
      </w:r>
      <w:r w:rsidRPr="00337924">
        <w:rPr>
          <w:rFonts w:ascii="Arial" w:hAnsi="Arial" w:cs="Arial"/>
          <w:color w:val="C00000"/>
          <w:vertAlign w:val="superscript"/>
        </w:rPr>
        <w:t>1–4</w:t>
      </w:r>
      <w:r w:rsidRPr="00337924">
        <w:t xml:space="preserve"> </w:t>
      </w:r>
      <w:r w:rsidRPr="00F42A2B">
        <w:rPr>
          <w:rFonts w:ascii="Arial" w:hAnsi="Arial" w:cs="Arial"/>
        </w:rPr>
        <w:t>Uruguay ve Kanada'daki ulusal yasallaştırmaya ek olarak, diğer ülkeler de aynı şeyi yaptı</w:t>
      </w:r>
      <w:r w:rsidRPr="00337924">
        <w:rPr>
          <w:rFonts w:ascii="Arial" w:hAnsi="Arial" w:cs="Arial"/>
          <w:color w:val="5B9BD5" w:themeColor="accent1"/>
        </w:rPr>
        <w:t>.</w:t>
      </w:r>
      <w:r w:rsidRPr="00337924">
        <w:t xml:space="preserve"> </w:t>
      </w:r>
    </w:p>
    <w:p w:rsidR="00741616" w:rsidRPr="005F3A6E" w:rsidRDefault="00F42A2B" w:rsidP="00EF0148">
      <w:pPr>
        <w:pStyle w:val="NormalWeb"/>
        <w:shd w:val="clear" w:color="auto" w:fill="FFFFFF"/>
        <w:spacing w:before="0" w:beforeAutospacing="0"/>
        <w:rPr>
          <w:rFonts w:ascii="Arial" w:hAnsi="Arial" w:cs="Arial"/>
          <w:color w:val="5B9BD5" w:themeColor="accent1"/>
        </w:rPr>
      </w:pPr>
      <w:r w:rsidRPr="00F42A2B">
        <w:rPr>
          <w:rFonts w:ascii="Arial" w:hAnsi="Arial" w:cs="Arial"/>
        </w:rPr>
        <w:t>2019'da Tayland, Güneydoğu Asya'da tıbbi keneviri yasallaştıran ve düşük seviyeli kenevir ve kenevir özlerini yasaklı narkotik maddeler listesinden çıkaran ilk ülke oldu.</w:t>
      </w:r>
      <w:r w:rsidRPr="00F42A2B">
        <w:t xml:space="preserve"> </w:t>
      </w:r>
      <w:r w:rsidRPr="00F42A2B">
        <w:rPr>
          <w:rFonts w:ascii="Arial" w:hAnsi="Arial" w:cs="Arial"/>
        </w:rPr>
        <w:t>Meksika, şu anda incelenmekte olan esrarın yasallaştırılması için bir yasa taslağı hazırladı.</w:t>
      </w:r>
      <w:r w:rsidRPr="00F42A2B">
        <w:t xml:space="preserve"> </w:t>
      </w:r>
      <w:r w:rsidRPr="00F42A2B">
        <w:rPr>
          <w:rFonts w:ascii="Arial" w:hAnsi="Arial" w:cs="Arial"/>
        </w:rPr>
        <w:t>Esrarda yasal değişiklik yapmayı düşünen diğer ülkeler arasında</w:t>
      </w:r>
      <w:r w:rsidR="002F395B">
        <w:rPr>
          <w:rFonts w:ascii="Arial" w:hAnsi="Arial" w:cs="Arial"/>
        </w:rPr>
        <w:t xml:space="preserve"> </w:t>
      </w:r>
      <w:r w:rsidRPr="00F42A2B">
        <w:rPr>
          <w:rFonts w:ascii="Arial" w:hAnsi="Arial" w:cs="Arial"/>
        </w:rPr>
        <w:lastRenderedPageBreak/>
        <w:t>Kolombiya, Arjantin, Peru, Ekvador, Tayland, Amerika Birleşik Devletleri, Avustralya, Yeni Zelan</w:t>
      </w:r>
      <w:r w:rsidR="005F3A6E">
        <w:rPr>
          <w:rFonts w:ascii="Arial" w:hAnsi="Arial" w:cs="Arial"/>
        </w:rPr>
        <w:t>da ve Şili bulunmaktadır</w:t>
      </w:r>
      <w:r w:rsidRPr="00337924">
        <w:rPr>
          <w:rFonts w:ascii="Arial" w:hAnsi="Arial" w:cs="Arial"/>
          <w:color w:val="5B9BD5" w:themeColor="accent1"/>
        </w:rPr>
        <w:t>.</w:t>
      </w:r>
    </w:p>
    <w:p w:rsidR="00700775" w:rsidRPr="00AF0C47" w:rsidRDefault="00700775" w:rsidP="00EF0148">
      <w:pPr>
        <w:pStyle w:val="NormalWeb"/>
        <w:shd w:val="clear" w:color="auto" w:fill="FFFFFF"/>
        <w:spacing w:before="0" w:beforeAutospacing="0"/>
        <w:rPr>
          <w:color w:val="5B9BD5" w:themeColor="accent1"/>
          <w:sz w:val="22"/>
          <w:szCs w:val="22"/>
        </w:rPr>
      </w:pPr>
      <w:r>
        <w:rPr>
          <w:rFonts w:eastAsia="GandhariUnicode-Roman"/>
          <w:sz w:val="22"/>
          <w:szCs w:val="22"/>
        </w:rPr>
        <w:t>________________________________________________________________________________</w:t>
      </w:r>
    </w:p>
    <w:p w:rsidR="00C3109C" w:rsidRDefault="00F42A2B" w:rsidP="00EF0148">
      <w:pPr>
        <w:pStyle w:val="NormalWeb"/>
        <w:shd w:val="clear" w:color="auto" w:fill="FFFFFF"/>
        <w:spacing w:before="0" w:beforeAutospacing="0"/>
        <w:rPr>
          <w:rFonts w:ascii="Arial" w:hAnsi="Arial" w:cs="Arial"/>
          <w:color w:val="0070C0"/>
        </w:rPr>
      </w:pPr>
      <w:r w:rsidRPr="00F42A2B">
        <w:rPr>
          <w:rFonts w:ascii="Arial" w:hAnsi="Arial" w:cs="Arial"/>
        </w:rPr>
        <w:t xml:space="preserve"> 2025 yılına kadar Amerika Birleşik Devletleri'nde yasal kenevir satışlarının 23 milyar dolar getirmesi bekleniyor. Amerika Birleşik Devletleri'nde esrar kullanımı özellikle 18 ila 25 yaşları arasında artmıştır</w:t>
      </w:r>
      <w:r w:rsidRPr="00F42A2B">
        <w:rPr>
          <w:rFonts w:ascii="Arial" w:hAnsi="Arial" w:cs="Arial"/>
          <w:color w:val="0070C0"/>
        </w:rPr>
        <w:t xml:space="preserve"> (</w:t>
      </w:r>
      <w:r w:rsidR="005F3A6E">
        <w:rPr>
          <w:rFonts w:ascii="Arial" w:hAnsi="Arial" w:cs="Arial"/>
          <w:b/>
          <w:color w:val="C00000"/>
          <w:u w:val="single"/>
        </w:rPr>
        <w:t>Figür 1</w:t>
      </w:r>
      <w:r>
        <w:rPr>
          <w:rFonts w:ascii="Arial" w:hAnsi="Arial" w:cs="Arial"/>
          <w:color w:val="0070C0"/>
        </w:rPr>
        <w:t>).</w:t>
      </w:r>
    </w:p>
    <w:p w:rsidR="00C3109C" w:rsidRPr="00C3109C" w:rsidRDefault="00C3109C" w:rsidP="00FA20C1">
      <w:pPr>
        <w:pStyle w:val="NormalWeb"/>
        <w:shd w:val="clear" w:color="auto" w:fill="FFFFFF"/>
        <w:spacing w:before="0" w:beforeAutospacing="0"/>
        <w:rPr>
          <w:rFonts w:ascii="Arial" w:hAnsi="Arial" w:cs="Arial"/>
          <w:b/>
          <w:color w:val="C00000"/>
          <w:sz w:val="28"/>
          <w:szCs w:val="28"/>
          <w:u w:val="single"/>
        </w:rPr>
      </w:pPr>
      <w:r w:rsidRPr="00C3109C">
        <w:rPr>
          <w:rFonts w:ascii="Arial" w:hAnsi="Arial" w:cs="Arial"/>
          <w:b/>
          <w:noProof/>
          <w:color w:val="C00000"/>
          <w:sz w:val="28"/>
          <w:szCs w:val="28"/>
          <w:u w:val="single"/>
        </w:rPr>
        <w:drawing>
          <wp:inline distT="0" distB="0" distL="0" distR="0" wp14:anchorId="0E6C4AF6" wp14:editId="522B462B">
            <wp:extent cx="5419570" cy="435103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44790" cy="4371280"/>
                    </a:xfrm>
                    <a:prstGeom prst="rect">
                      <a:avLst/>
                    </a:prstGeom>
                  </pic:spPr>
                </pic:pic>
              </a:graphicData>
            </a:graphic>
          </wp:inline>
        </w:drawing>
      </w:r>
      <w:bookmarkStart w:id="0" w:name="_GoBack"/>
      <w:bookmarkEnd w:id="0"/>
    </w:p>
    <w:p w:rsidR="00C3109C" w:rsidRDefault="00C3109C" w:rsidP="00FA20C1">
      <w:pPr>
        <w:pStyle w:val="NormalWeb"/>
        <w:shd w:val="clear" w:color="auto" w:fill="FFFFFF"/>
        <w:spacing w:before="0" w:beforeAutospacing="0"/>
        <w:rPr>
          <w:rFonts w:ascii="Arial" w:hAnsi="Arial" w:cs="Arial"/>
        </w:rPr>
      </w:pPr>
      <w:r>
        <w:rPr>
          <w:rFonts w:ascii="Arial" w:hAnsi="Arial" w:cs="Arial"/>
          <w:b/>
          <w:color w:val="C00000"/>
          <w:sz w:val="28"/>
          <w:szCs w:val="28"/>
          <w:u w:val="single"/>
        </w:rPr>
        <w:t>Figür</w:t>
      </w:r>
      <w:r w:rsidR="005F3A6E">
        <w:rPr>
          <w:rFonts w:ascii="Arial" w:hAnsi="Arial" w:cs="Arial"/>
          <w:b/>
          <w:color w:val="C00000"/>
          <w:sz w:val="28"/>
          <w:szCs w:val="28"/>
          <w:u w:val="single"/>
        </w:rPr>
        <w:t xml:space="preserve"> 1</w:t>
      </w:r>
      <w:r w:rsidRPr="00C3109C">
        <w:rPr>
          <w:rFonts w:ascii="Arial" w:hAnsi="Arial" w:cs="Arial"/>
          <w:b/>
          <w:color w:val="C00000"/>
          <w:sz w:val="28"/>
          <w:szCs w:val="28"/>
          <w:u w:val="single"/>
        </w:rPr>
        <w:t>.</w:t>
      </w:r>
      <w:r w:rsidRPr="00C3109C">
        <w:rPr>
          <w:rFonts w:ascii="Arial" w:hAnsi="Arial" w:cs="Arial"/>
          <w:color w:val="C00000"/>
        </w:rPr>
        <w:t xml:space="preserve"> </w:t>
      </w:r>
      <w:r w:rsidRPr="00EF0148">
        <w:rPr>
          <w:b/>
        </w:rPr>
        <w:t>ABD'deki diğer maddelerle karşılaştırıldığında esrar kullanımındaki 2016-2018 eğilimleri</w:t>
      </w:r>
      <w:r w:rsidRPr="00EF0148">
        <w:t>.</w:t>
      </w:r>
    </w:p>
    <w:p w:rsidR="00C3109C" w:rsidRPr="000E25A0" w:rsidRDefault="00C3109C" w:rsidP="000E25A0">
      <w:pPr>
        <w:pStyle w:val="NormalWeb"/>
        <w:shd w:val="clear" w:color="auto" w:fill="F2F2F2" w:themeFill="background1" w:themeFillShade="F2"/>
        <w:spacing w:before="0" w:beforeAutospacing="0"/>
        <w:rPr>
          <w:sz w:val="20"/>
          <w:szCs w:val="20"/>
        </w:rPr>
      </w:pPr>
      <w:r w:rsidRPr="000E25A0">
        <w:rPr>
          <w:color w:val="C00000"/>
          <w:sz w:val="20"/>
          <w:szCs w:val="20"/>
        </w:rPr>
        <w:t xml:space="preserve">* </w:t>
      </w:r>
      <w:r w:rsidRPr="000E25A0">
        <w:rPr>
          <w:b/>
          <w:i/>
          <w:sz w:val="20"/>
          <w:szCs w:val="20"/>
        </w:rPr>
        <w:t>Psikoterapötik ilaçlar:</w:t>
      </w:r>
      <w:r w:rsidR="004C1739" w:rsidRPr="000E25A0">
        <w:rPr>
          <w:sz w:val="20"/>
          <w:szCs w:val="20"/>
        </w:rPr>
        <w:t xml:space="preserve"> B</w:t>
      </w:r>
      <w:r w:rsidRPr="000E25A0">
        <w:rPr>
          <w:sz w:val="20"/>
          <w:szCs w:val="20"/>
        </w:rPr>
        <w:t xml:space="preserve">arbitüratlar, benzodiazepinler ve benzodiazepin olmayan sakinleştiriciler </w:t>
      </w:r>
      <w:proofErr w:type="gramStart"/>
      <w:r w:rsidRPr="000E25A0">
        <w:rPr>
          <w:sz w:val="20"/>
          <w:szCs w:val="20"/>
        </w:rPr>
        <w:t>(</w:t>
      </w:r>
      <w:proofErr w:type="gramEnd"/>
      <w:r w:rsidRPr="000E25A0">
        <w:rPr>
          <w:sz w:val="20"/>
          <w:szCs w:val="20"/>
        </w:rPr>
        <w:t>ör. zolpidem, eszopiklon, zaleplon</w:t>
      </w:r>
      <w:proofErr w:type="gramStart"/>
      <w:r w:rsidRPr="000E25A0">
        <w:rPr>
          <w:sz w:val="20"/>
          <w:szCs w:val="20"/>
        </w:rPr>
        <w:t>)</w:t>
      </w:r>
      <w:proofErr w:type="gramEnd"/>
      <w:r w:rsidRPr="000E25A0">
        <w:rPr>
          <w:sz w:val="20"/>
          <w:szCs w:val="20"/>
        </w:rPr>
        <w:t>, afyonlar, kas gevşeticiler ve uyarıcılar</w:t>
      </w:r>
      <w:r w:rsidR="004C1739" w:rsidRPr="000E25A0">
        <w:rPr>
          <w:sz w:val="20"/>
          <w:szCs w:val="20"/>
        </w:rPr>
        <w:t>.</w:t>
      </w:r>
    </w:p>
    <w:p w:rsidR="004C1739" w:rsidRPr="000E25A0" w:rsidRDefault="004C1739" w:rsidP="000E25A0">
      <w:pPr>
        <w:pStyle w:val="NormalWeb"/>
        <w:shd w:val="clear" w:color="auto" w:fill="F2F2F2" w:themeFill="background1" w:themeFillShade="F2"/>
        <w:spacing w:before="0" w:beforeAutospacing="0"/>
        <w:rPr>
          <w:sz w:val="20"/>
          <w:szCs w:val="20"/>
        </w:rPr>
      </w:pPr>
      <w:r w:rsidRPr="000E25A0">
        <w:rPr>
          <w:b/>
          <w:color w:val="C00000"/>
          <w:sz w:val="20"/>
          <w:szCs w:val="20"/>
        </w:rPr>
        <w:t>**</w:t>
      </w:r>
      <w:r w:rsidRPr="000E25A0">
        <w:rPr>
          <w:b/>
          <w:i/>
          <w:sz w:val="20"/>
          <w:szCs w:val="20"/>
        </w:rPr>
        <w:t>Halüsinojenler:</w:t>
      </w:r>
      <w:r w:rsidRPr="000E25A0">
        <w:rPr>
          <w:sz w:val="20"/>
          <w:szCs w:val="20"/>
        </w:rPr>
        <w:t xml:space="preserve"> Dimetiltriptamin, ecstasy, ketamin, liserjik asit dietilamid, meskalin, peyote, fensiklidin, psilosibin ve Salvia divinorum.</w:t>
      </w:r>
    </w:p>
    <w:p w:rsidR="00700775" w:rsidRPr="000E25A0" w:rsidRDefault="008F11AC" w:rsidP="000E25A0">
      <w:pPr>
        <w:pStyle w:val="NormalWeb"/>
        <w:shd w:val="clear" w:color="auto" w:fill="F2F2F2" w:themeFill="background1" w:themeFillShade="F2"/>
        <w:spacing w:before="0" w:beforeAutospacing="0"/>
        <w:rPr>
          <w:sz w:val="20"/>
          <w:szCs w:val="20"/>
        </w:rPr>
      </w:pPr>
      <w:r w:rsidRPr="000E25A0">
        <w:rPr>
          <w:b/>
          <w:color w:val="C00000"/>
          <w:sz w:val="20"/>
          <w:szCs w:val="20"/>
        </w:rPr>
        <w:t>***</w:t>
      </w:r>
      <w:r w:rsidRPr="000E25A0">
        <w:rPr>
          <w:sz w:val="20"/>
          <w:szCs w:val="20"/>
        </w:rPr>
        <w:t xml:space="preserve"> </w:t>
      </w:r>
      <w:r w:rsidRPr="000E25A0">
        <w:rPr>
          <w:b/>
          <w:i/>
          <w:sz w:val="20"/>
          <w:szCs w:val="20"/>
        </w:rPr>
        <w:t>İnhalanlar:</w:t>
      </w:r>
      <w:r w:rsidRPr="000E25A0">
        <w:rPr>
          <w:sz w:val="20"/>
          <w:szCs w:val="20"/>
        </w:rPr>
        <w:t xml:space="preserve"> amil nitrat; düzeltme sıvısı, yağ giderici veya temizleme sıvısı; benzin veya çakmak sıvısı; tutkal, ayakkabı cilası veya toluen; halotan, eter veya diğer anestetikler; cila tineri veya boya solventleri; bütan veya propan gibi daha hafif gazlar; nitröz oksitler; sihirli işaretçiler; sprey </w:t>
      </w:r>
      <w:proofErr w:type="gramStart"/>
      <w:r w:rsidRPr="000E25A0">
        <w:rPr>
          <w:sz w:val="20"/>
          <w:szCs w:val="20"/>
        </w:rPr>
        <w:t>boyalar;</w:t>
      </w:r>
      <w:proofErr w:type="gramEnd"/>
      <w:r w:rsidRPr="000E25A0">
        <w:rPr>
          <w:sz w:val="20"/>
          <w:szCs w:val="20"/>
        </w:rPr>
        <w:t xml:space="preserve"> ve bilgisayar klavye temizleyicisi Ulusal Uyuşturucu Kullanımı ve Sağlık Araştırmasından uyarlanmıştır)</w:t>
      </w:r>
      <w:r w:rsidRPr="000E25A0">
        <w:rPr>
          <w:b/>
          <w:sz w:val="20"/>
          <w:szCs w:val="20"/>
          <w:vertAlign w:val="superscript"/>
        </w:rPr>
        <w:t>1</w:t>
      </w:r>
      <w:r w:rsidRPr="000E25A0">
        <w:rPr>
          <w:sz w:val="20"/>
          <w:szCs w:val="20"/>
        </w:rPr>
        <w:t>.</w:t>
      </w:r>
    </w:p>
    <w:p w:rsidR="00FA20C1" w:rsidRPr="00AF0C47" w:rsidRDefault="00FA20C1" w:rsidP="00FA20C1">
      <w:pPr>
        <w:pStyle w:val="NormalWeb"/>
        <w:shd w:val="clear" w:color="auto" w:fill="FFFFFF"/>
        <w:spacing w:before="0" w:beforeAutospacing="0"/>
        <w:rPr>
          <w:sz w:val="22"/>
          <w:szCs w:val="22"/>
        </w:rPr>
      </w:pPr>
      <w:r>
        <w:rPr>
          <w:sz w:val="22"/>
          <w:szCs w:val="22"/>
        </w:rPr>
        <w:t>________________________________________________________________________________</w:t>
      </w:r>
    </w:p>
    <w:p w:rsidR="004935BF" w:rsidRDefault="00F42A2B" w:rsidP="00FA20C1">
      <w:pPr>
        <w:pStyle w:val="NormalWeb"/>
        <w:shd w:val="clear" w:color="auto" w:fill="FFFFFF"/>
        <w:spacing w:before="0" w:beforeAutospacing="0"/>
        <w:rPr>
          <w:rFonts w:ascii="Arial" w:hAnsi="Arial" w:cs="Arial"/>
        </w:rPr>
      </w:pPr>
      <w:r w:rsidRPr="00F42A2B">
        <w:rPr>
          <w:rFonts w:ascii="Arial" w:hAnsi="Arial" w:cs="Arial"/>
        </w:rPr>
        <w:lastRenderedPageBreak/>
        <w:t xml:space="preserve">Bir politika ve kullanımdaki bu büyük değişiklik, klinisyenleri esrarın güvenliğini ve etkililiğini eleştirel bir şekilde değerlendirmeye </w:t>
      </w:r>
      <w:proofErr w:type="gramStart"/>
      <w:r w:rsidRPr="00F42A2B">
        <w:rPr>
          <w:rFonts w:ascii="Arial" w:hAnsi="Arial" w:cs="Arial"/>
        </w:rPr>
        <w:t>zorladı</w:t>
      </w:r>
      <w:r w:rsidR="00F5116E">
        <w:rPr>
          <w:rFonts w:ascii="Arial" w:hAnsi="Arial" w:cs="Arial"/>
        </w:rPr>
        <w:t>.</w:t>
      </w:r>
      <w:r w:rsidR="00F5116E" w:rsidRPr="00F5116E">
        <w:rPr>
          <w:rFonts w:ascii="Arial" w:hAnsi="Arial" w:cs="Arial"/>
        </w:rPr>
        <w:t>Bununla</w:t>
      </w:r>
      <w:proofErr w:type="gramEnd"/>
      <w:r w:rsidR="00F5116E" w:rsidRPr="00F5116E">
        <w:rPr>
          <w:rFonts w:ascii="Arial" w:hAnsi="Arial" w:cs="Arial"/>
        </w:rPr>
        <w:t xml:space="preserve"> birlikte, esrarın sağlık üzerindeki etkilerine ilişkin AHA’nın anlayışı, dünya çapında onlarca yıllık yasa dışılıkla sınırlıydı ve ABD'de federal yasaların kısıtlamalarıyla sınırlı olmaya devam ediyor çünkü esrar, kabulenilen tıbbi kullanımı olmdığındayoktur  kabul edilmeyen ve yüksek bir suistimal potansiyeli olan Çizelge 1 (Schedule 1)kontrollü bir madde olmaya devam ediyor ve kabul edilemez bir güvenlik profili- 2,3 (safety profile.2,3)vardır.</w:t>
      </w:r>
      <w:r w:rsidR="00FA20C1">
        <w:rPr>
          <w:rFonts w:ascii="Arial" w:hAnsi="Arial" w:cs="Arial"/>
        </w:rPr>
        <w:t xml:space="preserve"> </w:t>
      </w:r>
      <w:r w:rsidR="00630572" w:rsidRPr="00630572">
        <w:rPr>
          <w:rFonts w:ascii="Arial" w:hAnsi="Arial" w:cs="Arial"/>
        </w:rPr>
        <w:t xml:space="preserve">AHA bu belgede, kardiyovasküler sağlıkla ilgili olduğu için güvenlik ve etkinlik </w:t>
      </w:r>
      <w:proofErr w:type="gramStart"/>
      <w:r w:rsidR="00630572" w:rsidRPr="00630572">
        <w:rPr>
          <w:rFonts w:ascii="Arial" w:hAnsi="Arial" w:cs="Arial"/>
        </w:rPr>
        <w:t>profilini</w:t>
      </w:r>
      <w:proofErr w:type="gramEnd"/>
      <w:r w:rsidR="00630572" w:rsidRPr="00630572">
        <w:rPr>
          <w:rFonts w:ascii="Arial" w:hAnsi="Arial" w:cs="Arial"/>
        </w:rPr>
        <w:t xml:space="preserve"> değerlendirerek tıbbi ve eğlence amaçlı kenevirin kullanımını klinik açıdan ve aynı zamanda politika ve halk sağlığı açısından eleştirel bir şekilde inceliyor.</w:t>
      </w:r>
    </w:p>
    <w:p w:rsidR="004935BF" w:rsidRPr="004935BF" w:rsidRDefault="004935BF" w:rsidP="00FA20C1">
      <w:pPr>
        <w:pStyle w:val="NormalWeb"/>
        <w:shd w:val="clear" w:color="auto" w:fill="FFFFFF"/>
        <w:spacing w:before="0" w:beforeAutospacing="0"/>
        <w:rPr>
          <w:b/>
          <w:color w:val="C00000"/>
          <w:sz w:val="32"/>
          <w:szCs w:val="32"/>
        </w:rPr>
      </w:pPr>
      <w:r w:rsidRPr="004935BF">
        <w:rPr>
          <w:b/>
          <w:color w:val="C00000"/>
          <w:sz w:val="32"/>
          <w:szCs w:val="32"/>
        </w:rPr>
        <w:t xml:space="preserve">TANIMLAR VE </w:t>
      </w:r>
      <w:r w:rsidR="00726E3A">
        <w:rPr>
          <w:b/>
          <w:color w:val="C00000"/>
          <w:sz w:val="32"/>
          <w:szCs w:val="32"/>
        </w:rPr>
        <w:t xml:space="preserve">KANNABİS </w:t>
      </w:r>
      <w:r w:rsidR="00726E3A" w:rsidRPr="00726E3A">
        <w:rPr>
          <w:i/>
          <w:color w:val="C00000"/>
          <w:sz w:val="32"/>
          <w:szCs w:val="32"/>
        </w:rPr>
        <w:t>(</w:t>
      </w:r>
      <w:r w:rsidRPr="00726E3A">
        <w:rPr>
          <w:i/>
          <w:color w:val="C00000"/>
          <w:sz w:val="32"/>
          <w:szCs w:val="32"/>
        </w:rPr>
        <w:t>K</w:t>
      </w:r>
      <w:r w:rsidR="00726E3A">
        <w:rPr>
          <w:i/>
          <w:color w:val="C00000"/>
          <w:sz w:val="32"/>
          <w:szCs w:val="32"/>
        </w:rPr>
        <w:t>enevir</w:t>
      </w:r>
      <w:r w:rsidR="00726E3A" w:rsidRPr="00726E3A">
        <w:rPr>
          <w:i/>
          <w:color w:val="C00000"/>
          <w:sz w:val="32"/>
          <w:szCs w:val="32"/>
        </w:rPr>
        <w:t>)</w:t>
      </w:r>
      <w:r w:rsidRPr="004935BF">
        <w:rPr>
          <w:b/>
          <w:color w:val="C00000"/>
          <w:sz w:val="32"/>
          <w:szCs w:val="32"/>
        </w:rPr>
        <w:t xml:space="preserve"> FORMÜLASYONLARI</w:t>
      </w:r>
    </w:p>
    <w:p w:rsidR="004935BF" w:rsidRDefault="004935BF" w:rsidP="004C03F5">
      <w:pPr>
        <w:pStyle w:val="NormalWeb"/>
        <w:numPr>
          <w:ilvl w:val="0"/>
          <w:numId w:val="2"/>
        </w:numPr>
        <w:shd w:val="clear" w:color="auto" w:fill="FFFFFF"/>
        <w:spacing w:before="0" w:beforeAutospacing="0"/>
      </w:pPr>
      <w:r w:rsidRPr="00005175">
        <w:t>Esrar ve kenevir bitkileri, Kannabis cinsinin çeşitleridir.</w:t>
      </w:r>
      <w:r w:rsidR="00005175" w:rsidRPr="00005175">
        <w:t xml:space="preserve"> Kannabisin fizyolojik etkileri esas olarak kanabinoidlerinden kaynaklanır. Bugüne kadar, hepatik olarak THC'ye dekarboksile edilen CBD ve tetrahidrokannabinolik asit, üzerinde en iyi çalışılan kannabinoidler olmuştur.</w:t>
      </w:r>
      <w:r w:rsidR="00E72310" w:rsidRPr="00E72310">
        <w:t xml:space="preserve"> </w:t>
      </w:r>
      <w:r w:rsidR="004C03F5">
        <w:t xml:space="preserve">- </w:t>
      </w:r>
      <w:r w:rsidR="00E72310" w:rsidRPr="00E72310">
        <w:t xml:space="preserve">Kannabigerol, kannabikromen, kannabinol ve tetrahidrokannabivarin gibi minör kannabinoidler </w:t>
      </w:r>
      <w:proofErr w:type="gramStart"/>
      <w:r w:rsidR="00E72310" w:rsidRPr="00E72310">
        <w:t>dahil</w:t>
      </w:r>
      <w:proofErr w:type="gramEnd"/>
      <w:r w:rsidR="00E72310" w:rsidRPr="00E72310">
        <w:t xml:space="preserve"> 100'den fazla farklı fitokanabinoid tanımlanmıştır.</w:t>
      </w:r>
      <w:r w:rsidR="00561FD6" w:rsidRPr="00561FD6">
        <w:t xml:space="preserve"> Eğlence amaçlı ve tıbbi olarak kullanılan yaygın olarak bilinen üç esrar türü Cannabis sativa, Cannabis indica ve Cannabis rubralis'tir.</w:t>
      </w:r>
    </w:p>
    <w:p w:rsidR="004C03F5" w:rsidRDefault="004C03F5" w:rsidP="004C03F5">
      <w:pPr>
        <w:pStyle w:val="NormalWeb"/>
        <w:shd w:val="clear" w:color="auto" w:fill="FFFFFF"/>
        <w:spacing w:before="0" w:beforeAutospacing="0"/>
      </w:pPr>
      <w:r w:rsidRPr="004C03F5">
        <w:t>Esrar satıcıları genellikle bu bitkileri yüksek THC içeren bir bitki ol</w:t>
      </w:r>
      <w:r>
        <w:t xml:space="preserve">an </w:t>
      </w:r>
      <w:proofErr w:type="gramStart"/>
      <w:r>
        <w:t xml:space="preserve">sativa </w:t>
      </w:r>
      <w:r w:rsidRPr="004C03F5">
        <w:t>; indica</w:t>
      </w:r>
      <w:proofErr w:type="gramEnd"/>
      <w:r w:rsidRPr="004C03F5">
        <w:t xml:space="preserve"> veya karışık bir THC-CBD bitkisi; ve yüksek CBD içeren bir bitki olan Rudurralis</w:t>
      </w:r>
      <w:r>
        <w:t xml:space="preserve"> olarak nitelendirirler</w:t>
      </w:r>
      <w:r w:rsidRPr="004C03F5">
        <w:t>.</w:t>
      </w:r>
    </w:p>
    <w:p w:rsidR="002B2627" w:rsidRDefault="002B2627" w:rsidP="00955D9D">
      <w:pPr>
        <w:pStyle w:val="NormalWeb"/>
        <w:numPr>
          <w:ilvl w:val="0"/>
          <w:numId w:val="2"/>
        </w:numPr>
        <w:shd w:val="clear" w:color="auto" w:fill="FFFFFF"/>
        <w:spacing w:before="0" w:beforeAutospacing="0"/>
      </w:pPr>
      <w:r w:rsidRPr="002B2627">
        <w:t>Sativa daha uyarıcı, canlandırıcı ve enerji verici etkiler sağlarken, indica daha rahatlatıcı, yatıştırıcı ve ağrı azaltıcıdır.</w:t>
      </w:r>
      <w:r w:rsidR="00955D9D" w:rsidRPr="00955D9D">
        <w:t xml:space="preserve"> Bununla birlikte, bu terminolojiler ilkeldir ve çoğu zaman yanlıştır. Kenevir bitkileri ayrıca THC'nin CBD'ye ora</w:t>
      </w:r>
      <w:r w:rsidR="00955D9D">
        <w:t xml:space="preserve">nlarına göre de sınıflandırılır; bunlar: </w:t>
      </w:r>
    </w:p>
    <w:p w:rsidR="00955D9D" w:rsidRDefault="00955D9D" w:rsidP="00955D9D">
      <w:pPr>
        <w:pStyle w:val="NormalWeb"/>
        <w:numPr>
          <w:ilvl w:val="0"/>
          <w:numId w:val="2"/>
        </w:numPr>
        <w:shd w:val="clear" w:color="auto" w:fill="FFFFFF"/>
        <w:spacing w:before="0" w:beforeAutospacing="0"/>
      </w:pPr>
      <w:r w:rsidRPr="00955D9D">
        <w:t xml:space="preserve">Kenevir bitkisi ayrıca, THC/CBD oranı yüksek (&gt;&gt;1.0) olan kemotip I veya ilaç tipi bitkilerden oluşan THC'nin CBD'ye oranına göre sınıflandırılır; dengeli THC/CBD oranı 1.0'a yakın olan kemotip II veya ara tip </w:t>
      </w:r>
      <w:proofErr w:type="gramStart"/>
      <w:r w:rsidRPr="00955D9D">
        <w:t>bitkiler;</w:t>
      </w:r>
      <w:proofErr w:type="gramEnd"/>
      <w:r w:rsidRPr="00955D9D">
        <w:t xml:space="preserve"> ve düşük THC/CBD oranına (&lt;&lt;1,0) sahip olan ve THC yüzdesinin &lt;%0,30 olduğu, saptanabilirlik seviyesinin altında olan kemotip III veya kenevir türü bitkiler</w:t>
      </w:r>
      <w:r>
        <w:t>i ihtiva eder.</w:t>
      </w:r>
    </w:p>
    <w:p w:rsidR="00955D9D" w:rsidRDefault="00815AAC" w:rsidP="001632AF">
      <w:pPr>
        <w:pStyle w:val="NormalWeb"/>
        <w:shd w:val="clear" w:color="auto" w:fill="FFFFFF"/>
        <w:ind w:left="360"/>
      </w:pPr>
      <w:r w:rsidRPr="00815AAC">
        <w:t xml:space="preserve">ABD politikası açısından </w:t>
      </w:r>
      <w:r>
        <w:t>Kannabis</w:t>
      </w:r>
      <w:r w:rsidRPr="00815AAC">
        <w:t>, tıbbi veya eğlence amaçlı olarak kabul edilir.</w:t>
      </w:r>
      <w:r w:rsidR="00D97C33" w:rsidRPr="00D97C33">
        <w:t xml:space="preserve"> </w:t>
      </w:r>
      <w:r w:rsidR="00D97C33">
        <w:t>Keyif amaçlı kenevirin yasallaştırılması ve esrar dispanserlerinin ortaya çıkmasıyla birlikte, ABD ve Kanada pazarlarına ağızdan, dil altında</w:t>
      </w:r>
      <w:r w:rsidR="001632AF">
        <w:t>n veya rektal yolla</w:t>
      </w:r>
      <w:r w:rsidR="00D97C33">
        <w:t>; buharlaştırılır; veya tütsülenmiş</w:t>
      </w:r>
      <w:r w:rsidR="001632AF">
        <w:t xml:space="preserve"> </w:t>
      </w:r>
      <w:proofErr w:type="gramStart"/>
      <w:r w:rsidR="001632AF">
        <w:t>olarak  tüketilen</w:t>
      </w:r>
      <w:proofErr w:type="gramEnd"/>
      <w:r w:rsidR="001632AF">
        <w:t xml:space="preserve"> birçok </w:t>
      </w:r>
      <w:r w:rsidR="001632AF" w:rsidRPr="001632AF">
        <w:t>formülasyon girdi</w:t>
      </w:r>
      <w:r w:rsidR="001632AF">
        <w:t xml:space="preserve">lei bulunmaktadır </w:t>
      </w:r>
      <w:r w:rsidR="00D97C33">
        <w:t>(</w:t>
      </w:r>
      <w:r w:rsidR="005674C7">
        <w:rPr>
          <w:b/>
          <w:i/>
          <w:color w:val="C00000"/>
          <w:u w:val="single"/>
        </w:rPr>
        <w:t>Figür 1</w:t>
      </w:r>
      <w:r w:rsidR="00D97C33">
        <w:t>)</w:t>
      </w:r>
      <w:r w:rsidR="001632AF">
        <w:t>.</w:t>
      </w:r>
      <w:r w:rsidR="001632AF" w:rsidRPr="001632AF">
        <w:t xml:space="preserve"> Bu ürünler, Amerika Birleşik Devletleri'nde federal düzenlemeden yoksundur ve bu da doz, kannabinoid </w:t>
      </w:r>
      <w:proofErr w:type="gramStart"/>
      <w:r w:rsidR="001632AF" w:rsidRPr="001632AF">
        <w:t>konsantrasyonları</w:t>
      </w:r>
      <w:proofErr w:type="gramEnd"/>
      <w:r w:rsidR="001632AF" w:rsidRPr="001632AF">
        <w:t>, paketleme ve etiketlemede standardizasyon eksikliğine neden olur.</w:t>
      </w:r>
      <w:r w:rsidR="00626016" w:rsidRPr="00626016">
        <w:t xml:space="preserve"> Birinci nesil kenevir ürünleriyle </w:t>
      </w:r>
      <w:proofErr w:type="gramStart"/>
      <w:r w:rsidR="00626016" w:rsidRPr="00626016">
        <w:t>(</w:t>
      </w:r>
      <w:proofErr w:type="gramEnd"/>
      <w:r w:rsidR="00626016" w:rsidRPr="00626016">
        <w:t>ör. 1996 öncesi karaborsa</w:t>
      </w:r>
      <w:proofErr w:type="gramStart"/>
      <w:r w:rsidR="00626016" w:rsidRPr="00626016">
        <w:t>)</w:t>
      </w:r>
      <w:proofErr w:type="gramEnd"/>
      <w:r w:rsidR="00626016" w:rsidRPr="00626016">
        <w:t xml:space="preserve"> karşılaştırıldığında, bu daha yeni ticari ürünler (ör. </w:t>
      </w:r>
      <w:proofErr w:type="gramStart"/>
      <w:r w:rsidR="00626016" w:rsidRPr="00626016">
        <w:t>devletin</w:t>
      </w:r>
      <w:proofErr w:type="gramEnd"/>
      <w:r w:rsidR="00626016" w:rsidRPr="00626016">
        <w:t xml:space="preserve"> izin verdiği/takip edilmeyen ürünler) önemli ölçüde daha yüksek ortalama THC içeriğine sahiptir: 1990'larda %3,8, 2014'te %12,2</w:t>
      </w:r>
      <w:r w:rsidR="000F34D6">
        <w:t>.</w:t>
      </w:r>
    </w:p>
    <w:p w:rsidR="000F34D6" w:rsidRDefault="000F34D6" w:rsidP="001632AF">
      <w:pPr>
        <w:pStyle w:val="NormalWeb"/>
        <w:shd w:val="clear" w:color="auto" w:fill="FFFFFF"/>
        <w:ind w:left="360"/>
      </w:pPr>
      <w:r w:rsidRPr="000F34D6">
        <w:t xml:space="preserve">Sentetik kanabinoidler, keyfi olarak reçeteli ve yasadışı olarak ikiye ayrılabilen bir molekül sınıfıdır. Başlangıçta endojen kanabinoid sisteminin farmakolojik araştırmaları </w:t>
      </w:r>
      <w:r w:rsidRPr="000F34D6">
        <w:lastRenderedPageBreak/>
        <w:t>olarak hizmet etmek üzere geliştirilen bu sentetik yasa dışı kanabinoidler, şimdi yeni psikoaktif ilaçlar olarak sınıflandırılmaktadır.</w:t>
      </w:r>
      <w:r w:rsidR="000D033C" w:rsidRPr="000D033C">
        <w:t xml:space="preserve"> Karaborsada, bu bileşiklerin birçoğu K2 ve Spice</w:t>
      </w:r>
      <w:r w:rsidR="000D033C">
        <w:t xml:space="preserve"> (Baharat)</w:t>
      </w:r>
      <w:r w:rsidR="000D033C" w:rsidRPr="000D033C">
        <w:t xml:space="preserve"> gibi çeşitli marka adları altında geliştirilmiş ve pazarlanmıştır ve karıştırılmış</w:t>
      </w:r>
      <w:r w:rsidR="000D033C">
        <w:t>/seyreltilmiş</w:t>
      </w:r>
      <w:r w:rsidR="000D033C" w:rsidRPr="000D033C">
        <w:t xml:space="preserve"> olabilir.</w:t>
      </w:r>
    </w:p>
    <w:p w:rsidR="00B54657" w:rsidRPr="00005175" w:rsidRDefault="00B54657" w:rsidP="001632AF">
      <w:pPr>
        <w:pStyle w:val="NormalWeb"/>
        <w:shd w:val="clear" w:color="auto" w:fill="FFFFFF"/>
        <w:ind w:left="360"/>
      </w:pPr>
      <w:r w:rsidRPr="00B54657">
        <w:t>Dört sentetik reçeteli kanabinoid şu anda şu şekilde pazarlanmaktadır: Amerika Birleşik Devletleri ve Kanada'da Marinol (dronabinol) ve Cesamet (nabilone), Amerika Birleşik Devletleri'nde Epidiolex (CBD) ve Kanada'da Sativex (CBD+THC) (</w:t>
      </w:r>
      <w:r w:rsidRPr="003C3B9E">
        <w:rPr>
          <w:b/>
          <w:i/>
          <w:color w:val="C00000"/>
          <w:u w:val="single"/>
        </w:rPr>
        <w:t>Tablo 1</w:t>
      </w:r>
      <w:r w:rsidRPr="00B54657">
        <w:t>)</w:t>
      </w:r>
    </w:p>
    <w:p w:rsidR="004935BF" w:rsidRDefault="004935BF" w:rsidP="00FA20C1">
      <w:pPr>
        <w:pStyle w:val="NormalWeb"/>
        <w:shd w:val="clear" w:color="auto" w:fill="FFFFFF"/>
        <w:spacing w:before="0" w:beforeAutospacing="0"/>
        <w:rPr>
          <w:rFonts w:ascii="Arial" w:hAnsi="Arial" w:cs="Arial"/>
        </w:rPr>
      </w:pPr>
    </w:p>
    <w:p w:rsidR="00700775" w:rsidRPr="00726E3A" w:rsidRDefault="003E0DFA" w:rsidP="00700775">
      <w:pPr>
        <w:pStyle w:val="NormalWeb"/>
        <w:shd w:val="clear" w:color="auto" w:fill="FFFFFF"/>
        <w:rPr>
          <w:b/>
          <w:color w:val="C00000"/>
          <w:sz w:val="28"/>
          <w:szCs w:val="28"/>
        </w:rPr>
      </w:pPr>
      <w:r w:rsidRPr="00726E3A">
        <w:rPr>
          <w:b/>
          <w:color w:val="C00000"/>
          <w:sz w:val="28"/>
          <w:szCs w:val="28"/>
        </w:rPr>
        <w:t>E</w:t>
      </w:r>
      <w:r w:rsidR="000C56F9" w:rsidRPr="00726E3A">
        <w:rPr>
          <w:b/>
          <w:color w:val="C00000"/>
          <w:sz w:val="28"/>
          <w:szCs w:val="28"/>
        </w:rPr>
        <w:t>SRAR (CANNABIS)</w:t>
      </w:r>
      <w:r w:rsidRPr="00726E3A">
        <w:rPr>
          <w:b/>
          <w:color w:val="C00000"/>
          <w:sz w:val="28"/>
          <w:szCs w:val="28"/>
        </w:rPr>
        <w:t xml:space="preserve">- </w:t>
      </w:r>
      <w:r w:rsidR="00700775" w:rsidRPr="00726E3A">
        <w:rPr>
          <w:b/>
          <w:color w:val="C00000"/>
          <w:sz w:val="28"/>
          <w:szCs w:val="28"/>
        </w:rPr>
        <w:t>F</w:t>
      </w:r>
      <w:r w:rsidR="00726E3A" w:rsidRPr="00726E3A">
        <w:rPr>
          <w:b/>
          <w:color w:val="C00000"/>
          <w:sz w:val="28"/>
          <w:szCs w:val="28"/>
        </w:rPr>
        <w:t>ARMAKOLOJİ</w:t>
      </w:r>
      <w:r w:rsidR="00700775" w:rsidRPr="00726E3A">
        <w:rPr>
          <w:b/>
          <w:color w:val="C00000"/>
          <w:sz w:val="28"/>
          <w:szCs w:val="28"/>
        </w:rPr>
        <w:t>, F</w:t>
      </w:r>
      <w:r w:rsidR="00726E3A" w:rsidRPr="00726E3A">
        <w:rPr>
          <w:b/>
          <w:color w:val="C00000"/>
          <w:sz w:val="28"/>
          <w:szCs w:val="28"/>
        </w:rPr>
        <w:t>ARMAKOKİNETİK</w:t>
      </w:r>
      <w:r w:rsidR="00700775" w:rsidRPr="00726E3A">
        <w:rPr>
          <w:b/>
          <w:color w:val="C00000"/>
          <w:sz w:val="28"/>
          <w:szCs w:val="28"/>
        </w:rPr>
        <w:t xml:space="preserve"> </w:t>
      </w:r>
      <w:r w:rsidR="00726E3A" w:rsidRPr="00726E3A">
        <w:rPr>
          <w:b/>
          <w:color w:val="C00000"/>
          <w:sz w:val="28"/>
          <w:szCs w:val="28"/>
        </w:rPr>
        <w:t>VE</w:t>
      </w:r>
      <w:r w:rsidR="00700775" w:rsidRPr="00726E3A">
        <w:rPr>
          <w:b/>
          <w:color w:val="C00000"/>
          <w:sz w:val="28"/>
          <w:szCs w:val="28"/>
        </w:rPr>
        <w:t xml:space="preserve"> F</w:t>
      </w:r>
      <w:r w:rsidR="00726E3A" w:rsidRPr="00726E3A">
        <w:rPr>
          <w:b/>
          <w:color w:val="C00000"/>
          <w:sz w:val="28"/>
          <w:szCs w:val="28"/>
        </w:rPr>
        <w:t>ARMAKODİNAMİK</w:t>
      </w:r>
    </w:p>
    <w:p w:rsidR="00700775" w:rsidRDefault="000C56F9" w:rsidP="00AF0096">
      <w:pPr>
        <w:pStyle w:val="NormalWeb"/>
        <w:shd w:val="clear" w:color="auto" w:fill="FFFFFF"/>
      </w:pPr>
      <w:r w:rsidRPr="000C56F9">
        <w:t>Endojen endokannabinoid sistem, doğal olarak üretilen, isteğe bağlı 2 kannabinoidden oluşan kapsamlı ve karmaşıktır</w:t>
      </w:r>
      <w:r>
        <w:t xml:space="preserve"> [ (anandamid ve 2-araşidonoilgliserol) ve 2 CBD reseptörü (CB1 ve CB2 </w:t>
      </w:r>
      <w:r w:rsidRPr="000C56F9">
        <w:rPr>
          <w:b/>
          <w:color w:val="C00000"/>
          <w:u w:val="single"/>
        </w:rPr>
        <w:t>Figür 4</w:t>
      </w:r>
      <w:r>
        <w:t>) ].</w:t>
      </w:r>
      <w:r w:rsidRPr="000C56F9">
        <w:t xml:space="preserve"> Bu reseptörler, AMP'nin cAMP'ye dönüşümünü etkilemek için birleştirilmiş G proteinidir.</w:t>
      </w:r>
      <w:r w:rsidR="00AB5F2D" w:rsidRPr="00AB5F2D">
        <w:t xml:space="preserve"> </w:t>
      </w:r>
      <w:r w:rsidR="00AB5F2D">
        <w:t>CB1 reseptörlerinin dağılımı öncelikle presinaptik nöronlar boyunca merkezi sinir sistemi beyin ve omuriliğin yanı sıra periferik sinir sistemi içinde.</w:t>
      </w:r>
      <w:r w:rsidR="00AF0096" w:rsidRPr="00AF0096">
        <w:t xml:space="preserve"> </w:t>
      </w:r>
      <w:r w:rsidR="00AF0096">
        <w:t>CB2 res</w:t>
      </w:r>
      <w:r w:rsidR="00E839A6">
        <w:t xml:space="preserve">eptörleri esas olarak </w:t>
      </w:r>
      <w:proofErr w:type="gramStart"/>
      <w:r w:rsidR="00E839A6">
        <w:t>konsantre</w:t>
      </w:r>
      <w:proofErr w:type="gramEnd"/>
      <w:r w:rsidR="00E839A6">
        <w:t xml:space="preserve"> </w:t>
      </w:r>
      <w:r w:rsidR="00AF0096">
        <w:t>bağışıklık hücreleri ve dokularda.</w:t>
      </w:r>
      <w:r w:rsidR="00E839A6" w:rsidRPr="00E839A6">
        <w:t xml:space="preserve"> Bu reseptörlerle etkileşim yoluyla, endokannabinoid sistem </w:t>
      </w:r>
      <w:r w:rsidR="00E839A6">
        <w:t>genel homeostazı düzenler (</w:t>
      </w:r>
      <w:r w:rsidR="005674C7">
        <w:rPr>
          <w:b/>
          <w:color w:val="C00000"/>
          <w:u w:val="single"/>
        </w:rPr>
        <w:t>Figür 3</w:t>
      </w:r>
      <w:r w:rsidR="00E839A6" w:rsidRPr="00E839A6">
        <w:t>)</w:t>
      </w:r>
      <w:r w:rsidR="00CF260F">
        <w:t xml:space="preserve">. </w:t>
      </w:r>
      <w:r w:rsidR="00CF260F" w:rsidRPr="00CF260F">
        <w:t xml:space="preserve">Eksojen kanabinoidler, CB1 ve CB2 reseptörlerine değişken afinite gösterir. Tetrahidrokanabinol, her iki CB reseptörü için eşit afiniteye sahip kısmi bir agonisttir; sentetik kannabinoidler, her iki reseptör tipine karşı oldukça seçici agonistler veya </w:t>
      </w:r>
      <w:proofErr w:type="gramStart"/>
      <w:r w:rsidR="00CF260F" w:rsidRPr="00CF260F">
        <w:t>antagonistlerdir</w:t>
      </w:r>
      <w:proofErr w:type="gramEnd"/>
      <w:r w:rsidR="00CF260F" w:rsidRPr="00CF260F">
        <w:t>.</w:t>
      </w:r>
      <w:r w:rsidR="008E6605" w:rsidRPr="008E6605">
        <w:t xml:space="preserve"> CBD, fizyolojik olarak anlamlı </w:t>
      </w:r>
      <w:proofErr w:type="gramStart"/>
      <w:r w:rsidR="008E6605" w:rsidRPr="008E6605">
        <w:t>konsantrasyonlarda</w:t>
      </w:r>
      <w:proofErr w:type="gramEnd"/>
      <w:r w:rsidR="008E6605" w:rsidRPr="008E6605">
        <w:t xml:space="preserve"> CB1 veya CB2 reseptörlerine bağlanmaz, ancak CB1 reseptörlerinin amod</w:t>
      </w:r>
      <w:r w:rsidR="008E6605">
        <w:t xml:space="preserve">ülatörü olarak hareket edebilir, </w:t>
      </w:r>
      <w:r w:rsidR="008E6605" w:rsidRPr="008E6605">
        <w:t>böylece endojen kanabinoidlerin reseptör seviyesindeki afinitesini etkiler</w:t>
      </w:r>
      <w:r w:rsidR="008E6605">
        <w:t>.</w:t>
      </w:r>
    </w:p>
    <w:p w:rsidR="008E6605" w:rsidRDefault="008E6605" w:rsidP="008E6605">
      <w:pPr>
        <w:pStyle w:val="NormalWeb"/>
        <w:numPr>
          <w:ilvl w:val="0"/>
          <w:numId w:val="2"/>
        </w:numPr>
        <w:shd w:val="clear" w:color="auto" w:fill="FFFFFF"/>
      </w:pPr>
      <w:r w:rsidRPr="008E6605">
        <w:t xml:space="preserve">Esrarın ve bileşiklerinin farmakokinetiği büyük ölçüde uygulama yoluna, </w:t>
      </w:r>
      <w:proofErr w:type="gramStart"/>
      <w:r w:rsidRPr="008E6605">
        <w:t>spesifik</w:t>
      </w:r>
      <w:proofErr w:type="gramEnd"/>
      <w:r w:rsidRPr="008E6605">
        <w:t xml:space="preserve"> kanabinoide ve esrar kullanıcısının fiziksel özelliklerine bağlıdır. </w:t>
      </w:r>
      <w:r w:rsidRPr="005674C7">
        <w:rPr>
          <w:b/>
          <w:i/>
          <w:color w:val="C00000"/>
          <w:u w:val="single"/>
        </w:rPr>
        <w:t>Tablo 1</w:t>
      </w:r>
      <w:r w:rsidRPr="008E6605">
        <w:t>, hem THC hem de CBD'nin yanı sıra sentetik reçeteli kanabinoidlerin etki mekanizmasını ve farmakokinetiklerini özetlemektedir.</w:t>
      </w:r>
    </w:p>
    <w:p w:rsidR="003801F0" w:rsidRDefault="003801F0" w:rsidP="003801F0">
      <w:pPr>
        <w:pStyle w:val="NormalWeb"/>
        <w:shd w:val="clear" w:color="auto" w:fill="FFFFFF"/>
      </w:pPr>
    </w:p>
    <w:tbl>
      <w:tblPr>
        <w:tblpPr w:leftFromText="141" w:rightFromText="141" w:vertAnchor="text" w:tblpY="1"/>
        <w:tblOverlap w:val="never"/>
        <w:tblW w:w="10411" w:type="dxa"/>
        <w:tblCellMar>
          <w:top w:w="15" w:type="dxa"/>
          <w:left w:w="15" w:type="dxa"/>
          <w:bottom w:w="15" w:type="dxa"/>
          <w:right w:w="15" w:type="dxa"/>
        </w:tblCellMar>
        <w:tblLook w:val="04A0" w:firstRow="1" w:lastRow="0" w:firstColumn="1" w:lastColumn="0" w:noHBand="0" w:noVBand="1"/>
      </w:tblPr>
      <w:tblGrid>
        <w:gridCol w:w="1843"/>
        <w:gridCol w:w="1760"/>
        <w:gridCol w:w="1757"/>
        <w:gridCol w:w="1909"/>
        <w:gridCol w:w="1284"/>
        <w:gridCol w:w="1858"/>
      </w:tblGrid>
      <w:tr w:rsidR="003801F0" w:rsidRPr="00653EDD" w:rsidTr="00D527BB">
        <w:trPr>
          <w:tblHeader/>
        </w:trPr>
        <w:tc>
          <w:tcPr>
            <w:tcW w:w="0" w:type="auto"/>
            <w:gridSpan w:val="6"/>
            <w:tcBorders>
              <w:top w:val="nil"/>
              <w:left w:val="nil"/>
              <w:bottom w:val="nil"/>
              <w:right w:val="nil"/>
            </w:tcBorders>
            <w:shd w:val="clear" w:color="auto" w:fill="E2EFD9" w:themeFill="accent6" w:themeFillTint="33"/>
            <w:vAlign w:val="center"/>
            <w:hideMark/>
          </w:tcPr>
          <w:p w:rsidR="003801F0" w:rsidRPr="00653EDD" w:rsidRDefault="003801F0" w:rsidP="00D527BB">
            <w:pPr>
              <w:spacing w:after="100" w:afterAutospacing="1" w:line="240" w:lineRule="auto"/>
              <w:jc w:val="center"/>
              <w:rPr>
                <w:rFonts w:ascii="Times New Roman" w:eastAsia="Times New Roman" w:hAnsi="Times New Roman" w:cs="Times New Roman"/>
                <w:b/>
                <w:bCs/>
                <w:sz w:val="24"/>
                <w:szCs w:val="24"/>
                <w:lang w:eastAsia="tr-TR"/>
              </w:rPr>
            </w:pPr>
            <w:r w:rsidRPr="003801F0">
              <w:rPr>
                <w:rFonts w:ascii="Times New Roman" w:eastAsia="Times New Roman" w:hAnsi="Times New Roman" w:cs="Times New Roman"/>
                <w:b/>
                <w:bCs/>
                <w:color w:val="C00000"/>
                <w:sz w:val="32"/>
                <w:szCs w:val="32"/>
                <w:u w:val="single"/>
                <w:lang w:eastAsia="tr-TR"/>
              </w:rPr>
              <w:t>Tablo 1.</w:t>
            </w:r>
            <w:r w:rsidRPr="006121B0">
              <w:rPr>
                <w:rFonts w:ascii="Times New Roman" w:eastAsia="Times New Roman" w:hAnsi="Times New Roman" w:cs="Times New Roman"/>
                <w:b/>
                <w:bCs/>
                <w:color w:val="C00000"/>
                <w:sz w:val="24"/>
                <w:szCs w:val="24"/>
                <w:lang w:eastAsia="tr-TR"/>
              </w:rPr>
              <w:t xml:space="preserve"> </w:t>
            </w:r>
            <w:r w:rsidRPr="00383859">
              <w:rPr>
                <w:rFonts w:ascii="Times New Roman" w:eastAsia="Times New Roman" w:hAnsi="Times New Roman" w:cs="Times New Roman"/>
                <w:b/>
                <w:bCs/>
                <w:sz w:val="24"/>
                <w:szCs w:val="24"/>
                <w:lang w:eastAsia="tr-TR"/>
              </w:rPr>
              <w:t>Fitokanabinoidlerin ve Sentetik Reçeteli Kanabinoidlerin Farmakolojisi ve Farmakokinetiğinin Özeti</w:t>
            </w:r>
          </w:p>
        </w:tc>
      </w:tr>
      <w:tr w:rsidR="003801F0" w:rsidRPr="00653EDD" w:rsidTr="00D527BB">
        <w:trPr>
          <w:tblHeader/>
        </w:trPr>
        <w:tc>
          <w:tcPr>
            <w:tcW w:w="1843" w:type="dxa"/>
            <w:tcBorders>
              <w:top w:val="nil"/>
              <w:left w:val="nil"/>
              <w:bottom w:val="nil"/>
              <w:right w:val="nil"/>
            </w:tcBorders>
            <w:shd w:val="clear" w:color="auto" w:fill="F2F2F2" w:themeFill="background1" w:themeFillShade="F2"/>
            <w:vAlign w:val="center"/>
            <w:hideMark/>
          </w:tcPr>
          <w:p w:rsidR="003801F0" w:rsidRPr="00653EDD" w:rsidRDefault="003801F0" w:rsidP="00D527BB">
            <w:pPr>
              <w:spacing w:after="0" w:line="240" w:lineRule="auto"/>
              <w:rPr>
                <w:rFonts w:ascii="Times New Roman" w:eastAsia="Times New Roman" w:hAnsi="Times New Roman" w:cs="Times New Roman"/>
                <w:b/>
                <w:bCs/>
                <w:color w:val="000000"/>
                <w:sz w:val="24"/>
                <w:szCs w:val="24"/>
                <w:lang w:eastAsia="tr-TR"/>
              </w:rPr>
            </w:pPr>
            <w:r w:rsidRPr="0061116D">
              <w:rPr>
                <w:rFonts w:ascii="Times New Roman" w:eastAsia="Times New Roman" w:hAnsi="Times New Roman" w:cs="Times New Roman"/>
                <w:b/>
                <w:bCs/>
                <w:color w:val="000000"/>
                <w:sz w:val="24"/>
                <w:szCs w:val="24"/>
                <w:lang w:eastAsia="tr-TR"/>
              </w:rPr>
              <w:t>kanabinoid</w:t>
            </w:r>
          </w:p>
        </w:tc>
        <w:tc>
          <w:tcPr>
            <w:tcW w:w="1760" w:type="dxa"/>
            <w:tcBorders>
              <w:top w:val="nil"/>
              <w:left w:val="nil"/>
              <w:bottom w:val="nil"/>
              <w:right w:val="nil"/>
            </w:tcBorders>
            <w:shd w:val="clear" w:color="auto" w:fill="F2F2F2" w:themeFill="background1" w:themeFillShade="F2"/>
            <w:vAlign w:val="center"/>
            <w:hideMark/>
          </w:tcPr>
          <w:p w:rsidR="003801F0" w:rsidRPr="00653EDD" w:rsidRDefault="003801F0" w:rsidP="00D527BB">
            <w:pPr>
              <w:spacing w:after="0" w:line="240" w:lineRule="auto"/>
              <w:jc w:val="center"/>
              <w:rPr>
                <w:rFonts w:ascii="Times New Roman" w:eastAsia="Times New Roman" w:hAnsi="Times New Roman" w:cs="Times New Roman"/>
                <w:b/>
                <w:bCs/>
                <w:color w:val="000000"/>
                <w:sz w:val="24"/>
                <w:szCs w:val="24"/>
                <w:lang w:eastAsia="tr-TR"/>
              </w:rPr>
            </w:pPr>
            <w:r w:rsidRPr="0061116D">
              <w:rPr>
                <w:rFonts w:ascii="Times New Roman" w:eastAsia="Times New Roman" w:hAnsi="Times New Roman" w:cs="Times New Roman"/>
                <w:b/>
                <w:bCs/>
                <w:color w:val="000000"/>
                <w:sz w:val="24"/>
                <w:szCs w:val="24"/>
                <w:lang w:eastAsia="tr-TR"/>
              </w:rPr>
              <w:t>Hareket mekanizması</w:t>
            </w:r>
          </w:p>
        </w:tc>
        <w:tc>
          <w:tcPr>
            <w:tcW w:w="1757" w:type="dxa"/>
            <w:tcBorders>
              <w:top w:val="nil"/>
              <w:left w:val="nil"/>
              <w:bottom w:val="nil"/>
              <w:right w:val="nil"/>
            </w:tcBorders>
            <w:shd w:val="clear" w:color="auto" w:fill="F2F2F2" w:themeFill="background1" w:themeFillShade="F2"/>
            <w:vAlign w:val="center"/>
            <w:hideMark/>
          </w:tcPr>
          <w:p w:rsidR="003801F0" w:rsidRPr="00653EDD" w:rsidRDefault="003801F0" w:rsidP="00D527BB">
            <w:pPr>
              <w:spacing w:after="0" w:line="240" w:lineRule="auto"/>
              <w:jc w:val="center"/>
              <w:rPr>
                <w:rFonts w:ascii="Times New Roman" w:eastAsia="Times New Roman" w:hAnsi="Times New Roman" w:cs="Times New Roman"/>
                <w:b/>
                <w:bCs/>
                <w:color w:val="000000"/>
                <w:sz w:val="24"/>
                <w:szCs w:val="24"/>
                <w:lang w:eastAsia="tr-TR"/>
              </w:rPr>
            </w:pPr>
            <w:r w:rsidRPr="0061116D">
              <w:rPr>
                <w:rFonts w:ascii="Times New Roman" w:eastAsia="Times New Roman" w:hAnsi="Times New Roman" w:cs="Times New Roman"/>
                <w:b/>
                <w:bCs/>
                <w:color w:val="000000"/>
                <w:sz w:val="24"/>
                <w:szCs w:val="24"/>
                <w:lang w:eastAsia="tr-TR"/>
              </w:rPr>
              <w:t>Emilim</w:t>
            </w:r>
          </w:p>
        </w:tc>
        <w:tc>
          <w:tcPr>
            <w:tcW w:w="1909" w:type="dxa"/>
            <w:tcBorders>
              <w:top w:val="nil"/>
              <w:left w:val="nil"/>
              <w:bottom w:val="nil"/>
              <w:right w:val="nil"/>
            </w:tcBorders>
            <w:shd w:val="clear" w:color="auto" w:fill="F2F2F2" w:themeFill="background1" w:themeFillShade="F2"/>
            <w:vAlign w:val="center"/>
            <w:hideMark/>
          </w:tcPr>
          <w:p w:rsidR="003801F0" w:rsidRPr="00653EDD" w:rsidRDefault="003801F0" w:rsidP="00D527BB">
            <w:pPr>
              <w:spacing w:after="0" w:line="240" w:lineRule="auto"/>
              <w:jc w:val="center"/>
              <w:rPr>
                <w:rFonts w:ascii="Times New Roman" w:eastAsia="Times New Roman" w:hAnsi="Times New Roman" w:cs="Times New Roman"/>
                <w:b/>
                <w:bCs/>
                <w:color w:val="000000"/>
                <w:sz w:val="24"/>
                <w:szCs w:val="24"/>
                <w:lang w:eastAsia="tr-TR"/>
              </w:rPr>
            </w:pPr>
            <w:r w:rsidRPr="00653EDD">
              <w:rPr>
                <w:rFonts w:ascii="Times New Roman" w:eastAsia="Times New Roman" w:hAnsi="Times New Roman" w:cs="Times New Roman"/>
                <w:b/>
                <w:bCs/>
                <w:color w:val="000000"/>
                <w:sz w:val="24"/>
                <w:szCs w:val="24"/>
                <w:lang w:eastAsia="tr-TR"/>
              </w:rPr>
              <w:t>Metabolism</w:t>
            </w:r>
          </w:p>
        </w:tc>
        <w:tc>
          <w:tcPr>
            <w:tcW w:w="1284" w:type="dxa"/>
            <w:tcBorders>
              <w:top w:val="nil"/>
              <w:left w:val="nil"/>
              <w:bottom w:val="nil"/>
              <w:right w:val="nil"/>
            </w:tcBorders>
            <w:shd w:val="clear" w:color="auto" w:fill="F2F2F2" w:themeFill="background1" w:themeFillShade="F2"/>
            <w:vAlign w:val="center"/>
            <w:hideMark/>
          </w:tcPr>
          <w:p w:rsidR="003801F0" w:rsidRPr="00653EDD" w:rsidRDefault="003801F0" w:rsidP="00D527BB">
            <w:pPr>
              <w:spacing w:after="0" w:line="240" w:lineRule="auto"/>
              <w:jc w:val="center"/>
              <w:rPr>
                <w:rFonts w:ascii="Times New Roman" w:eastAsia="Times New Roman" w:hAnsi="Times New Roman" w:cs="Times New Roman"/>
                <w:b/>
                <w:bCs/>
                <w:color w:val="000000"/>
                <w:sz w:val="24"/>
                <w:szCs w:val="24"/>
                <w:lang w:eastAsia="tr-TR"/>
              </w:rPr>
            </w:pPr>
            <w:r w:rsidRPr="0061116D">
              <w:rPr>
                <w:rFonts w:ascii="Times New Roman" w:eastAsia="Times New Roman" w:hAnsi="Times New Roman" w:cs="Times New Roman"/>
                <w:b/>
                <w:bCs/>
                <w:color w:val="000000"/>
                <w:sz w:val="24"/>
                <w:szCs w:val="24"/>
                <w:lang w:eastAsia="tr-TR"/>
              </w:rPr>
              <w:t>Dağıtım</w:t>
            </w:r>
          </w:p>
        </w:tc>
        <w:tc>
          <w:tcPr>
            <w:tcW w:w="0" w:type="auto"/>
            <w:tcBorders>
              <w:top w:val="nil"/>
              <w:left w:val="nil"/>
              <w:bottom w:val="nil"/>
              <w:right w:val="nil"/>
            </w:tcBorders>
            <w:shd w:val="clear" w:color="auto" w:fill="F2F2F2" w:themeFill="background1" w:themeFillShade="F2"/>
            <w:vAlign w:val="center"/>
            <w:hideMark/>
          </w:tcPr>
          <w:p w:rsidR="003801F0" w:rsidRPr="00653EDD" w:rsidRDefault="003801F0" w:rsidP="00D527BB">
            <w:pPr>
              <w:spacing w:after="0" w:line="240" w:lineRule="auto"/>
              <w:jc w:val="center"/>
              <w:rPr>
                <w:rFonts w:ascii="Times New Roman" w:eastAsia="Times New Roman" w:hAnsi="Times New Roman" w:cs="Times New Roman"/>
                <w:b/>
                <w:bCs/>
                <w:color w:val="000000"/>
                <w:sz w:val="24"/>
                <w:szCs w:val="24"/>
                <w:lang w:eastAsia="tr-TR"/>
              </w:rPr>
            </w:pPr>
            <w:r w:rsidRPr="0061116D">
              <w:rPr>
                <w:rFonts w:ascii="Times New Roman" w:eastAsia="Times New Roman" w:hAnsi="Times New Roman" w:cs="Times New Roman"/>
                <w:b/>
                <w:bCs/>
                <w:color w:val="000000"/>
                <w:sz w:val="24"/>
                <w:szCs w:val="24"/>
                <w:lang w:eastAsia="tr-TR"/>
              </w:rPr>
              <w:t>Eliminasyon</w:t>
            </w:r>
          </w:p>
        </w:tc>
      </w:tr>
      <w:tr w:rsidR="003801F0" w:rsidRPr="00653EDD" w:rsidTr="00D527BB">
        <w:tc>
          <w:tcPr>
            <w:tcW w:w="0" w:type="auto"/>
            <w:gridSpan w:val="6"/>
            <w:shd w:val="clear" w:color="auto" w:fill="D5DCE4" w:themeFill="text2" w:themeFillTint="33"/>
            <w:vAlign w:val="center"/>
            <w:hideMark/>
          </w:tcPr>
          <w:p w:rsidR="003801F0" w:rsidRPr="00A31D09" w:rsidRDefault="003801F0" w:rsidP="00D527BB">
            <w:pPr>
              <w:spacing w:after="0" w:line="240" w:lineRule="auto"/>
              <w:rPr>
                <w:rFonts w:ascii="Arial Black" w:eastAsia="Times New Roman" w:hAnsi="Arial Black" w:cs="Times New Roman"/>
                <w:b/>
                <w:sz w:val="24"/>
                <w:szCs w:val="24"/>
                <w:lang w:eastAsia="tr-TR"/>
              </w:rPr>
            </w:pPr>
            <w:r w:rsidRPr="00A31D09">
              <w:rPr>
                <w:rFonts w:ascii="Arial Black" w:eastAsia="Times New Roman" w:hAnsi="Arial Black" w:cs="Times New Roman"/>
                <w:b/>
                <w:color w:val="C00000"/>
                <w:sz w:val="24"/>
                <w:szCs w:val="24"/>
                <w:lang w:eastAsia="tr-TR"/>
              </w:rPr>
              <w:t>Fitokannabinoidler (</w:t>
            </w:r>
            <w:r w:rsidRPr="00A31D09">
              <w:rPr>
                <w:rFonts w:ascii="Arial Black" w:hAnsi="Arial Black"/>
                <w:b/>
                <w:color w:val="C00000"/>
              </w:rPr>
              <w:t xml:space="preserve"> </w:t>
            </w:r>
            <w:r w:rsidRPr="00A31D09">
              <w:rPr>
                <w:rFonts w:ascii="Arial Black" w:eastAsia="Times New Roman" w:hAnsi="Arial Black" w:cs="Times New Roman"/>
                <w:b/>
                <w:color w:val="C00000"/>
                <w:sz w:val="24"/>
                <w:szCs w:val="24"/>
                <w:lang w:eastAsia="tr-TR"/>
              </w:rPr>
              <w:t>bitki türevi)</w:t>
            </w:r>
          </w:p>
        </w:tc>
      </w:tr>
      <w:tr w:rsidR="003801F0" w:rsidRPr="00653EDD" w:rsidTr="00D527BB">
        <w:tc>
          <w:tcPr>
            <w:tcW w:w="1843" w:type="dxa"/>
            <w:vMerge w:val="restart"/>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r w:rsidRPr="00653EDD">
              <w:rPr>
                <w:rFonts w:ascii="Times New Roman" w:eastAsia="Times New Roman" w:hAnsi="Times New Roman" w:cs="Times New Roman"/>
                <w:sz w:val="24"/>
                <w:szCs w:val="24"/>
                <w:lang w:eastAsia="tr-TR"/>
              </w:rPr>
              <w:t> </w:t>
            </w:r>
            <w:r w:rsidRPr="00DE3679">
              <w:rPr>
                <w:rFonts w:ascii="Times New Roman" w:eastAsia="Times New Roman" w:hAnsi="Times New Roman" w:cs="Times New Roman"/>
                <w:b/>
                <w:sz w:val="24"/>
                <w:szCs w:val="24"/>
                <w:shd w:val="clear" w:color="auto" w:fill="FFFFFF"/>
                <w:lang w:eastAsia="tr-TR"/>
              </w:rPr>
              <w:t>CBD</w:t>
            </w:r>
          </w:p>
        </w:tc>
        <w:tc>
          <w:tcPr>
            <w:tcW w:w="1760" w:type="dxa"/>
            <w:vMerge w:val="restart"/>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r w:rsidRPr="00751238">
              <w:rPr>
                <w:rFonts w:ascii="Times New Roman" w:eastAsia="Times New Roman" w:hAnsi="Times New Roman" w:cs="Times New Roman"/>
                <w:sz w:val="20"/>
                <w:szCs w:val="20"/>
                <w:lang w:eastAsia="tr-TR"/>
              </w:rPr>
              <w:t>Anandamit alım inhibitörü; TRPV1, TRPV2, TRPA1, GPR55, 5-HT1a ve PPARy reseptör aktivasyonu</w:t>
            </w:r>
          </w:p>
        </w:tc>
        <w:tc>
          <w:tcPr>
            <w:tcW w:w="1757" w:type="dxa"/>
            <w:shd w:val="clear" w:color="auto" w:fill="DEEAF6" w:themeFill="accent1" w:themeFillTint="33"/>
            <w:vAlign w:val="center"/>
            <w:hideMark/>
          </w:tcPr>
          <w:p w:rsidR="003801F0" w:rsidRPr="00DB2F8D" w:rsidRDefault="003801F0" w:rsidP="00D527BB">
            <w:pPr>
              <w:spacing w:after="0" w:line="240" w:lineRule="auto"/>
              <w:rPr>
                <w:rFonts w:ascii="Times New Roman" w:eastAsia="Times New Roman" w:hAnsi="Times New Roman" w:cs="Times New Roman"/>
                <w:i/>
                <w:sz w:val="24"/>
                <w:szCs w:val="24"/>
                <w:lang w:eastAsia="tr-TR"/>
              </w:rPr>
            </w:pPr>
            <w:r w:rsidRPr="00DB2F8D">
              <w:rPr>
                <w:rFonts w:ascii="Times New Roman" w:eastAsia="Times New Roman" w:hAnsi="Times New Roman" w:cs="Times New Roman"/>
                <w:i/>
                <w:sz w:val="24"/>
                <w:szCs w:val="24"/>
                <w:lang w:eastAsia="tr-TR"/>
              </w:rPr>
              <w:t>Inhalasyon:</w:t>
            </w:r>
          </w:p>
        </w:tc>
        <w:tc>
          <w:tcPr>
            <w:tcW w:w="1909" w:type="dxa"/>
            <w:vMerge w:val="restart"/>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r w:rsidRPr="00751238">
              <w:rPr>
                <w:rFonts w:ascii="Times New Roman" w:eastAsia="Times New Roman" w:hAnsi="Times New Roman" w:cs="Times New Roman"/>
                <w:sz w:val="20"/>
                <w:szCs w:val="20"/>
                <w:lang w:eastAsia="tr-TR"/>
              </w:rPr>
              <w:t>Hepatik, CYP1A1, 1A2, 2C8, 2C9, 2C19, 3A4 ve 2D6 yoluyla; UGT1A9 ve UGT2B7; hidroksilasyona uğrar</w:t>
            </w:r>
          </w:p>
        </w:tc>
        <w:tc>
          <w:tcPr>
            <w:tcW w:w="1284" w:type="dxa"/>
            <w:vMerge w:val="restart"/>
            <w:shd w:val="clear" w:color="auto" w:fill="DEEAF6" w:themeFill="accent1" w:themeFillTint="33"/>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Zamana bağlı yağlı dokular</w:t>
            </w:r>
          </w:p>
          <w:p w:rsidR="003801F0" w:rsidRPr="00653EDD" w:rsidRDefault="003801F0" w:rsidP="00D527BB">
            <w:pPr>
              <w:spacing w:after="0" w:line="240" w:lineRule="auto"/>
              <w:rPr>
                <w:rFonts w:ascii="Times New Roman" w:eastAsia="Times New Roman" w:hAnsi="Times New Roman" w:cs="Times New Roman"/>
                <w:sz w:val="24"/>
                <w:szCs w:val="24"/>
                <w:lang w:eastAsia="tr-TR"/>
              </w:rPr>
            </w:pPr>
            <w:proofErr w:type="gramStart"/>
            <w:r w:rsidRPr="0012550D">
              <w:rPr>
                <w:rFonts w:ascii="Times New Roman" w:eastAsia="Times New Roman" w:hAnsi="Times New Roman" w:cs="Times New Roman"/>
                <w:sz w:val="20"/>
                <w:szCs w:val="20"/>
                <w:lang w:eastAsia="tr-TR"/>
              </w:rPr>
              <w:t>ve</w:t>
            </w:r>
            <w:proofErr w:type="gramEnd"/>
            <w:r w:rsidRPr="0012550D">
              <w:rPr>
                <w:rFonts w:ascii="Times New Roman" w:eastAsia="Times New Roman" w:hAnsi="Times New Roman" w:cs="Times New Roman"/>
                <w:sz w:val="20"/>
                <w:szCs w:val="20"/>
                <w:lang w:eastAsia="tr-TR"/>
              </w:rPr>
              <w:t xml:space="preserve"> beyin, kalp, akciğer ve karaciğer gibi yüksek oranda perfüze olan organlar</w:t>
            </w:r>
          </w:p>
        </w:tc>
        <w:tc>
          <w:tcPr>
            <w:tcW w:w="0" w:type="auto"/>
            <w:vMerge w:val="restart"/>
            <w:shd w:val="clear" w:color="auto" w:fill="DEEAF6" w:themeFill="accent1" w:themeFillTint="33"/>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Dışkı ve idrar; uygulamaya bağlı olarak</w:t>
            </w:r>
          </w:p>
        </w:tc>
      </w:tr>
      <w:tr w:rsidR="003801F0" w:rsidRPr="00653EDD" w:rsidTr="00D527BB">
        <w:tc>
          <w:tcPr>
            <w:tcW w:w="1843" w:type="dxa"/>
            <w:vMerge/>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60" w:type="dxa"/>
            <w:vMerge/>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c>
          <w:tcPr>
            <w:tcW w:w="1757" w:type="dxa"/>
            <w:shd w:val="clear" w:color="auto" w:fill="DEEAF6" w:themeFill="accent1" w:themeFillTint="33"/>
            <w:vAlign w:val="center"/>
            <w:hideMark/>
          </w:tcPr>
          <w:p w:rsidR="003801F0" w:rsidRDefault="003801F0" w:rsidP="00D527BB">
            <w:pPr>
              <w:spacing w:after="0" w:line="240" w:lineRule="auto"/>
              <w:rPr>
                <w:rFonts w:ascii="Times New Roman" w:eastAsia="Times New Roman" w:hAnsi="Times New Roman" w:cs="Times New Roman"/>
                <w:sz w:val="24"/>
                <w:szCs w:val="24"/>
                <w:lang w:eastAsia="tr-TR"/>
              </w:rPr>
            </w:pPr>
            <w:r w:rsidRPr="00653EDD">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Başlama:</w:t>
            </w:r>
          </w:p>
          <w:p w:rsidR="003801F0" w:rsidRPr="00653EDD" w:rsidRDefault="003801F0" w:rsidP="00D527BB">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3–5 dk.</w:t>
            </w:r>
          </w:p>
        </w:tc>
        <w:tc>
          <w:tcPr>
            <w:tcW w:w="1909" w:type="dxa"/>
            <w:vMerge/>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c>
          <w:tcPr>
            <w:tcW w:w="1284" w:type="dxa"/>
            <w:vMerge/>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0" w:type="auto"/>
            <w:vMerge/>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r>
      <w:tr w:rsidR="003801F0" w:rsidRPr="00653EDD" w:rsidTr="00D527BB">
        <w:tc>
          <w:tcPr>
            <w:tcW w:w="1843" w:type="dxa"/>
            <w:vMerge/>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60" w:type="dxa"/>
            <w:vMerge/>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c>
          <w:tcPr>
            <w:tcW w:w="1757" w:type="dxa"/>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r w:rsidRPr="00653EDD">
              <w:rPr>
                <w:rFonts w:ascii="Times New Roman" w:eastAsia="Times New Roman" w:hAnsi="Times New Roman" w:cs="Times New Roman"/>
                <w:sz w:val="24"/>
                <w:szCs w:val="24"/>
                <w:lang w:eastAsia="tr-TR"/>
              </w:rPr>
              <w:t> </w:t>
            </w:r>
            <w:r w:rsidRPr="00653EDD">
              <w:rPr>
                <w:rFonts w:ascii="Times New Roman" w:eastAsia="Times New Roman" w:hAnsi="Times New Roman" w:cs="Times New Roman"/>
                <w:sz w:val="24"/>
                <w:szCs w:val="24"/>
                <w:lang w:eastAsia="tr-TR"/>
              </w:rPr>
              <w:t>Bi</w:t>
            </w:r>
            <w:r>
              <w:rPr>
                <w:rFonts w:ascii="Times New Roman" w:eastAsia="Times New Roman" w:hAnsi="Times New Roman" w:cs="Times New Roman"/>
                <w:sz w:val="24"/>
                <w:szCs w:val="24"/>
                <w:lang w:eastAsia="tr-TR"/>
              </w:rPr>
              <w:t>y</w:t>
            </w:r>
            <w:r w:rsidRPr="00653EDD">
              <w:rPr>
                <w:rFonts w:ascii="Times New Roman" w:eastAsia="Times New Roman" w:hAnsi="Times New Roman" w:cs="Times New Roman"/>
                <w:sz w:val="24"/>
                <w:szCs w:val="24"/>
                <w:lang w:eastAsia="tr-TR"/>
              </w:rPr>
              <w:t>o</w:t>
            </w:r>
            <w:r>
              <w:rPr>
                <w:rFonts w:ascii="Times New Roman" w:eastAsia="Times New Roman" w:hAnsi="Times New Roman" w:cs="Times New Roman"/>
                <w:sz w:val="24"/>
                <w:szCs w:val="24"/>
                <w:lang w:eastAsia="tr-TR"/>
              </w:rPr>
              <w:t>yararlılık</w:t>
            </w:r>
            <w:r w:rsidRPr="00653EDD">
              <w:rPr>
                <w:rFonts w:ascii="Times New Roman" w:eastAsia="Times New Roman" w:hAnsi="Times New Roman" w:cs="Times New Roman"/>
                <w:sz w:val="24"/>
                <w:szCs w:val="24"/>
                <w:lang w:eastAsia="tr-TR"/>
              </w:rPr>
              <w:t>: 11%–45%</w:t>
            </w:r>
          </w:p>
        </w:tc>
        <w:tc>
          <w:tcPr>
            <w:tcW w:w="1909" w:type="dxa"/>
            <w:vMerge/>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c>
          <w:tcPr>
            <w:tcW w:w="1284" w:type="dxa"/>
            <w:vMerge/>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0" w:type="auto"/>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roofErr w:type="gramStart"/>
            <w:r w:rsidRPr="00653EDD">
              <w:rPr>
                <w:rFonts w:ascii="Times New Roman" w:eastAsia="Times New Roman" w:hAnsi="Times New Roman" w:cs="Times New Roman"/>
                <w:sz w:val="24"/>
                <w:szCs w:val="24"/>
                <w:lang w:eastAsia="tr-TR"/>
              </w:rPr>
              <w:t>t</w:t>
            </w:r>
            <w:proofErr w:type="gramEnd"/>
            <w:r w:rsidRPr="00653EDD">
              <w:rPr>
                <w:rFonts w:ascii="Times New Roman" w:eastAsia="Times New Roman" w:hAnsi="Times New Roman" w:cs="Times New Roman"/>
                <w:sz w:val="24"/>
                <w:szCs w:val="24"/>
                <w:lang w:eastAsia="tr-TR"/>
              </w:rPr>
              <w:t>½: 18–32 h</w:t>
            </w:r>
          </w:p>
        </w:tc>
      </w:tr>
      <w:tr w:rsidR="003801F0" w:rsidRPr="00653EDD" w:rsidTr="00D527BB">
        <w:tc>
          <w:tcPr>
            <w:tcW w:w="1843" w:type="dxa"/>
            <w:vMerge/>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60" w:type="dxa"/>
            <w:vMerge/>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c>
          <w:tcPr>
            <w:tcW w:w="1757" w:type="dxa"/>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r w:rsidRPr="00653EDD">
              <w:rPr>
                <w:rFonts w:ascii="Times New Roman" w:eastAsia="Times New Roman" w:hAnsi="Times New Roman" w:cs="Times New Roman"/>
                <w:sz w:val="24"/>
                <w:szCs w:val="24"/>
                <w:lang w:eastAsia="tr-TR"/>
              </w:rPr>
              <w:t> </w:t>
            </w:r>
            <w:r w:rsidRPr="00653EDD">
              <w:rPr>
                <w:rFonts w:ascii="Times New Roman" w:eastAsia="Times New Roman" w:hAnsi="Times New Roman" w:cs="Times New Roman"/>
                <w:sz w:val="24"/>
                <w:szCs w:val="24"/>
                <w:lang w:eastAsia="tr-TR"/>
              </w:rPr>
              <w:t>Duration: 2–3 h</w:t>
            </w:r>
          </w:p>
        </w:tc>
        <w:tc>
          <w:tcPr>
            <w:tcW w:w="1909" w:type="dxa"/>
            <w:vMerge/>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c>
          <w:tcPr>
            <w:tcW w:w="1284" w:type="dxa"/>
            <w:vMerge/>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0" w:type="auto"/>
            <w:vMerge w:val="restart"/>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r w:rsidRPr="00751238">
              <w:rPr>
                <w:rFonts w:ascii="Times New Roman" w:eastAsia="Times New Roman" w:hAnsi="Times New Roman" w:cs="Times New Roman"/>
                <w:sz w:val="20"/>
                <w:szCs w:val="20"/>
                <w:lang w:eastAsia="tr-TR"/>
              </w:rPr>
              <w:t xml:space="preserve">Klinik öncesi ve hayvan verileri, CBD'nin bir P-glikoprotein substratı </w:t>
            </w:r>
            <w:r w:rsidRPr="00751238">
              <w:rPr>
                <w:rFonts w:ascii="Times New Roman" w:eastAsia="Times New Roman" w:hAnsi="Times New Roman" w:cs="Times New Roman"/>
                <w:sz w:val="20"/>
                <w:szCs w:val="20"/>
                <w:lang w:eastAsia="tr-TR"/>
              </w:rPr>
              <w:lastRenderedPageBreak/>
              <w:t>ve inhibitörü olabileceğini düşündürmektedir.</w:t>
            </w:r>
          </w:p>
        </w:tc>
      </w:tr>
      <w:tr w:rsidR="003801F0" w:rsidRPr="00653EDD" w:rsidTr="00D527BB">
        <w:tc>
          <w:tcPr>
            <w:tcW w:w="1843" w:type="dxa"/>
            <w:vMerge/>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60" w:type="dxa"/>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r w:rsidRPr="00751238">
              <w:rPr>
                <w:rFonts w:ascii="Times New Roman" w:eastAsia="Times New Roman" w:hAnsi="Times New Roman" w:cs="Times New Roman"/>
                <w:sz w:val="20"/>
                <w:szCs w:val="20"/>
                <w:lang w:eastAsia="tr-TR"/>
              </w:rPr>
              <w:t>Adenosin alımını inhibe eder</w:t>
            </w:r>
          </w:p>
        </w:tc>
        <w:tc>
          <w:tcPr>
            <w:tcW w:w="1757" w:type="dxa"/>
            <w:shd w:val="clear" w:color="auto" w:fill="DEEAF6" w:themeFill="accent1" w:themeFillTint="33"/>
            <w:vAlign w:val="center"/>
            <w:hideMark/>
          </w:tcPr>
          <w:p w:rsidR="003801F0" w:rsidRPr="00DB2F8D" w:rsidRDefault="003801F0" w:rsidP="00D527BB">
            <w:pPr>
              <w:spacing w:after="0" w:line="240" w:lineRule="auto"/>
              <w:rPr>
                <w:rFonts w:ascii="Times New Roman" w:eastAsia="Times New Roman" w:hAnsi="Times New Roman" w:cs="Times New Roman"/>
                <w:i/>
                <w:sz w:val="24"/>
                <w:szCs w:val="24"/>
                <w:lang w:eastAsia="tr-TR"/>
              </w:rPr>
            </w:pPr>
            <w:r w:rsidRPr="00DB2F8D">
              <w:rPr>
                <w:rFonts w:ascii="Times New Roman" w:eastAsia="Times New Roman" w:hAnsi="Times New Roman" w:cs="Times New Roman"/>
                <w:i/>
                <w:sz w:val="24"/>
                <w:szCs w:val="24"/>
                <w:lang w:eastAsia="tr-TR"/>
              </w:rPr>
              <w:t>Oral:</w:t>
            </w:r>
          </w:p>
        </w:tc>
        <w:tc>
          <w:tcPr>
            <w:tcW w:w="1909" w:type="dxa"/>
            <w:vMerge/>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c>
          <w:tcPr>
            <w:tcW w:w="1284" w:type="dxa"/>
            <w:vMerge/>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0" w:type="auto"/>
            <w:vMerge/>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r>
      <w:tr w:rsidR="003801F0" w:rsidRPr="00653EDD" w:rsidTr="00D527BB">
        <w:tc>
          <w:tcPr>
            <w:tcW w:w="1843" w:type="dxa"/>
            <w:vMerge/>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60" w:type="dxa"/>
            <w:vMerge w:val="restart"/>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r w:rsidRPr="00751238">
              <w:rPr>
                <w:rFonts w:ascii="Times New Roman" w:eastAsia="Times New Roman" w:hAnsi="Times New Roman" w:cs="Times New Roman"/>
                <w:sz w:val="20"/>
                <w:szCs w:val="20"/>
                <w:lang w:eastAsia="tr-TR"/>
              </w:rPr>
              <w:t>FAAH'ı ve proinflamatuar sitokinlerin salınımını ve transkripsiyon faktörlerinin (IL-1β, IL-2, IL-6, IL-8, TNF-α, IFN-γ, CCL3, CCL4, NF-κB) ekspresyonunu inhibe eder</w:t>
            </w:r>
          </w:p>
        </w:tc>
        <w:tc>
          <w:tcPr>
            <w:tcW w:w="1757" w:type="dxa"/>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r w:rsidRPr="00653EDD">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Başlama: saatler</w:t>
            </w:r>
          </w:p>
        </w:tc>
        <w:tc>
          <w:tcPr>
            <w:tcW w:w="1909" w:type="dxa"/>
            <w:vMerge/>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c>
          <w:tcPr>
            <w:tcW w:w="1284" w:type="dxa"/>
            <w:vMerge/>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0" w:type="auto"/>
            <w:vMerge/>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r>
      <w:tr w:rsidR="003801F0" w:rsidRPr="00653EDD" w:rsidTr="00D527BB">
        <w:tc>
          <w:tcPr>
            <w:tcW w:w="1843" w:type="dxa"/>
            <w:vMerge/>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60" w:type="dxa"/>
            <w:vMerge/>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c>
          <w:tcPr>
            <w:tcW w:w="1757" w:type="dxa"/>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r w:rsidRPr="00653EDD">
              <w:rPr>
                <w:rFonts w:ascii="Times New Roman" w:eastAsia="Times New Roman" w:hAnsi="Times New Roman" w:cs="Times New Roman"/>
                <w:sz w:val="24"/>
                <w:szCs w:val="24"/>
                <w:lang w:eastAsia="tr-TR"/>
              </w:rPr>
              <w:t> </w:t>
            </w:r>
            <w:r w:rsidRPr="00653EDD">
              <w:rPr>
                <w:rFonts w:ascii="Times New Roman" w:eastAsia="Times New Roman" w:hAnsi="Times New Roman" w:cs="Times New Roman"/>
                <w:sz w:val="24"/>
                <w:szCs w:val="24"/>
                <w:lang w:eastAsia="tr-TR"/>
              </w:rPr>
              <w:t>Bi</w:t>
            </w:r>
            <w:r>
              <w:rPr>
                <w:rFonts w:ascii="Times New Roman" w:eastAsia="Times New Roman" w:hAnsi="Times New Roman" w:cs="Times New Roman"/>
                <w:sz w:val="24"/>
                <w:szCs w:val="24"/>
                <w:lang w:eastAsia="tr-TR"/>
              </w:rPr>
              <w:t>yoyararlılık</w:t>
            </w:r>
            <w:r w:rsidRPr="00653EDD">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Pr="00653EDD">
              <w:rPr>
                <w:rFonts w:ascii="Times New Roman" w:eastAsia="Times New Roman" w:hAnsi="Times New Roman" w:cs="Times New Roman"/>
                <w:sz w:val="24"/>
                <w:szCs w:val="24"/>
                <w:lang w:eastAsia="tr-TR"/>
              </w:rPr>
              <w:t>6%–33%</w:t>
            </w:r>
          </w:p>
        </w:tc>
        <w:tc>
          <w:tcPr>
            <w:tcW w:w="1909" w:type="dxa"/>
            <w:vMerge/>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c>
          <w:tcPr>
            <w:tcW w:w="1284" w:type="dxa"/>
            <w:vMerge/>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0" w:type="auto"/>
            <w:vMerge/>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r>
      <w:tr w:rsidR="003801F0" w:rsidRPr="00653EDD" w:rsidTr="00D527BB">
        <w:tc>
          <w:tcPr>
            <w:tcW w:w="1843" w:type="dxa"/>
            <w:vMerge/>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60" w:type="dxa"/>
            <w:vMerge/>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c>
          <w:tcPr>
            <w:tcW w:w="1757" w:type="dxa"/>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Süre</w:t>
            </w:r>
            <w:r w:rsidRPr="00653EDD">
              <w:rPr>
                <w:rFonts w:ascii="Times New Roman" w:eastAsia="Times New Roman" w:hAnsi="Times New Roman" w:cs="Times New Roman"/>
                <w:sz w:val="24"/>
                <w:szCs w:val="24"/>
                <w:lang w:eastAsia="tr-TR"/>
              </w:rPr>
              <w:t>: 12–24 h</w:t>
            </w:r>
          </w:p>
        </w:tc>
        <w:tc>
          <w:tcPr>
            <w:tcW w:w="1909" w:type="dxa"/>
            <w:vMerge/>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c>
          <w:tcPr>
            <w:tcW w:w="1284" w:type="dxa"/>
            <w:vMerge/>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0" w:type="auto"/>
            <w:vMerge/>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r>
      <w:tr w:rsidR="003801F0" w:rsidRPr="00653EDD" w:rsidTr="00D527BB">
        <w:tc>
          <w:tcPr>
            <w:tcW w:w="1843" w:type="dxa"/>
            <w:vMerge/>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60" w:type="dxa"/>
            <w:vMerge/>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c>
          <w:tcPr>
            <w:tcW w:w="1757" w:type="dxa"/>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r w:rsidRPr="00DB2F8D">
              <w:rPr>
                <w:rFonts w:ascii="Times New Roman" w:eastAsia="Times New Roman" w:hAnsi="Times New Roman" w:cs="Times New Roman"/>
                <w:i/>
                <w:sz w:val="24"/>
                <w:szCs w:val="24"/>
                <w:lang w:eastAsia="tr-TR"/>
              </w:rPr>
              <w:t>Transdermal:</w:t>
            </w:r>
            <w:r w:rsidRPr="00653ED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bilinmiyor</w:t>
            </w:r>
          </w:p>
        </w:tc>
        <w:tc>
          <w:tcPr>
            <w:tcW w:w="1909" w:type="dxa"/>
            <w:vMerge/>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c>
          <w:tcPr>
            <w:tcW w:w="1284" w:type="dxa"/>
            <w:vMerge/>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0" w:type="auto"/>
            <w:vMerge/>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r>
      <w:tr w:rsidR="003801F0" w:rsidRPr="00653EDD" w:rsidTr="00D527BB">
        <w:tc>
          <w:tcPr>
            <w:tcW w:w="1843" w:type="dxa"/>
            <w:vMerge/>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60" w:type="dxa"/>
            <w:shd w:val="clear" w:color="auto" w:fill="DEEAF6" w:themeFill="accent1" w:themeFillTint="33"/>
            <w:vAlign w:val="center"/>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r w:rsidRPr="00751238">
              <w:rPr>
                <w:rFonts w:ascii="Times New Roman" w:eastAsia="Times New Roman" w:hAnsi="Times New Roman" w:cs="Times New Roman"/>
                <w:sz w:val="20"/>
                <w:szCs w:val="20"/>
                <w:lang w:eastAsia="tr-TR"/>
              </w:rPr>
              <w:t xml:space="preserve">Diğer reseptörleri allosterik olarak modüle eder: α1-adrenoseptörler, dopamin D2, </w:t>
            </w:r>
            <w:proofErr w:type="gramStart"/>
            <w:r w:rsidRPr="00751238">
              <w:rPr>
                <w:rFonts w:ascii="Times New Roman" w:eastAsia="Times New Roman" w:hAnsi="Times New Roman" w:cs="Times New Roman"/>
                <w:sz w:val="20"/>
                <w:szCs w:val="20"/>
                <w:lang w:eastAsia="tr-TR"/>
              </w:rPr>
              <w:t>GABAA,</w:t>
            </w:r>
            <w:proofErr w:type="gramEnd"/>
            <w:r w:rsidRPr="00751238">
              <w:rPr>
                <w:rFonts w:ascii="Times New Roman" w:eastAsia="Times New Roman" w:hAnsi="Times New Roman" w:cs="Times New Roman"/>
                <w:sz w:val="20"/>
                <w:szCs w:val="20"/>
                <w:lang w:eastAsia="tr-TR"/>
              </w:rPr>
              <w:t xml:space="preserve"> μ- ve δ-opioid reseptörleri Rekabetçi olmayan antagonizma ile kalsiyum, potasyum ve sodyum kanallarını inhibe eder</w:t>
            </w:r>
          </w:p>
        </w:tc>
        <w:tc>
          <w:tcPr>
            <w:tcW w:w="1757" w:type="dxa"/>
            <w:vMerge w:val="restart"/>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r w:rsidRPr="00DB2F8D">
              <w:rPr>
                <w:rFonts w:ascii="Times New Roman" w:eastAsia="Times New Roman" w:hAnsi="Times New Roman" w:cs="Times New Roman"/>
                <w:i/>
                <w:sz w:val="24"/>
                <w:szCs w:val="24"/>
                <w:lang w:eastAsia="tr-TR"/>
              </w:rPr>
              <w:t>Transrektal:</w:t>
            </w:r>
            <w:r>
              <w:rPr>
                <w:rFonts w:ascii="Times New Roman" w:eastAsia="Times New Roman" w:hAnsi="Times New Roman" w:cs="Times New Roman"/>
                <w:sz w:val="24"/>
                <w:szCs w:val="24"/>
                <w:lang w:eastAsia="tr-TR"/>
              </w:rPr>
              <w:t xml:space="preserve"> bilinmiyor </w:t>
            </w:r>
          </w:p>
        </w:tc>
        <w:tc>
          <w:tcPr>
            <w:tcW w:w="1909" w:type="dxa"/>
            <w:vMerge/>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c>
          <w:tcPr>
            <w:tcW w:w="1284" w:type="dxa"/>
            <w:vMerge/>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0" w:type="auto"/>
            <w:vMerge/>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r>
      <w:tr w:rsidR="003801F0" w:rsidRPr="00653EDD" w:rsidTr="00D527BB">
        <w:tc>
          <w:tcPr>
            <w:tcW w:w="1843" w:type="dxa"/>
            <w:vMerge/>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60" w:type="dxa"/>
            <w:shd w:val="clear" w:color="auto" w:fill="DEEAF6" w:themeFill="accent1" w:themeFillTint="33"/>
            <w:vAlign w:val="center"/>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c>
          <w:tcPr>
            <w:tcW w:w="1757" w:type="dxa"/>
            <w:vMerge/>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909" w:type="dxa"/>
            <w:vMerge/>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c>
          <w:tcPr>
            <w:tcW w:w="1284" w:type="dxa"/>
            <w:vMerge/>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0" w:type="auto"/>
            <w:vMerge/>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r>
      <w:tr w:rsidR="003801F0" w:rsidRPr="00653EDD" w:rsidTr="00D527BB">
        <w:tc>
          <w:tcPr>
            <w:tcW w:w="1843" w:type="dxa"/>
            <w:vMerge/>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60" w:type="dxa"/>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r w:rsidRPr="00751238">
              <w:rPr>
                <w:rFonts w:ascii="Times New Roman" w:eastAsia="Times New Roman" w:hAnsi="Times New Roman" w:cs="Times New Roman"/>
                <w:sz w:val="20"/>
                <w:szCs w:val="20"/>
                <w:lang w:eastAsia="tr-TR"/>
              </w:rPr>
              <w:t>Serbest radikal çöpçü</w:t>
            </w:r>
          </w:p>
        </w:tc>
        <w:tc>
          <w:tcPr>
            <w:tcW w:w="1757" w:type="dxa"/>
            <w:vMerge/>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909" w:type="dxa"/>
            <w:vMerge/>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c>
          <w:tcPr>
            <w:tcW w:w="1284" w:type="dxa"/>
            <w:vMerge/>
            <w:shd w:val="clear" w:color="auto" w:fill="DEEAF6" w:themeFill="accent1"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0" w:type="auto"/>
            <w:vMerge/>
            <w:shd w:val="clear" w:color="auto" w:fill="DEEAF6" w:themeFill="accent1" w:themeFillTint="33"/>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r>
      <w:tr w:rsidR="003801F0" w:rsidRPr="00653EDD" w:rsidTr="00D527BB">
        <w:tc>
          <w:tcPr>
            <w:tcW w:w="1843" w:type="dxa"/>
            <w:vMerge w:val="restart"/>
            <w:shd w:val="clear" w:color="auto" w:fill="FCEBE0"/>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r w:rsidRPr="00653EDD">
              <w:rPr>
                <w:rFonts w:ascii="Times New Roman" w:eastAsia="Times New Roman" w:hAnsi="Times New Roman" w:cs="Times New Roman"/>
                <w:sz w:val="24"/>
                <w:szCs w:val="24"/>
                <w:lang w:eastAsia="tr-TR"/>
              </w:rPr>
              <w:t> </w:t>
            </w:r>
            <w:r w:rsidRPr="0061116D">
              <w:rPr>
                <w:rFonts w:ascii="Times New Roman" w:eastAsia="Times New Roman" w:hAnsi="Times New Roman" w:cs="Times New Roman"/>
                <w:b/>
                <w:sz w:val="24"/>
                <w:szCs w:val="24"/>
                <w:lang w:eastAsia="tr-TR"/>
              </w:rPr>
              <w:t>THC</w:t>
            </w:r>
          </w:p>
        </w:tc>
        <w:tc>
          <w:tcPr>
            <w:tcW w:w="1760" w:type="dxa"/>
            <w:vMerge w:val="restart"/>
            <w:shd w:val="clear" w:color="auto" w:fill="FCEEE4"/>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r w:rsidRPr="00751238">
              <w:rPr>
                <w:rFonts w:ascii="Times New Roman" w:eastAsia="Times New Roman" w:hAnsi="Times New Roman" w:cs="Times New Roman"/>
                <w:sz w:val="20"/>
                <w:szCs w:val="20"/>
                <w:lang w:eastAsia="tr-TR"/>
              </w:rPr>
              <w:t>CB1 reseptörlerine bağlanır</w:t>
            </w:r>
          </w:p>
        </w:tc>
        <w:tc>
          <w:tcPr>
            <w:tcW w:w="1757" w:type="dxa"/>
            <w:shd w:val="clear" w:color="auto" w:fill="FCEEE4"/>
            <w:vAlign w:val="center"/>
            <w:hideMark/>
          </w:tcPr>
          <w:p w:rsidR="003801F0" w:rsidRPr="00DB2F8D" w:rsidRDefault="003801F0" w:rsidP="00D527BB">
            <w:pPr>
              <w:spacing w:after="0" w:line="240" w:lineRule="auto"/>
              <w:rPr>
                <w:rFonts w:ascii="Times New Roman" w:eastAsia="Times New Roman" w:hAnsi="Times New Roman" w:cs="Times New Roman"/>
                <w:i/>
                <w:sz w:val="24"/>
                <w:szCs w:val="24"/>
                <w:lang w:eastAsia="tr-TR"/>
              </w:rPr>
            </w:pPr>
            <w:r w:rsidRPr="00DB2F8D">
              <w:rPr>
                <w:rFonts w:ascii="Times New Roman" w:eastAsia="Times New Roman" w:hAnsi="Times New Roman" w:cs="Times New Roman"/>
                <w:i/>
                <w:sz w:val="24"/>
                <w:szCs w:val="24"/>
                <w:lang w:eastAsia="tr-TR"/>
              </w:rPr>
              <w:t>Inhalasyon:</w:t>
            </w:r>
          </w:p>
        </w:tc>
        <w:tc>
          <w:tcPr>
            <w:tcW w:w="1909" w:type="dxa"/>
            <w:vMerge w:val="restart"/>
            <w:shd w:val="clear" w:color="auto" w:fill="FCEEE4"/>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r w:rsidRPr="00751238">
              <w:rPr>
                <w:rFonts w:ascii="Times New Roman" w:eastAsia="Times New Roman" w:hAnsi="Times New Roman" w:cs="Times New Roman"/>
                <w:sz w:val="20"/>
                <w:szCs w:val="20"/>
                <w:lang w:eastAsia="tr-TR"/>
              </w:rPr>
              <w:t>Hepatik, CYP2C9, 2C19, 2D6 ve 3A4 yoluyla; UGT1A9 ve UGT2B7; glukuronidasyona uğrar</w:t>
            </w:r>
          </w:p>
        </w:tc>
        <w:tc>
          <w:tcPr>
            <w:tcW w:w="1284" w:type="dxa"/>
            <w:vMerge w:val="restart"/>
            <w:shd w:val="clear" w:color="auto" w:fill="FCEEE4"/>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r w:rsidRPr="00751238">
              <w:rPr>
                <w:rFonts w:ascii="Times New Roman" w:eastAsia="Times New Roman" w:hAnsi="Times New Roman" w:cs="Times New Roman"/>
                <w:sz w:val="20"/>
                <w:szCs w:val="20"/>
                <w:lang w:eastAsia="tr-TR"/>
              </w:rPr>
              <w:t>Zamana bağlı, yağlı dokular ve yüksek perfüze</w:t>
            </w:r>
          </w:p>
          <w:p w:rsidR="003801F0" w:rsidRPr="00751238" w:rsidRDefault="003801F0" w:rsidP="00D527BB">
            <w:pPr>
              <w:spacing w:after="0" w:line="240" w:lineRule="auto"/>
              <w:rPr>
                <w:rFonts w:ascii="Times New Roman" w:eastAsia="Times New Roman" w:hAnsi="Times New Roman" w:cs="Times New Roman"/>
                <w:sz w:val="20"/>
                <w:szCs w:val="20"/>
                <w:lang w:eastAsia="tr-TR"/>
              </w:rPr>
            </w:pPr>
            <w:proofErr w:type="gramStart"/>
            <w:r w:rsidRPr="00751238">
              <w:rPr>
                <w:rFonts w:ascii="Times New Roman" w:eastAsia="Times New Roman" w:hAnsi="Times New Roman" w:cs="Times New Roman"/>
                <w:sz w:val="20"/>
                <w:szCs w:val="20"/>
                <w:lang w:eastAsia="tr-TR"/>
              </w:rPr>
              <w:t>beyin</w:t>
            </w:r>
            <w:proofErr w:type="gramEnd"/>
            <w:r w:rsidRPr="00751238">
              <w:rPr>
                <w:rFonts w:ascii="Times New Roman" w:eastAsia="Times New Roman" w:hAnsi="Times New Roman" w:cs="Times New Roman"/>
                <w:sz w:val="20"/>
                <w:szCs w:val="20"/>
                <w:lang w:eastAsia="tr-TR"/>
              </w:rPr>
              <w:t>, kalp, akciğer ve karaciğer gibi organlar</w:t>
            </w:r>
          </w:p>
        </w:tc>
        <w:tc>
          <w:tcPr>
            <w:tcW w:w="0" w:type="auto"/>
            <w:shd w:val="clear" w:color="auto" w:fill="FCEEE4"/>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r w:rsidRPr="00751238">
              <w:rPr>
                <w:rFonts w:ascii="Times New Roman" w:eastAsia="Times New Roman" w:hAnsi="Times New Roman" w:cs="Times New Roman"/>
                <w:sz w:val="20"/>
                <w:szCs w:val="20"/>
                <w:lang w:eastAsia="tr-TR"/>
              </w:rPr>
              <w:t>Renal: 20%</w:t>
            </w:r>
          </w:p>
        </w:tc>
      </w:tr>
      <w:tr w:rsidR="003801F0" w:rsidRPr="00653EDD" w:rsidTr="00D527BB">
        <w:tc>
          <w:tcPr>
            <w:tcW w:w="1843" w:type="dxa"/>
            <w:vMerge/>
            <w:shd w:val="clear" w:color="auto" w:fill="FCEBE0"/>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60" w:type="dxa"/>
            <w:vMerge/>
            <w:shd w:val="clear" w:color="auto" w:fill="FCEEE4"/>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57" w:type="dxa"/>
            <w:shd w:val="clear" w:color="auto" w:fill="FCEEE4"/>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r w:rsidRPr="00653EDD">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Başlama</w:t>
            </w:r>
            <w:r w:rsidRPr="00653ED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saniyeler-dakikalar</w:t>
            </w:r>
          </w:p>
        </w:tc>
        <w:tc>
          <w:tcPr>
            <w:tcW w:w="1909" w:type="dxa"/>
            <w:vMerge/>
            <w:shd w:val="clear" w:color="auto" w:fill="FCEEE4"/>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284" w:type="dxa"/>
            <w:vMerge/>
            <w:shd w:val="clear" w:color="auto" w:fill="FCEEE4"/>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c>
          <w:tcPr>
            <w:tcW w:w="0" w:type="auto"/>
            <w:shd w:val="clear" w:color="auto" w:fill="FCEEE4"/>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r w:rsidRPr="00751238">
              <w:rPr>
                <w:rFonts w:ascii="Times New Roman" w:eastAsia="Times New Roman" w:hAnsi="Times New Roman" w:cs="Times New Roman"/>
                <w:sz w:val="20"/>
                <w:szCs w:val="20"/>
                <w:lang w:eastAsia="tr-TR"/>
              </w:rPr>
              <w:t>Feces: 65%</w:t>
            </w:r>
          </w:p>
        </w:tc>
      </w:tr>
      <w:tr w:rsidR="003801F0" w:rsidRPr="00653EDD" w:rsidTr="00D527BB">
        <w:tc>
          <w:tcPr>
            <w:tcW w:w="1843" w:type="dxa"/>
            <w:vMerge/>
            <w:shd w:val="clear" w:color="auto" w:fill="FCEBE0"/>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60" w:type="dxa"/>
            <w:vMerge/>
            <w:shd w:val="clear" w:color="auto" w:fill="FCEEE4"/>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57" w:type="dxa"/>
            <w:shd w:val="clear" w:color="auto" w:fill="FCEEE4"/>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r w:rsidRPr="00653EDD">
              <w:rPr>
                <w:rFonts w:ascii="Times New Roman" w:eastAsia="Times New Roman" w:hAnsi="Times New Roman" w:cs="Times New Roman"/>
                <w:sz w:val="24"/>
                <w:szCs w:val="24"/>
                <w:lang w:eastAsia="tr-TR"/>
              </w:rPr>
              <w:t> </w:t>
            </w:r>
            <w:r w:rsidRPr="00653EDD">
              <w:rPr>
                <w:rFonts w:ascii="Times New Roman" w:eastAsia="Times New Roman" w:hAnsi="Times New Roman" w:cs="Times New Roman"/>
                <w:sz w:val="24"/>
                <w:szCs w:val="24"/>
                <w:lang w:eastAsia="tr-TR"/>
              </w:rPr>
              <w:t>Bi</w:t>
            </w:r>
            <w:r>
              <w:rPr>
                <w:rFonts w:ascii="Times New Roman" w:eastAsia="Times New Roman" w:hAnsi="Times New Roman" w:cs="Times New Roman"/>
                <w:sz w:val="24"/>
                <w:szCs w:val="24"/>
                <w:lang w:eastAsia="tr-TR"/>
              </w:rPr>
              <w:t>y</w:t>
            </w:r>
            <w:r w:rsidRPr="00653EDD">
              <w:rPr>
                <w:rFonts w:ascii="Times New Roman" w:eastAsia="Times New Roman" w:hAnsi="Times New Roman" w:cs="Times New Roman"/>
                <w:sz w:val="24"/>
                <w:szCs w:val="24"/>
                <w:lang w:eastAsia="tr-TR"/>
              </w:rPr>
              <w:t>oa</w:t>
            </w:r>
            <w:r>
              <w:rPr>
                <w:rFonts w:ascii="Times New Roman" w:eastAsia="Times New Roman" w:hAnsi="Times New Roman" w:cs="Times New Roman"/>
                <w:sz w:val="24"/>
                <w:szCs w:val="24"/>
                <w:lang w:eastAsia="tr-TR"/>
              </w:rPr>
              <w:t>yararlılık</w:t>
            </w:r>
            <w:r w:rsidRPr="00653EDD">
              <w:rPr>
                <w:rFonts w:ascii="Times New Roman" w:eastAsia="Times New Roman" w:hAnsi="Times New Roman" w:cs="Times New Roman"/>
                <w:sz w:val="24"/>
                <w:szCs w:val="24"/>
                <w:lang w:eastAsia="tr-TR"/>
              </w:rPr>
              <w:t>: 2%–56%</w:t>
            </w:r>
          </w:p>
        </w:tc>
        <w:tc>
          <w:tcPr>
            <w:tcW w:w="1909" w:type="dxa"/>
            <w:vMerge/>
            <w:shd w:val="clear" w:color="auto" w:fill="FCEEE4"/>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284" w:type="dxa"/>
            <w:vMerge/>
            <w:shd w:val="clear" w:color="auto" w:fill="FCEEE4"/>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c>
          <w:tcPr>
            <w:tcW w:w="0" w:type="auto"/>
            <w:shd w:val="clear" w:color="auto" w:fill="FCEEE4"/>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roofErr w:type="gramStart"/>
            <w:r w:rsidRPr="00751238">
              <w:rPr>
                <w:rFonts w:ascii="Times New Roman" w:eastAsia="Times New Roman" w:hAnsi="Times New Roman" w:cs="Times New Roman"/>
                <w:sz w:val="20"/>
                <w:szCs w:val="20"/>
                <w:lang w:eastAsia="tr-TR"/>
              </w:rPr>
              <w:t>t</w:t>
            </w:r>
            <w:proofErr w:type="gramEnd"/>
            <w:r w:rsidRPr="00751238">
              <w:rPr>
                <w:rFonts w:ascii="Times New Roman" w:eastAsia="Times New Roman" w:hAnsi="Times New Roman" w:cs="Times New Roman"/>
                <w:sz w:val="20"/>
                <w:szCs w:val="20"/>
                <w:lang w:eastAsia="tr-TR"/>
              </w:rPr>
              <w:t>½: 20–30 h</w:t>
            </w:r>
          </w:p>
        </w:tc>
      </w:tr>
      <w:tr w:rsidR="003801F0" w:rsidRPr="00653EDD" w:rsidTr="00D527BB">
        <w:tc>
          <w:tcPr>
            <w:tcW w:w="1843" w:type="dxa"/>
            <w:vMerge/>
            <w:shd w:val="clear" w:color="auto" w:fill="FCEBE0"/>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60" w:type="dxa"/>
            <w:vMerge/>
            <w:shd w:val="clear" w:color="auto" w:fill="FCEEE4"/>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57" w:type="dxa"/>
            <w:shd w:val="clear" w:color="auto" w:fill="FCEEE4"/>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r w:rsidRPr="00653EDD">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Süre</w:t>
            </w:r>
            <w:r w:rsidRPr="00653EDD">
              <w:rPr>
                <w:rFonts w:ascii="Times New Roman" w:eastAsia="Times New Roman" w:hAnsi="Times New Roman" w:cs="Times New Roman"/>
                <w:sz w:val="24"/>
                <w:szCs w:val="24"/>
                <w:lang w:eastAsia="tr-TR"/>
              </w:rPr>
              <w:t>: 2–3 h</w:t>
            </w:r>
          </w:p>
        </w:tc>
        <w:tc>
          <w:tcPr>
            <w:tcW w:w="1909" w:type="dxa"/>
            <w:vMerge/>
            <w:shd w:val="clear" w:color="auto" w:fill="FCEEE4"/>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284" w:type="dxa"/>
            <w:vMerge/>
            <w:shd w:val="clear" w:color="auto" w:fill="FCEEE4"/>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p>
        </w:tc>
        <w:tc>
          <w:tcPr>
            <w:tcW w:w="0" w:type="auto"/>
            <w:vMerge w:val="restart"/>
            <w:shd w:val="clear" w:color="auto" w:fill="FCEEE4"/>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r w:rsidRPr="00751238">
              <w:rPr>
                <w:rFonts w:ascii="Times New Roman" w:eastAsia="Times New Roman" w:hAnsi="Times New Roman" w:cs="Times New Roman"/>
                <w:sz w:val="20"/>
                <w:szCs w:val="20"/>
                <w:lang w:eastAsia="tr-TR"/>
              </w:rPr>
              <w:t>THC, hücre zarı proteini P-glikoproteinin bir substratı ve inhibitörü olabilir.</w:t>
            </w:r>
          </w:p>
        </w:tc>
      </w:tr>
      <w:tr w:rsidR="003801F0" w:rsidRPr="00653EDD" w:rsidTr="00D527BB">
        <w:tc>
          <w:tcPr>
            <w:tcW w:w="1843" w:type="dxa"/>
            <w:vMerge/>
            <w:shd w:val="clear" w:color="auto" w:fill="FCEBE0"/>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60"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57" w:type="dxa"/>
            <w:shd w:val="clear" w:color="auto" w:fill="FCEEE4"/>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r w:rsidRPr="00653EDD">
              <w:rPr>
                <w:rFonts w:ascii="Times New Roman" w:eastAsia="Times New Roman" w:hAnsi="Times New Roman" w:cs="Times New Roman"/>
                <w:sz w:val="24"/>
                <w:szCs w:val="24"/>
                <w:lang w:eastAsia="tr-TR"/>
              </w:rPr>
              <w:t>Oral:</w:t>
            </w:r>
          </w:p>
        </w:tc>
        <w:tc>
          <w:tcPr>
            <w:tcW w:w="1909" w:type="dxa"/>
            <w:vMerge/>
            <w:shd w:val="clear" w:color="auto" w:fill="FCEEE4"/>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284" w:type="dxa"/>
            <w:vMerge w:val="restart"/>
            <w:shd w:val="clear" w:color="auto" w:fill="FCEEE4"/>
            <w:vAlign w:val="center"/>
            <w:hideMark/>
          </w:tcPr>
          <w:p w:rsidR="003801F0" w:rsidRPr="00751238" w:rsidRDefault="003801F0" w:rsidP="00D527BB">
            <w:pPr>
              <w:spacing w:after="0" w:line="240" w:lineRule="auto"/>
              <w:rPr>
                <w:rFonts w:ascii="Times New Roman" w:eastAsia="Times New Roman" w:hAnsi="Times New Roman" w:cs="Times New Roman"/>
                <w:sz w:val="20"/>
                <w:szCs w:val="20"/>
                <w:lang w:eastAsia="tr-TR"/>
              </w:rPr>
            </w:pPr>
            <w:r w:rsidRPr="00751238">
              <w:rPr>
                <w:rFonts w:ascii="Times New Roman" w:eastAsia="Times New Roman" w:hAnsi="Times New Roman" w:cs="Times New Roman"/>
                <w:sz w:val="20"/>
                <w:szCs w:val="20"/>
                <w:lang w:eastAsia="tr-TR"/>
              </w:rPr>
              <w:t>Protein bağlama: %97</w:t>
            </w:r>
          </w:p>
        </w:tc>
        <w:tc>
          <w:tcPr>
            <w:tcW w:w="0" w:type="auto"/>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r>
      <w:tr w:rsidR="003801F0" w:rsidRPr="00653EDD" w:rsidTr="00D527BB">
        <w:tc>
          <w:tcPr>
            <w:tcW w:w="1843" w:type="dxa"/>
            <w:vMerge/>
            <w:shd w:val="clear" w:color="auto" w:fill="FCEBE0"/>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60"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57" w:type="dxa"/>
            <w:shd w:val="clear" w:color="auto" w:fill="FCEEE4"/>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r w:rsidRPr="00653EDD">
              <w:rPr>
                <w:rFonts w:ascii="Times New Roman" w:eastAsia="Times New Roman" w:hAnsi="Times New Roman" w:cs="Times New Roman"/>
                <w:sz w:val="24"/>
                <w:szCs w:val="24"/>
                <w:lang w:eastAsia="tr-TR"/>
              </w:rPr>
              <w:t> </w:t>
            </w:r>
            <w:r w:rsidRPr="00DE3679">
              <w:rPr>
                <w:rFonts w:ascii="Times New Roman" w:eastAsia="Times New Roman" w:hAnsi="Times New Roman" w:cs="Times New Roman"/>
                <w:sz w:val="24"/>
                <w:szCs w:val="24"/>
                <w:shd w:val="clear" w:color="auto" w:fill="FCEEE4"/>
                <w:lang w:eastAsia="tr-TR"/>
              </w:rPr>
              <w:t>Başlama: 30 dk–2 h</w:t>
            </w:r>
          </w:p>
        </w:tc>
        <w:tc>
          <w:tcPr>
            <w:tcW w:w="1909"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284" w:type="dxa"/>
            <w:vMerge/>
            <w:shd w:val="clear" w:color="auto" w:fill="FBE4D5" w:themeFill="accent2"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r>
      <w:tr w:rsidR="003801F0" w:rsidRPr="00653EDD" w:rsidTr="00D527BB">
        <w:tc>
          <w:tcPr>
            <w:tcW w:w="1843" w:type="dxa"/>
            <w:vMerge/>
            <w:shd w:val="clear" w:color="auto" w:fill="FCEBE0"/>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60"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57" w:type="dxa"/>
            <w:shd w:val="clear" w:color="auto" w:fill="FCEEE4"/>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r w:rsidRPr="00653EDD">
              <w:rPr>
                <w:rFonts w:ascii="Times New Roman" w:eastAsia="Times New Roman" w:hAnsi="Times New Roman" w:cs="Times New Roman"/>
                <w:sz w:val="24"/>
                <w:szCs w:val="24"/>
                <w:lang w:eastAsia="tr-TR"/>
              </w:rPr>
              <w:t> </w:t>
            </w:r>
            <w:r w:rsidRPr="00653EDD">
              <w:rPr>
                <w:rFonts w:ascii="Times New Roman" w:eastAsia="Times New Roman" w:hAnsi="Times New Roman" w:cs="Times New Roman"/>
                <w:sz w:val="24"/>
                <w:szCs w:val="24"/>
                <w:lang w:eastAsia="tr-TR"/>
              </w:rPr>
              <w:t>Bi</w:t>
            </w:r>
            <w:r>
              <w:rPr>
                <w:rFonts w:ascii="Times New Roman" w:eastAsia="Times New Roman" w:hAnsi="Times New Roman" w:cs="Times New Roman"/>
                <w:sz w:val="24"/>
                <w:szCs w:val="24"/>
                <w:lang w:eastAsia="tr-TR"/>
              </w:rPr>
              <w:t>y</w:t>
            </w:r>
            <w:r w:rsidRPr="00653EDD">
              <w:rPr>
                <w:rFonts w:ascii="Times New Roman" w:eastAsia="Times New Roman" w:hAnsi="Times New Roman" w:cs="Times New Roman"/>
                <w:sz w:val="24"/>
                <w:szCs w:val="24"/>
                <w:lang w:eastAsia="tr-TR"/>
              </w:rPr>
              <w:t>o</w:t>
            </w:r>
            <w:r>
              <w:rPr>
                <w:rFonts w:ascii="Times New Roman" w:eastAsia="Times New Roman" w:hAnsi="Times New Roman" w:cs="Times New Roman"/>
                <w:sz w:val="24"/>
                <w:szCs w:val="24"/>
                <w:lang w:eastAsia="tr-TR"/>
              </w:rPr>
              <w:t>yararlılık</w:t>
            </w:r>
            <w:r w:rsidRPr="00653EDD">
              <w:rPr>
                <w:rFonts w:ascii="Times New Roman" w:eastAsia="Times New Roman" w:hAnsi="Times New Roman" w:cs="Times New Roman"/>
                <w:sz w:val="24"/>
                <w:szCs w:val="24"/>
                <w:lang w:eastAsia="tr-TR"/>
              </w:rPr>
              <w:t>: 4%–20%</w:t>
            </w:r>
          </w:p>
        </w:tc>
        <w:tc>
          <w:tcPr>
            <w:tcW w:w="1909"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284" w:type="dxa"/>
            <w:vMerge/>
            <w:shd w:val="clear" w:color="auto" w:fill="FBE4D5" w:themeFill="accent2"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r>
      <w:tr w:rsidR="003801F0" w:rsidRPr="00653EDD" w:rsidTr="00D527BB">
        <w:tc>
          <w:tcPr>
            <w:tcW w:w="1843" w:type="dxa"/>
            <w:vMerge/>
            <w:shd w:val="clear" w:color="auto" w:fill="FCEBE0"/>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60"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57" w:type="dxa"/>
            <w:shd w:val="clear" w:color="auto" w:fill="FCEEE4"/>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r w:rsidRPr="00653EDD">
              <w:rPr>
                <w:rFonts w:ascii="Times New Roman" w:eastAsia="Times New Roman" w:hAnsi="Times New Roman" w:cs="Times New Roman"/>
                <w:sz w:val="24"/>
                <w:szCs w:val="24"/>
                <w:lang w:eastAsia="tr-TR"/>
              </w:rPr>
              <w:t> </w:t>
            </w:r>
            <w:r w:rsidRPr="00653EDD">
              <w:rPr>
                <w:rFonts w:ascii="Times New Roman" w:eastAsia="Times New Roman" w:hAnsi="Times New Roman" w:cs="Times New Roman"/>
                <w:sz w:val="24"/>
                <w:szCs w:val="24"/>
                <w:lang w:eastAsia="tr-TR"/>
              </w:rPr>
              <w:t>Duration: 5–8 h</w:t>
            </w:r>
          </w:p>
        </w:tc>
        <w:tc>
          <w:tcPr>
            <w:tcW w:w="1909"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284" w:type="dxa"/>
            <w:vMerge/>
            <w:shd w:val="clear" w:color="auto" w:fill="FBE4D5" w:themeFill="accent2"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r>
      <w:tr w:rsidR="003801F0" w:rsidRPr="00653EDD" w:rsidTr="00D527BB">
        <w:tc>
          <w:tcPr>
            <w:tcW w:w="1843" w:type="dxa"/>
            <w:vMerge/>
            <w:shd w:val="clear" w:color="auto" w:fill="FCEBE0"/>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60"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57" w:type="dxa"/>
            <w:shd w:val="clear" w:color="auto" w:fill="FCEEE4"/>
            <w:vAlign w:val="center"/>
            <w:hideMark/>
          </w:tcPr>
          <w:p w:rsidR="003801F0" w:rsidRPr="00DB2F8D" w:rsidRDefault="003801F0" w:rsidP="00D527BB">
            <w:pPr>
              <w:spacing w:after="0" w:line="240" w:lineRule="auto"/>
              <w:rPr>
                <w:rFonts w:ascii="Times New Roman" w:eastAsia="Times New Roman" w:hAnsi="Times New Roman" w:cs="Times New Roman"/>
                <w:i/>
                <w:sz w:val="24"/>
                <w:szCs w:val="24"/>
                <w:lang w:eastAsia="tr-TR"/>
              </w:rPr>
            </w:pPr>
            <w:r w:rsidRPr="00DB2F8D">
              <w:rPr>
                <w:rFonts w:ascii="Times New Roman" w:eastAsia="Times New Roman" w:hAnsi="Times New Roman" w:cs="Times New Roman"/>
                <w:i/>
                <w:sz w:val="24"/>
                <w:szCs w:val="24"/>
                <w:lang w:eastAsia="tr-TR"/>
              </w:rPr>
              <w:t>Transmukozal:</w:t>
            </w:r>
          </w:p>
        </w:tc>
        <w:tc>
          <w:tcPr>
            <w:tcW w:w="1909"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284" w:type="dxa"/>
            <w:vMerge/>
            <w:shd w:val="clear" w:color="auto" w:fill="FBE4D5" w:themeFill="accent2"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r>
      <w:tr w:rsidR="003801F0" w:rsidRPr="00653EDD" w:rsidTr="00D527BB">
        <w:tc>
          <w:tcPr>
            <w:tcW w:w="1843" w:type="dxa"/>
            <w:vMerge/>
            <w:shd w:val="clear" w:color="auto" w:fill="FCEBE0"/>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60"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57" w:type="dxa"/>
            <w:shd w:val="clear" w:color="auto" w:fill="FCEEE4"/>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r w:rsidRPr="00653EDD">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Başlama: 15–40 dk.</w:t>
            </w:r>
          </w:p>
        </w:tc>
        <w:tc>
          <w:tcPr>
            <w:tcW w:w="1909"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284" w:type="dxa"/>
            <w:vMerge/>
            <w:shd w:val="clear" w:color="auto" w:fill="FBE4D5" w:themeFill="accent2"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r>
      <w:tr w:rsidR="003801F0" w:rsidRPr="00653EDD" w:rsidTr="00D527BB">
        <w:tc>
          <w:tcPr>
            <w:tcW w:w="1843" w:type="dxa"/>
            <w:vMerge/>
            <w:shd w:val="clear" w:color="auto" w:fill="FCEBE0"/>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60"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57" w:type="dxa"/>
            <w:shd w:val="clear" w:color="auto" w:fill="FCEEE4"/>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r w:rsidRPr="00653EDD">
              <w:rPr>
                <w:rFonts w:ascii="Times New Roman" w:eastAsia="Times New Roman" w:hAnsi="Times New Roman" w:cs="Times New Roman"/>
                <w:sz w:val="24"/>
                <w:szCs w:val="24"/>
                <w:lang w:eastAsia="tr-TR"/>
              </w:rPr>
              <w:t> </w:t>
            </w:r>
            <w:r w:rsidRPr="00653EDD">
              <w:rPr>
                <w:rFonts w:ascii="Times New Roman" w:eastAsia="Times New Roman" w:hAnsi="Times New Roman" w:cs="Times New Roman"/>
                <w:sz w:val="24"/>
                <w:szCs w:val="24"/>
                <w:lang w:eastAsia="tr-TR"/>
              </w:rPr>
              <w:t>Bi</w:t>
            </w:r>
            <w:r>
              <w:rPr>
                <w:rFonts w:ascii="Times New Roman" w:eastAsia="Times New Roman" w:hAnsi="Times New Roman" w:cs="Times New Roman"/>
                <w:sz w:val="24"/>
                <w:szCs w:val="24"/>
                <w:lang w:eastAsia="tr-TR"/>
              </w:rPr>
              <w:t>y</w:t>
            </w:r>
            <w:r w:rsidRPr="00653EDD">
              <w:rPr>
                <w:rFonts w:ascii="Times New Roman" w:eastAsia="Times New Roman" w:hAnsi="Times New Roman" w:cs="Times New Roman"/>
                <w:sz w:val="24"/>
                <w:szCs w:val="24"/>
                <w:lang w:eastAsia="tr-TR"/>
              </w:rPr>
              <w:t>o</w:t>
            </w:r>
            <w:r>
              <w:rPr>
                <w:rFonts w:ascii="Times New Roman" w:eastAsia="Times New Roman" w:hAnsi="Times New Roman" w:cs="Times New Roman"/>
                <w:sz w:val="24"/>
                <w:szCs w:val="24"/>
                <w:lang w:eastAsia="tr-TR"/>
              </w:rPr>
              <w:t>yararlılık</w:t>
            </w:r>
            <w:r w:rsidRPr="00653ED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bilinmiyor </w:t>
            </w:r>
          </w:p>
        </w:tc>
        <w:tc>
          <w:tcPr>
            <w:tcW w:w="1909"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284" w:type="dxa"/>
            <w:vMerge/>
            <w:shd w:val="clear" w:color="auto" w:fill="FBE4D5" w:themeFill="accent2"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r>
      <w:tr w:rsidR="003801F0" w:rsidRPr="00653EDD" w:rsidTr="00D527BB">
        <w:tc>
          <w:tcPr>
            <w:tcW w:w="1843" w:type="dxa"/>
            <w:vMerge/>
            <w:shd w:val="clear" w:color="auto" w:fill="FCEBE0"/>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60"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57" w:type="dxa"/>
            <w:shd w:val="clear" w:color="auto" w:fill="FCEEE4"/>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r w:rsidRPr="00653EDD">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Süre: 45 dk</w:t>
            </w:r>
            <w:r w:rsidRPr="00653EDD">
              <w:rPr>
                <w:rFonts w:ascii="Times New Roman" w:eastAsia="Times New Roman" w:hAnsi="Times New Roman" w:cs="Times New Roman"/>
                <w:sz w:val="24"/>
                <w:szCs w:val="24"/>
                <w:lang w:eastAsia="tr-TR"/>
              </w:rPr>
              <w:t>–2 h</w:t>
            </w:r>
          </w:p>
        </w:tc>
        <w:tc>
          <w:tcPr>
            <w:tcW w:w="1909"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284" w:type="dxa"/>
            <w:vMerge/>
            <w:shd w:val="clear" w:color="auto" w:fill="FBE4D5" w:themeFill="accent2"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r>
      <w:tr w:rsidR="003801F0" w:rsidRPr="00653EDD" w:rsidTr="00D527BB">
        <w:tc>
          <w:tcPr>
            <w:tcW w:w="1843" w:type="dxa"/>
            <w:vMerge/>
            <w:shd w:val="clear" w:color="auto" w:fill="FCEBE0"/>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60"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57" w:type="dxa"/>
            <w:shd w:val="clear" w:color="auto" w:fill="FCEEE4"/>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r w:rsidRPr="00DB2F8D">
              <w:rPr>
                <w:rFonts w:ascii="Times New Roman" w:eastAsia="Times New Roman" w:hAnsi="Times New Roman" w:cs="Times New Roman"/>
                <w:i/>
                <w:sz w:val="24"/>
                <w:szCs w:val="24"/>
                <w:lang w:eastAsia="tr-TR"/>
              </w:rPr>
              <w:t>Transdermal:</w:t>
            </w:r>
            <w:r w:rsidRPr="00653ED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bilinmiyor </w:t>
            </w:r>
          </w:p>
        </w:tc>
        <w:tc>
          <w:tcPr>
            <w:tcW w:w="1909"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284" w:type="dxa"/>
            <w:vMerge/>
            <w:shd w:val="clear" w:color="auto" w:fill="FBE4D5" w:themeFill="accent2"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r>
      <w:tr w:rsidR="003801F0" w:rsidRPr="00653EDD" w:rsidTr="00D527BB">
        <w:tc>
          <w:tcPr>
            <w:tcW w:w="1843" w:type="dxa"/>
            <w:vMerge/>
            <w:shd w:val="clear" w:color="auto" w:fill="FCEBE0"/>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60"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57" w:type="dxa"/>
            <w:shd w:val="clear" w:color="auto" w:fill="FCEEE4"/>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r w:rsidRPr="00DB2F8D">
              <w:rPr>
                <w:rFonts w:ascii="Times New Roman" w:eastAsia="Times New Roman" w:hAnsi="Times New Roman" w:cs="Times New Roman"/>
                <w:i/>
                <w:sz w:val="24"/>
                <w:szCs w:val="24"/>
                <w:lang w:eastAsia="tr-TR"/>
              </w:rPr>
              <w:t>Transrektal:</w:t>
            </w:r>
            <w:r w:rsidRPr="00653ED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bilinmiyor</w:t>
            </w:r>
          </w:p>
        </w:tc>
        <w:tc>
          <w:tcPr>
            <w:tcW w:w="1909"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284" w:type="dxa"/>
            <w:vMerge/>
            <w:shd w:val="clear" w:color="auto" w:fill="FBE4D5" w:themeFill="accent2" w:themeFillTint="33"/>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r>
      <w:tr w:rsidR="003801F0" w:rsidRPr="00653EDD" w:rsidTr="00D527BB">
        <w:tc>
          <w:tcPr>
            <w:tcW w:w="0" w:type="auto"/>
            <w:gridSpan w:val="6"/>
            <w:shd w:val="clear" w:color="auto" w:fill="D5DCE4" w:themeFill="text2" w:themeFillTint="33"/>
            <w:vAlign w:val="center"/>
            <w:hideMark/>
          </w:tcPr>
          <w:p w:rsidR="003801F0" w:rsidRPr="00A31D09" w:rsidRDefault="003801F0" w:rsidP="00D527BB">
            <w:pPr>
              <w:spacing w:after="0" w:line="240" w:lineRule="auto"/>
              <w:rPr>
                <w:rFonts w:ascii="Arial Black" w:eastAsia="Times New Roman" w:hAnsi="Arial Black" w:cs="Times New Roman"/>
                <w:b/>
                <w:sz w:val="24"/>
                <w:szCs w:val="24"/>
                <w:lang w:eastAsia="tr-TR"/>
              </w:rPr>
            </w:pPr>
            <w:r w:rsidRPr="00A31D09">
              <w:rPr>
                <w:rFonts w:ascii="Arial Black" w:eastAsia="Times New Roman" w:hAnsi="Arial Black" w:cs="Times New Roman"/>
                <w:b/>
                <w:color w:val="C00000"/>
                <w:sz w:val="24"/>
                <w:szCs w:val="24"/>
                <w:lang w:eastAsia="tr-TR"/>
              </w:rPr>
              <w:lastRenderedPageBreak/>
              <w:t>Sentetik kannabinoidler (laboratuvar türevi)</w:t>
            </w:r>
          </w:p>
        </w:tc>
      </w:tr>
      <w:tr w:rsidR="003801F0" w:rsidRPr="00653EDD" w:rsidTr="00D527BB">
        <w:tc>
          <w:tcPr>
            <w:tcW w:w="1843" w:type="dxa"/>
            <w:shd w:val="clear" w:color="auto" w:fill="FFF6DD"/>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r w:rsidRPr="00653EDD">
              <w:rPr>
                <w:rFonts w:ascii="Times New Roman" w:eastAsia="Times New Roman" w:hAnsi="Times New Roman" w:cs="Times New Roman"/>
                <w:sz w:val="24"/>
                <w:szCs w:val="24"/>
                <w:lang w:eastAsia="tr-TR"/>
              </w:rPr>
              <w:t> </w:t>
            </w:r>
            <w:r w:rsidRPr="00751238">
              <w:rPr>
                <w:rFonts w:ascii="Times New Roman" w:eastAsia="Times New Roman" w:hAnsi="Times New Roman" w:cs="Times New Roman"/>
                <w:b/>
                <w:sz w:val="24"/>
                <w:szCs w:val="24"/>
                <w:shd w:val="clear" w:color="auto" w:fill="FFF2CC" w:themeFill="accent4" w:themeFillTint="33"/>
                <w:lang w:eastAsia="tr-TR"/>
              </w:rPr>
              <w:t xml:space="preserve">Cesamet </w:t>
            </w:r>
            <w:r w:rsidRPr="00751238">
              <w:rPr>
                <w:rFonts w:ascii="Times New Roman" w:eastAsia="Times New Roman" w:hAnsi="Times New Roman" w:cs="Times New Roman"/>
                <w:sz w:val="24"/>
                <w:szCs w:val="24"/>
                <w:shd w:val="clear" w:color="auto" w:fill="FFF2CC" w:themeFill="accent4" w:themeFillTint="33"/>
                <w:lang w:eastAsia="tr-TR"/>
              </w:rPr>
              <w:t>(nabilone)</w:t>
            </w:r>
          </w:p>
        </w:tc>
        <w:tc>
          <w:tcPr>
            <w:tcW w:w="1760" w:type="dxa"/>
            <w:vMerge w:val="restart"/>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THC'ye kimyasal olarak benzer, CB1 reseptörüne bağlanır</w:t>
            </w:r>
          </w:p>
        </w:tc>
        <w:tc>
          <w:tcPr>
            <w:tcW w:w="1757" w:type="dxa"/>
            <w:vAlign w:val="center"/>
            <w:hideMark/>
          </w:tcPr>
          <w:p w:rsidR="003801F0" w:rsidRPr="00DB2F8D" w:rsidRDefault="003801F0" w:rsidP="00D527BB">
            <w:pPr>
              <w:spacing w:after="0" w:line="240" w:lineRule="auto"/>
              <w:rPr>
                <w:rFonts w:ascii="Times New Roman" w:eastAsia="Times New Roman" w:hAnsi="Times New Roman" w:cs="Times New Roman"/>
                <w:i/>
                <w:sz w:val="24"/>
                <w:szCs w:val="24"/>
                <w:lang w:eastAsia="tr-TR"/>
              </w:rPr>
            </w:pPr>
            <w:r w:rsidRPr="00DB2F8D">
              <w:rPr>
                <w:rFonts w:ascii="Times New Roman" w:eastAsia="Times New Roman" w:hAnsi="Times New Roman" w:cs="Times New Roman"/>
                <w:i/>
                <w:sz w:val="24"/>
                <w:szCs w:val="24"/>
                <w:lang w:eastAsia="tr-TR"/>
              </w:rPr>
              <w:t>Oral:</w:t>
            </w:r>
          </w:p>
        </w:tc>
        <w:tc>
          <w:tcPr>
            <w:tcW w:w="1909" w:type="dxa"/>
            <w:vMerge w:val="restart"/>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Hepatik, CYP1A2, 2A6, 2C8, 2C9, 2C19, 2E1, 3A4 yoluyla</w:t>
            </w:r>
          </w:p>
        </w:tc>
        <w:tc>
          <w:tcPr>
            <w:tcW w:w="1284" w:type="dxa"/>
            <w:vMerge w:val="restart"/>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4"/>
                <w:szCs w:val="24"/>
                <w:lang w:eastAsia="tr-TR"/>
              </w:rPr>
              <w:t xml:space="preserve"> </w:t>
            </w:r>
            <w:r w:rsidRPr="0012550D">
              <w:rPr>
                <w:rFonts w:ascii="Times New Roman" w:eastAsia="Times New Roman" w:hAnsi="Times New Roman" w:cs="Times New Roman"/>
                <w:sz w:val="20"/>
                <w:szCs w:val="20"/>
                <w:lang w:eastAsia="tr-TR"/>
              </w:rPr>
              <w:t>THC’ye benzer</w:t>
            </w:r>
          </w:p>
        </w:tc>
        <w:tc>
          <w:tcPr>
            <w:tcW w:w="0" w:type="auto"/>
            <w:vAlign w:val="center"/>
            <w:hideMark/>
          </w:tcPr>
          <w:p w:rsidR="003801F0" w:rsidRPr="008A5AEC" w:rsidRDefault="003801F0" w:rsidP="00D527BB">
            <w:pPr>
              <w:spacing w:after="0" w:line="240" w:lineRule="auto"/>
              <w:rPr>
                <w:rFonts w:ascii="Times New Roman" w:eastAsia="Times New Roman" w:hAnsi="Times New Roman" w:cs="Times New Roman"/>
                <w:sz w:val="20"/>
                <w:szCs w:val="20"/>
                <w:lang w:eastAsia="tr-TR"/>
              </w:rPr>
            </w:pPr>
            <w:r w:rsidRPr="008A5AEC">
              <w:rPr>
                <w:rFonts w:ascii="Times New Roman" w:eastAsia="Times New Roman" w:hAnsi="Times New Roman" w:cs="Times New Roman"/>
                <w:sz w:val="20"/>
                <w:szCs w:val="20"/>
                <w:lang w:eastAsia="tr-TR"/>
              </w:rPr>
              <w:t>Renal: 20%–24%</w:t>
            </w:r>
          </w:p>
        </w:tc>
      </w:tr>
      <w:tr w:rsidR="003801F0" w:rsidRPr="00653EDD" w:rsidTr="00D527BB">
        <w:tc>
          <w:tcPr>
            <w:tcW w:w="1843" w:type="dxa"/>
            <w:vMerge w:val="restart"/>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 </w:t>
            </w:r>
            <w:r w:rsidRPr="0012550D">
              <w:rPr>
                <w:rFonts w:ascii="Times New Roman" w:eastAsia="Times New Roman" w:hAnsi="Times New Roman" w:cs="Times New Roman"/>
                <w:sz w:val="20"/>
                <w:szCs w:val="20"/>
                <w:lang w:eastAsia="tr-TR"/>
              </w:rPr>
              <w:t> </w:t>
            </w:r>
            <w:r w:rsidRPr="0012550D">
              <w:rPr>
                <w:sz w:val="20"/>
                <w:szCs w:val="20"/>
              </w:rPr>
              <w:t xml:space="preserve"> </w:t>
            </w:r>
            <w:r w:rsidRPr="0012550D">
              <w:rPr>
                <w:rFonts w:ascii="Times New Roman" w:eastAsia="Times New Roman" w:hAnsi="Times New Roman" w:cs="Times New Roman"/>
                <w:sz w:val="20"/>
                <w:szCs w:val="20"/>
                <w:lang w:eastAsia="tr-TR"/>
              </w:rPr>
              <w:t xml:space="preserve">FDA ve HPFB endikasyonu: ≥18 yaşındaki erişkinlerde kanser </w:t>
            </w:r>
            <w:proofErr w:type="gramStart"/>
            <w:r w:rsidRPr="0012550D">
              <w:rPr>
                <w:rFonts w:ascii="Times New Roman" w:eastAsia="Times New Roman" w:hAnsi="Times New Roman" w:cs="Times New Roman"/>
                <w:sz w:val="20"/>
                <w:szCs w:val="20"/>
                <w:lang w:eastAsia="tr-TR"/>
              </w:rPr>
              <w:t>kemoterapisi</w:t>
            </w:r>
            <w:proofErr w:type="gramEnd"/>
            <w:r w:rsidRPr="0012550D">
              <w:rPr>
                <w:rFonts w:ascii="Times New Roman" w:eastAsia="Times New Roman" w:hAnsi="Times New Roman" w:cs="Times New Roman"/>
                <w:sz w:val="20"/>
                <w:szCs w:val="20"/>
                <w:lang w:eastAsia="tr-TR"/>
              </w:rPr>
              <w:t xml:space="preserve"> ile ilişkili şiddetli mide bulantısı ve kusma</w:t>
            </w:r>
          </w:p>
        </w:tc>
        <w:tc>
          <w:tcPr>
            <w:tcW w:w="1760"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c>
          <w:tcPr>
            <w:tcW w:w="1757" w:type="dxa"/>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 </w:t>
            </w:r>
            <w:r w:rsidRPr="0012550D">
              <w:rPr>
                <w:rFonts w:ascii="Times New Roman" w:eastAsia="Times New Roman" w:hAnsi="Times New Roman" w:cs="Times New Roman"/>
                <w:sz w:val="20"/>
                <w:szCs w:val="20"/>
                <w:lang w:eastAsia="tr-TR"/>
              </w:rPr>
              <w:t>Biyoyararlılık: 95%–100%</w:t>
            </w:r>
          </w:p>
        </w:tc>
        <w:tc>
          <w:tcPr>
            <w:tcW w:w="1909"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c>
          <w:tcPr>
            <w:tcW w:w="1284"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3801F0" w:rsidRPr="008A5AEC" w:rsidRDefault="003801F0" w:rsidP="00D527BB">
            <w:pPr>
              <w:spacing w:after="0" w:line="240" w:lineRule="auto"/>
              <w:rPr>
                <w:rFonts w:ascii="Times New Roman" w:eastAsia="Times New Roman" w:hAnsi="Times New Roman" w:cs="Times New Roman"/>
                <w:sz w:val="20"/>
                <w:szCs w:val="20"/>
                <w:lang w:eastAsia="tr-TR"/>
              </w:rPr>
            </w:pPr>
            <w:r w:rsidRPr="008A5AEC">
              <w:rPr>
                <w:rFonts w:ascii="Times New Roman" w:eastAsia="Times New Roman" w:hAnsi="Times New Roman" w:cs="Times New Roman"/>
                <w:sz w:val="20"/>
                <w:szCs w:val="20"/>
                <w:lang w:eastAsia="tr-TR"/>
              </w:rPr>
              <w:t>Dışkı: 60%–65%</w:t>
            </w:r>
          </w:p>
        </w:tc>
      </w:tr>
      <w:tr w:rsidR="003801F0" w:rsidRPr="00653EDD" w:rsidTr="00D527BB">
        <w:tc>
          <w:tcPr>
            <w:tcW w:w="1843"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p>
        </w:tc>
        <w:tc>
          <w:tcPr>
            <w:tcW w:w="1760"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c>
          <w:tcPr>
            <w:tcW w:w="1757" w:type="dxa"/>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 </w:t>
            </w:r>
            <w:r w:rsidRPr="0012550D">
              <w:rPr>
                <w:rFonts w:ascii="Times New Roman" w:eastAsia="Times New Roman" w:hAnsi="Times New Roman" w:cs="Times New Roman"/>
                <w:sz w:val="20"/>
                <w:szCs w:val="20"/>
                <w:lang w:eastAsia="tr-TR"/>
              </w:rPr>
              <w:t>Başlama: 1–</w:t>
            </w:r>
            <w:proofErr w:type="gramStart"/>
            <w:r w:rsidRPr="0012550D">
              <w:rPr>
                <w:rFonts w:ascii="Times New Roman" w:eastAsia="Times New Roman" w:hAnsi="Times New Roman" w:cs="Times New Roman"/>
                <w:sz w:val="20"/>
                <w:szCs w:val="20"/>
                <w:lang w:eastAsia="tr-TR"/>
              </w:rPr>
              <w:t>1.5</w:t>
            </w:r>
            <w:proofErr w:type="gramEnd"/>
            <w:r w:rsidRPr="0012550D">
              <w:rPr>
                <w:rFonts w:ascii="Times New Roman" w:eastAsia="Times New Roman" w:hAnsi="Times New Roman" w:cs="Times New Roman"/>
                <w:sz w:val="20"/>
                <w:szCs w:val="20"/>
                <w:lang w:eastAsia="tr-TR"/>
              </w:rPr>
              <w:t xml:space="preserve"> h</w:t>
            </w:r>
          </w:p>
        </w:tc>
        <w:tc>
          <w:tcPr>
            <w:tcW w:w="1909"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c>
          <w:tcPr>
            <w:tcW w:w="1284"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c>
          <w:tcPr>
            <w:tcW w:w="0" w:type="auto"/>
            <w:vMerge w:val="restart"/>
            <w:vAlign w:val="center"/>
            <w:hideMark/>
          </w:tcPr>
          <w:p w:rsidR="003801F0" w:rsidRPr="008A5AEC" w:rsidRDefault="003801F0" w:rsidP="00D527BB">
            <w:pPr>
              <w:spacing w:after="0" w:line="240" w:lineRule="auto"/>
              <w:rPr>
                <w:rFonts w:ascii="Times New Roman" w:eastAsia="Times New Roman" w:hAnsi="Times New Roman" w:cs="Times New Roman"/>
                <w:sz w:val="20"/>
                <w:szCs w:val="20"/>
                <w:lang w:eastAsia="tr-TR"/>
              </w:rPr>
            </w:pPr>
            <w:proofErr w:type="gramStart"/>
            <w:r w:rsidRPr="008A5AEC">
              <w:rPr>
                <w:rFonts w:ascii="Times New Roman" w:eastAsia="Times New Roman" w:hAnsi="Times New Roman" w:cs="Times New Roman"/>
                <w:sz w:val="20"/>
                <w:szCs w:val="20"/>
                <w:lang w:eastAsia="tr-TR"/>
              </w:rPr>
              <w:t>t</w:t>
            </w:r>
            <w:proofErr w:type="gramEnd"/>
            <w:r w:rsidRPr="008A5AEC">
              <w:rPr>
                <w:rFonts w:ascii="Times New Roman" w:eastAsia="Times New Roman" w:hAnsi="Times New Roman" w:cs="Times New Roman"/>
                <w:sz w:val="20"/>
                <w:szCs w:val="20"/>
                <w:lang w:eastAsia="tr-TR"/>
              </w:rPr>
              <w:t>½: 35 h</w:t>
            </w:r>
          </w:p>
        </w:tc>
      </w:tr>
      <w:tr w:rsidR="003801F0" w:rsidRPr="00653EDD" w:rsidTr="00D527BB">
        <w:tc>
          <w:tcPr>
            <w:tcW w:w="1843"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p>
        </w:tc>
        <w:tc>
          <w:tcPr>
            <w:tcW w:w="1760"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c>
          <w:tcPr>
            <w:tcW w:w="1757" w:type="dxa"/>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 </w:t>
            </w:r>
            <w:r w:rsidRPr="0012550D">
              <w:rPr>
                <w:rFonts w:ascii="Times New Roman" w:eastAsia="Times New Roman" w:hAnsi="Times New Roman" w:cs="Times New Roman"/>
                <w:sz w:val="20"/>
                <w:szCs w:val="20"/>
                <w:lang w:eastAsia="tr-TR"/>
              </w:rPr>
              <w:t>Zirve: 3–4 h</w:t>
            </w:r>
          </w:p>
        </w:tc>
        <w:tc>
          <w:tcPr>
            <w:tcW w:w="1909" w:type="dxa"/>
            <w:vMerge w:val="restart"/>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 xml:space="preserve">Enzimatik yollar: doğrudan enzimatik oksidasyon ve stereo- </w:t>
            </w:r>
            <w:proofErr w:type="gramStart"/>
            <w:r w:rsidRPr="0012550D">
              <w:rPr>
                <w:rFonts w:ascii="Times New Roman" w:eastAsia="Times New Roman" w:hAnsi="Times New Roman" w:cs="Times New Roman"/>
                <w:sz w:val="20"/>
                <w:szCs w:val="20"/>
                <w:lang w:eastAsia="tr-TR"/>
              </w:rPr>
              <w:t>spesifik</w:t>
            </w:r>
            <w:proofErr w:type="gramEnd"/>
            <w:r w:rsidRPr="0012550D">
              <w:rPr>
                <w:rFonts w:ascii="Times New Roman" w:eastAsia="Times New Roman" w:hAnsi="Times New Roman" w:cs="Times New Roman"/>
                <w:sz w:val="20"/>
                <w:szCs w:val="20"/>
                <w:lang w:eastAsia="tr-TR"/>
              </w:rPr>
              <w:t xml:space="preserve"> indirgeme</w:t>
            </w:r>
          </w:p>
        </w:tc>
        <w:tc>
          <w:tcPr>
            <w:tcW w:w="1284"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3801F0" w:rsidRPr="008A5AEC" w:rsidRDefault="003801F0" w:rsidP="00D527BB">
            <w:pPr>
              <w:spacing w:after="0" w:line="240" w:lineRule="auto"/>
              <w:rPr>
                <w:rFonts w:ascii="Times New Roman" w:eastAsia="Times New Roman" w:hAnsi="Times New Roman" w:cs="Times New Roman"/>
                <w:sz w:val="20"/>
                <w:szCs w:val="20"/>
                <w:lang w:eastAsia="tr-TR"/>
              </w:rPr>
            </w:pPr>
          </w:p>
        </w:tc>
      </w:tr>
      <w:tr w:rsidR="003801F0" w:rsidRPr="00653EDD" w:rsidTr="00D527BB">
        <w:tc>
          <w:tcPr>
            <w:tcW w:w="1843"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p>
        </w:tc>
        <w:tc>
          <w:tcPr>
            <w:tcW w:w="1760"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c>
          <w:tcPr>
            <w:tcW w:w="1757" w:type="dxa"/>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 </w:t>
            </w:r>
            <w:proofErr w:type="gramStart"/>
            <w:r w:rsidRPr="0012550D">
              <w:rPr>
                <w:rFonts w:ascii="Times New Roman" w:eastAsia="Times New Roman" w:hAnsi="Times New Roman" w:cs="Times New Roman"/>
                <w:sz w:val="20"/>
                <w:szCs w:val="20"/>
                <w:lang w:eastAsia="tr-TR"/>
              </w:rPr>
              <w:t>süre</w:t>
            </w:r>
            <w:proofErr w:type="gramEnd"/>
            <w:r w:rsidRPr="0012550D">
              <w:rPr>
                <w:rFonts w:ascii="Times New Roman" w:eastAsia="Times New Roman" w:hAnsi="Times New Roman" w:cs="Times New Roman"/>
                <w:sz w:val="20"/>
                <w:szCs w:val="20"/>
                <w:lang w:eastAsia="tr-TR"/>
              </w:rPr>
              <w:t>: 8–12 h</w:t>
            </w:r>
          </w:p>
        </w:tc>
        <w:tc>
          <w:tcPr>
            <w:tcW w:w="1909"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c>
          <w:tcPr>
            <w:tcW w:w="1284"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3801F0" w:rsidRPr="008A5AEC" w:rsidRDefault="003801F0" w:rsidP="00D527BB">
            <w:pPr>
              <w:spacing w:after="0" w:line="240" w:lineRule="auto"/>
              <w:rPr>
                <w:rFonts w:ascii="Times New Roman" w:eastAsia="Times New Roman" w:hAnsi="Times New Roman" w:cs="Times New Roman"/>
                <w:sz w:val="20"/>
                <w:szCs w:val="20"/>
                <w:lang w:eastAsia="tr-TR"/>
              </w:rPr>
            </w:pPr>
          </w:p>
        </w:tc>
      </w:tr>
      <w:tr w:rsidR="003801F0" w:rsidRPr="00653EDD" w:rsidTr="00D527BB">
        <w:tc>
          <w:tcPr>
            <w:tcW w:w="1843" w:type="dxa"/>
            <w:shd w:val="clear" w:color="auto" w:fill="FFF6DD"/>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 </w:t>
            </w:r>
            <w:r w:rsidRPr="0012550D">
              <w:rPr>
                <w:rFonts w:ascii="Times New Roman" w:eastAsia="Times New Roman" w:hAnsi="Times New Roman" w:cs="Times New Roman"/>
                <w:b/>
                <w:sz w:val="20"/>
                <w:szCs w:val="20"/>
                <w:lang w:eastAsia="tr-TR"/>
              </w:rPr>
              <w:t xml:space="preserve">Epidiolex </w:t>
            </w:r>
            <w:r w:rsidRPr="0012550D">
              <w:rPr>
                <w:rFonts w:ascii="Times New Roman" w:eastAsia="Times New Roman" w:hAnsi="Times New Roman" w:cs="Times New Roman"/>
                <w:sz w:val="20"/>
                <w:szCs w:val="20"/>
                <w:lang w:eastAsia="tr-TR"/>
              </w:rPr>
              <w:t>(CBD)</w:t>
            </w:r>
          </w:p>
        </w:tc>
        <w:tc>
          <w:tcPr>
            <w:tcW w:w="1760" w:type="dxa"/>
            <w:vMerge w:val="restart"/>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Bilinmiyor ama CBD gibi davrandığı düşünülüyor</w:t>
            </w:r>
          </w:p>
        </w:tc>
        <w:tc>
          <w:tcPr>
            <w:tcW w:w="1757" w:type="dxa"/>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Oral:</w:t>
            </w:r>
          </w:p>
        </w:tc>
        <w:tc>
          <w:tcPr>
            <w:tcW w:w="1909" w:type="dxa"/>
            <w:vMerge w:val="restart"/>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Hepatik, CYP1A2, 2C8, 2C9, 2C19, 3A4 ve 2D6 yoluyla; UGT1A9 ve UGT2B7; hidroksilasyona uğrar</w:t>
            </w:r>
          </w:p>
        </w:tc>
        <w:tc>
          <w:tcPr>
            <w:tcW w:w="1284" w:type="dxa"/>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Similar to CBD</w:t>
            </w:r>
          </w:p>
        </w:tc>
        <w:tc>
          <w:tcPr>
            <w:tcW w:w="0" w:type="auto"/>
            <w:vAlign w:val="center"/>
            <w:hideMark/>
          </w:tcPr>
          <w:p w:rsidR="003801F0" w:rsidRPr="008A5AEC" w:rsidRDefault="003801F0" w:rsidP="00D527BB">
            <w:pPr>
              <w:spacing w:after="0" w:line="240" w:lineRule="auto"/>
              <w:rPr>
                <w:rFonts w:ascii="Times New Roman" w:eastAsia="Times New Roman" w:hAnsi="Times New Roman" w:cs="Times New Roman"/>
                <w:sz w:val="20"/>
                <w:szCs w:val="20"/>
                <w:lang w:eastAsia="tr-TR"/>
              </w:rPr>
            </w:pPr>
            <w:r w:rsidRPr="008A5AEC">
              <w:rPr>
                <w:rFonts w:ascii="Times New Roman" w:eastAsia="Times New Roman" w:hAnsi="Times New Roman" w:cs="Times New Roman"/>
                <w:sz w:val="20"/>
                <w:szCs w:val="20"/>
                <w:lang w:eastAsia="tr-TR"/>
              </w:rPr>
              <w:t>Renal: minor</w:t>
            </w:r>
          </w:p>
        </w:tc>
      </w:tr>
      <w:tr w:rsidR="003801F0" w:rsidRPr="00653EDD" w:rsidTr="00D527BB">
        <w:tc>
          <w:tcPr>
            <w:tcW w:w="1843" w:type="dxa"/>
            <w:vMerge w:val="restart"/>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 </w:t>
            </w:r>
            <w:r w:rsidRPr="0012550D">
              <w:rPr>
                <w:rFonts w:ascii="Times New Roman" w:eastAsia="Times New Roman" w:hAnsi="Times New Roman" w:cs="Times New Roman"/>
                <w:sz w:val="20"/>
                <w:szCs w:val="20"/>
                <w:lang w:eastAsia="tr-TR"/>
              </w:rPr>
              <w:t> </w:t>
            </w:r>
            <w:r w:rsidRPr="0012550D">
              <w:rPr>
                <w:sz w:val="20"/>
                <w:szCs w:val="20"/>
              </w:rPr>
              <w:t xml:space="preserve"> </w:t>
            </w:r>
            <w:r w:rsidRPr="0012550D">
              <w:rPr>
                <w:rFonts w:ascii="Times New Roman" w:eastAsia="Times New Roman" w:hAnsi="Times New Roman" w:cs="Times New Roman"/>
                <w:sz w:val="20"/>
                <w:szCs w:val="20"/>
                <w:lang w:eastAsia="tr-TR"/>
              </w:rPr>
              <w:t xml:space="preserve">FDA endikasyonu: ≥2 yaşındaki hastalarda Lennox-Gastaut </w:t>
            </w:r>
            <w:proofErr w:type="gramStart"/>
            <w:r w:rsidRPr="0012550D">
              <w:rPr>
                <w:rFonts w:ascii="Times New Roman" w:eastAsia="Times New Roman" w:hAnsi="Times New Roman" w:cs="Times New Roman"/>
                <w:sz w:val="20"/>
                <w:szCs w:val="20"/>
                <w:lang w:eastAsia="tr-TR"/>
              </w:rPr>
              <w:t>sendromu</w:t>
            </w:r>
            <w:proofErr w:type="gramEnd"/>
            <w:r w:rsidRPr="0012550D">
              <w:rPr>
                <w:rFonts w:ascii="Times New Roman" w:eastAsia="Times New Roman" w:hAnsi="Times New Roman" w:cs="Times New Roman"/>
                <w:sz w:val="20"/>
                <w:szCs w:val="20"/>
                <w:lang w:eastAsia="tr-TR"/>
              </w:rPr>
              <w:t xml:space="preserve"> veya Dravet sendromu ile ilişkili nöbetler</w:t>
            </w:r>
          </w:p>
        </w:tc>
        <w:tc>
          <w:tcPr>
            <w:tcW w:w="1760"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c>
          <w:tcPr>
            <w:tcW w:w="1757" w:type="dxa"/>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 </w:t>
            </w:r>
            <w:r w:rsidRPr="0012550D">
              <w:rPr>
                <w:rFonts w:ascii="Times New Roman" w:eastAsia="Times New Roman" w:hAnsi="Times New Roman" w:cs="Times New Roman"/>
                <w:sz w:val="20"/>
                <w:szCs w:val="20"/>
                <w:lang w:eastAsia="tr-TR"/>
              </w:rPr>
              <w:t>Başlama: bilinmiyor</w:t>
            </w:r>
          </w:p>
        </w:tc>
        <w:tc>
          <w:tcPr>
            <w:tcW w:w="1909"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c>
          <w:tcPr>
            <w:tcW w:w="1284" w:type="dxa"/>
            <w:vMerge w:val="restart"/>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Protein bağlama: 94%</w:t>
            </w:r>
          </w:p>
        </w:tc>
        <w:tc>
          <w:tcPr>
            <w:tcW w:w="0" w:type="auto"/>
            <w:vAlign w:val="center"/>
            <w:hideMark/>
          </w:tcPr>
          <w:p w:rsidR="003801F0" w:rsidRPr="008A5AEC" w:rsidRDefault="003801F0" w:rsidP="00D527BB">
            <w:pPr>
              <w:spacing w:after="0" w:line="240" w:lineRule="auto"/>
              <w:rPr>
                <w:rFonts w:ascii="Times New Roman" w:eastAsia="Times New Roman" w:hAnsi="Times New Roman" w:cs="Times New Roman"/>
                <w:sz w:val="20"/>
                <w:szCs w:val="20"/>
                <w:lang w:eastAsia="tr-TR"/>
              </w:rPr>
            </w:pPr>
            <w:r w:rsidRPr="008A5AEC">
              <w:rPr>
                <w:rFonts w:ascii="Times New Roman" w:eastAsia="Times New Roman" w:hAnsi="Times New Roman" w:cs="Times New Roman"/>
                <w:sz w:val="20"/>
                <w:szCs w:val="20"/>
                <w:lang w:eastAsia="tr-TR"/>
              </w:rPr>
              <w:t>Feces: major</w:t>
            </w:r>
          </w:p>
        </w:tc>
      </w:tr>
      <w:tr w:rsidR="003801F0" w:rsidRPr="00653EDD" w:rsidTr="00D527BB">
        <w:tc>
          <w:tcPr>
            <w:tcW w:w="1843"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p>
        </w:tc>
        <w:tc>
          <w:tcPr>
            <w:tcW w:w="1760"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c>
          <w:tcPr>
            <w:tcW w:w="1757" w:type="dxa"/>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 </w:t>
            </w:r>
            <w:r w:rsidRPr="0012550D">
              <w:rPr>
                <w:rFonts w:ascii="Times New Roman" w:eastAsia="Times New Roman" w:hAnsi="Times New Roman" w:cs="Times New Roman"/>
                <w:sz w:val="20"/>
                <w:szCs w:val="20"/>
                <w:lang w:eastAsia="tr-TR"/>
              </w:rPr>
              <w:t>Biyoyararlılık: bilinmiyor</w:t>
            </w:r>
          </w:p>
        </w:tc>
        <w:tc>
          <w:tcPr>
            <w:tcW w:w="1909"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c>
          <w:tcPr>
            <w:tcW w:w="1284"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3801F0" w:rsidRPr="008A5AEC" w:rsidRDefault="003801F0" w:rsidP="00D527BB">
            <w:pPr>
              <w:spacing w:after="0" w:line="240" w:lineRule="auto"/>
              <w:rPr>
                <w:rFonts w:ascii="Times New Roman" w:eastAsia="Times New Roman" w:hAnsi="Times New Roman" w:cs="Times New Roman"/>
                <w:sz w:val="20"/>
                <w:szCs w:val="20"/>
                <w:lang w:eastAsia="tr-TR"/>
              </w:rPr>
            </w:pPr>
            <w:proofErr w:type="gramStart"/>
            <w:r w:rsidRPr="008A5AEC">
              <w:rPr>
                <w:rFonts w:ascii="Times New Roman" w:eastAsia="Times New Roman" w:hAnsi="Times New Roman" w:cs="Times New Roman"/>
                <w:sz w:val="20"/>
                <w:szCs w:val="20"/>
                <w:lang w:eastAsia="tr-TR"/>
              </w:rPr>
              <w:t>t</w:t>
            </w:r>
            <w:proofErr w:type="gramEnd"/>
            <w:r w:rsidRPr="008A5AEC">
              <w:rPr>
                <w:rFonts w:ascii="Times New Roman" w:eastAsia="Times New Roman" w:hAnsi="Times New Roman" w:cs="Times New Roman"/>
                <w:sz w:val="20"/>
                <w:szCs w:val="20"/>
                <w:lang w:eastAsia="tr-TR"/>
              </w:rPr>
              <w:t>½: 56–61 h</w:t>
            </w:r>
          </w:p>
        </w:tc>
      </w:tr>
      <w:tr w:rsidR="003801F0" w:rsidRPr="00653EDD" w:rsidTr="00D527BB">
        <w:tc>
          <w:tcPr>
            <w:tcW w:w="1843"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p>
        </w:tc>
        <w:tc>
          <w:tcPr>
            <w:tcW w:w="1760"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c>
          <w:tcPr>
            <w:tcW w:w="1757" w:type="dxa"/>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Başlama: 12–24 h</w:t>
            </w:r>
          </w:p>
        </w:tc>
        <w:tc>
          <w:tcPr>
            <w:tcW w:w="1909"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c>
          <w:tcPr>
            <w:tcW w:w="1284"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3801F0" w:rsidRPr="008A5AEC" w:rsidRDefault="003801F0" w:rsidP="00D527BB">
            <w:pPr>
              <w:spacing w:after="0" w:line="240" w:lineRule="auto"/>
              <w:rPr>
                <w:rFonts w:ascii="Times New Roman" w:eastAsia="Times New Roman" w:hAnsi="Times New Roman" w:cs="Times New Roman"/>
                <w:sz w:val="20"/>
                <w:szCs w:val="20"/>
                <w:lang w:eastAsia="tr-TR"/>
              </w:rPr>
            </w:pPr>
            <w:r w:rsidRPr="008A5AEC">
              <w:rPr>
                <w:rFonts w:ascii="Times New Roman" w:eastAsia="Times New Roman" w:hAnsi="Times New Roman" w:cs="Times New Roman"/>
                <w:sz w:val="20"/>
                <w:szCs w:val="20"/>
                <w:lang w:eastAsia="tr-TR"/>
              </w:rPr>
              <w:t>7-COOH-CBD (inaktif metabolit), P-glikoproteinin bir substratıdır</w:t>
            </w:r>
          </w:p>
        </w:tc>
      </w:tr>
      <w:tr w:rsidR="003801F0" w:rsidRPr="00653EDD" w:rsidTr="00D527BB">
        <w:tc>
          <w:tcPr>
            <w:tcW w:w="1843" w:type="dxa"/>
            <w:shd w:val="clear" w:color="auto" w:fill="FFF6DD"/>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 </w:t>
            </w:r>
            <w:r w:rsidRPr="0012550D">
              <w:rPr>
                <w:rFonts w:ascii="Times New Roman" w:eastAsia="Times New Roman" w:hAnsi="Times New Roman" w:cs="Times New Roman"/>
                <w:b/>
                <w:sz w:val="20"/>
                <w:szCs w:val="20"/>
                <w:lang w:eastAsia="tr-TR"/>
              </w:rPr>
              <w:t xml:space="preserve">Marinol </w:t>
            </w:r>
            <w:r w:rsidRPr="0012550D">
              <w:rPr>
                <w:rFonts w:ascii="Times New Roman" w:eastAsia="Times New Roman" w:hAnsi="Times New Roman" w:cs="Times New Roman"/>
                <w:sz w:val="20"/>
                <w:szCs w:val="20"/>
                <w:lang w:eastAsia="tr-TR"/>
              </w:rPr>
              <w:t>(dronabinol)</w:t>
            </w:r>
          </w:p>
        </w:tc>
        <w:tc>
          <w:tcPr>
            <w:tcW w:w="1760" w:type="dxa"/>
            <w:vMerge w:val="restart"/>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THC'ye kimyasal olarak benzer, CB1 reseptörüne bağlanır</w:t>
            </w:r>
          </w:p>
        </w:tc>
        <w:tc>
          <w:tcPr>
            <w:tcW w:w="1757" w:type="dxa"/>
            <w:vAlign w:val="center"/>
            <w:hideMark/>
          </w:tcPr>
          <w:p w:rsidR="003801F0" w:rsidRPr="00DB2F8D" w:rsidRDefault="003801F0" w:rsidP="00D527BB">
            <w:pPr>
              <w:spacing w:after="0" w:line="240" w:lineRule="auto"/>
              <w:rPr>
                <w:rFonts w:ascii="Times New Roman" w:eastAsia="Times New Roman" w:hAnsi="Times New Roman" w:cs="Times New Roman"/>
                <w:i/>
                <w:sz w:val="20"/>
                <w:szCs w:val="20"/>
                <w:lang w:eastAsia="tr-TR"/>
              </w:rPr>
            </w:pPr>
            <w:r w:rsidRPr="00DB2F8D">
              <w:rPr>
                <w:rFonts w:ascii="Times New Roman" w:eastAsia="Times New Roman" w:hAnsi="Times New Roman" w:cs="Times New Roman"/>
                <w:i/>
                <w:sz w:val="20"/>
                <w:szCs w:val="20"/>
                <w:lang w:eastAsia="tr-TR"/>
              </w:rPr>
              <w:t>Oral:</w:t>
            </w:r>
          </w:p>
        </w:tc>
        <w:tc>
          <w:tcPr>
            <w:tcW w:w="1909" w:type="dxa"/>
            <w:vMerge w:val="restart"/>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CYP2C9, 3A4 yoluyla hepatik; hidroksilasyona uğrar</w:t>
            </w:r>
          </w:p>
        </w:tc>
        <w:tc>
          <w:tcPr>
            <w:tcW w:w="1284" w:type="dxa"/>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 xml:space="preserve"> THC’ye benzer</w:t>
            </w:r>
          </w:p>
        </w:tc>
        <w:tc>
          <w:tcPr>
            <w:tcW w:w="0" w:type="auto"/>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Renal: 10%–20%</w:t>
            </w:r>
          </w:p>
        </w:tc>
      </w:tr>
      <w:tr w:rsidR="003801F0" w:rsidRPr="00653EDD" w:rsidTr="00D527BB">
        <w:tc>
          <w:tcPr>
            <w:tcW w:w="1843" w:type="dxa"/>
            <w:vMerge w:val="restart"/>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 </w:t>
            </w:r>
            <w:r w:rsidRPr="0012550D">
              <w:rPr>
                <w:rFonts w:ascii="Times New Roman" w:eastAsia="Times New Roman" w:hAnsi="Times New Roman" w:cs="Times New Roman"/>
                <w:sz w:val="20"/>
                <w:szCs w:val="20"/>
                <w:lang w:eastAsia="tr-TR"/>
              </w:rPr>
              <w:t> </w:t>
            </w:r>
            <w:r w:rsidRPr="0012550D">
              <w:rPr>
                <w:sz w:val="20"/>
                <w:szCs w:val="20"/>
              </w:rPr>
              <w:t xml:space="preserve"> </w:t>
            </w:r>
            <w:r w:rsidRPr="0012550D">
              <w:rPr>
                <w:rFonts w:ascii="Times New Roman" w:eastAsia="Times New Roman" w:hAnsi="Times New Roman" w:cs="Times New Roman"/>
                <w:sz w:val="20"/>
                <w:szCs w:val="20"/>
                <w:lang w:eastAsia="tr-TR"/>
              </w:rPr>
              <w:t xml:space="preserve">FDA endikasyonu: AIDS'li erişkin hastalarda kilo kaybıyla ilişkili anoreksiya ve konvansiyonel tedavinin başarısız olduğu erişkinlerde </w:t>
            </w:r>
            <w:proofErr w:type="gramStart"/>
            <w:r w:rsidRPr="0012550D">
              <w:rPr>
                <w:rFonts w:ascii="Times New Roman" w:eastAsia="Times New Roman" w:hAnsi="Times New Roman" w:cs="Times New Roman"/>
                <w:sz w:val="20"/>
                <w:szCs w:val="20"/>
                <w:lang w:eastAsia="tr-TR"/>
              </w:rPr>
              <w:t>kemoterapiyle</w:t>
            </w:r>
            <w:proofErr w:type="gramEnd"/>
            <w:r w:rsidRPr="0012550D">
              <w:rPr>
                <w:rFonts w:ascii="Times New Roman" w:eastAsia="Times New Roman" w:hAnsi="Times New Roman" w:cs="Times New Roman"/>
                <w:sz w:val="20"/>
                <w:szCs w:val="20"/>
                <w:lang w:eastAsia="tr-TR"/>
              </w:rPr>
              <w:t xml:space="preserve"> ilişkili bulantı ve kusma</w:t>
            </w:r>
          </w:p>
        </w:tc>
        <w:tc>
          <w:tcPr>
            <w:tcW w:w="1760"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c>
          <w:tcPr>
            <w:tcW w:w="1757" w:type="dxa"/>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r w:rsidRPr="0012550D">
              <w:rPr>
                <w:rFonts w:ascii="Times New Roman" w:eastAsia="Times New Roman" w:hAnsi="Times New Roman" w:cs="Times New Roman"/>
                <w:sz w:val="24"/>
                <w:szCs w:val="24"/>
                <w:lang w:eastAsia="tr-TR"/>
              </w:rPr>
              <w:t> </w:t>
            </w:r>
            <w:r w:rsidRPr="0012550D">
              <w:rPr>
                <w:rFonts w:ascii="Times New Roman" w:eastAsia="Times New Roman" w:hAnsi="Times New Roman" w:cs="Times New Roman"/>
                <w:sz w:val="20"/>
                <w:szCs w:val="20"/>
                <w:lang w:eastAsia="tr-TR"/>
              </w:rPr>
              <w:t xml:space="preserve">Başlama: </w:t>
            </w:r>
            <w:proofErr w:type="gramStart"/>
            <w:r w:rsidRPr="0012550D">
              <w:rPr>
                <w:rFonts w:ascii="Times New Roman" w:eastAsia="Times New Roman" w:hAnsi="Times New Roman" w:cs="Times New Roman"/>
                <w:sz w:val="20"/>
                <w:szCs w:val="20"/>
                <w:lang w:eastAsia="tr-TR"/>
              </w:rPr>
              <w:t>0.5</w:t>
            </w:r>
            <w:proofErr w:type="gramEnd"/>
            <w:r w:rsidRPr="0012550D">
              <w:rPr>
                <w:rFonts w:ascii="Times New Roman" w:eastAsia="Times New Roman" w:hAnsi="Times New Roman" w:cs="Times New Roman"/>
                <w:sz w:val="20"/>
                <w:szCs w:val="20"/>
                <w:lang w:eastAsia="tr-TR"/>
              </w:rPr>
              <w:t>–1 h</w:t>
            </w:r>
          </w:p>
        </w:tc>
        <w:tc>
          <w:tcPr>
            <w:tcW w:w="1909"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c>
          <w:tcPr>
            <w:tcW w:w="1284" w:type="dxa"/>
            <w:vMerge w:val="restart"/>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Protein binding: 97%</w:t>
            </w:r>
          </w:p>
        </w:tc>
        <w:tc>
          <w:tcPr>
            <w:tcW w:w="0" w:type="auto"/>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Dışkı: 50%</w:t>
            </w:r>
          </w:p>
        </w:tc>
      </w:tr>
      <w:tr w:rsidR="003801F0" w:rsidRPr="00653EDD" w:rsidTr="00D527BB">
        <w:tc>
          <w:tcPr>
            <w:tcW w:w="1843"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p>
        </w:tc>
        <w:tc>
          <w:tcPr>
            <w:tcW w:w="1760"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c>
          <w:tcPr>
            <w:tcW w:w="1757" w:type="dxa"/>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r w:rsidRPr="0012550D">
              <w:rPr>
                <w:rFonts w:ascii="Times New Roman" w:eastAsia="Times New Roman" w:hAnsi="Times New Roman" w:cs="Times New Roman"/>
                <w:sz w:val="24"/>
                <w:szCs w:val="24"/>
                <w:lang w:eastAsia="tr-TR"/>
              </w:rPr>
              <w:t> </w:t>
            </w:r>
            <w:r w:rsidRPr="0012550D">
              <w:rPr>
                <w:rFonts w:ascii="Times New Roman" w:eastAsia="Times New Roman" w:hAnsi="Times New Roman" w:cs="Times New Roman"/>
                <w:sz w:val="24"/>
                <w:szCs w:val="24"/>
                <w:lang w:eastAsia="tr-TR"/>
              </w:rPr>
              <w:t>Biyoyararlılık: 10%–20%</w:t>
            </w:r>
          </w:p>
        </w:tc>
        <w:tc>
          <w:tcPr>
            <w:tcW w:w="1909"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c>
          <w:tcPr>
            <w:tcW w:w="1284"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Safra: &gt;50%</w:t>
            </w:r>
          </w:p>
        </w:tc>
      </w:tr>
      <w:tr w:rsidR="003801F0" w:rsidRPr="00653EDD" w:rsidTr="00D527BB">
        <w:tc>
          <w:tcPr>
            <w:tcW w:w="1843"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p>
        </w:tc>
        <w:tc>
          <w:tcPr>
            <w:tcW w:w="1760"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c>
          <w:tcPr>
            <w:tcW w:w="1757" w:type="dxa"/>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r w:rsidRPr="0012550D">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Zirve</w:t>
            </w:r>
            <w:r w:rsidRPr="0012550D">
              <w:rPr>
                <w:rFonts w:ascii="Times New Roman" w:eastAsia="Times New Roman" w:hAnsi="Times New Roman" w:cs="Times New Roman"/>
                <w:sz w:val="24"/>
                <w:szCs w:val="24"/>
                <w:lang w:eastAsia="tr-TR"/>
              </w:rPr>
              <w:t>: 2–4 h</w:t>
            </w:r>
          </w:p>
        </w:tc>
        <w:tc>
          <w:tcPr>
            <w:tcW w:w="1909"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c>
          <w:tcPr>
            <w:tcW w:w="1284"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c>
          <w:tcPr>
            <w:tcW w:w="0" w:type="auto"/>
            <w:vMerge w:val="restart"/>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proofErr w:type="gramStart"/>
            <w:r w:rsidRPr="0012550D">
              <w:rPr>
                <w:rFonts w:ascii="Times New Roman" w:eastAsia="Times New Roman" w:hAnsi="Times New Roman" w:cs="Times New Roman"/>
                <w:sz w:val="20"/>
                <w:szCs w:val="20"/>
                <w:lang w:eastAsia="tr-TR"/>
              </w:rPr>
              <w:t>t</w:t>
            </w:r>
            <w:proofErr w:type="gramEnd"/>
            <w:r w:rsidRPr="0012550D">
              <w:rPr>
                <w:rFonts w:ascii="Times New Roman" w:eastAsia="Times New Roman" w:hAnsi="Times New Roman" w:cs="Times New Roman"/>
                <w:sz w:val="20"/>
                <w:szCs w:val="20"/>
                <w:lang w:eastAsia="tr-TR"/>
              </w:rPr>
              <w:t>½: 25–36 h</w:t>
            </w:r>
          </w:p>
        </w:tc>
      </w:tr>
      <w:tr w:rsidR="003801F0" w:rsidRPr="00653EDD" w:rsidTr="00D527BB">
        <w:tc>
          <w:tcPr>
            <w:tcW w:w="1843"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p>
        </w:tc>
        <w:tc>
          <w:tcPr>
            <w:tcW w:w="1760"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c>
          <w:tcPr>
            <w:tcW w:w="1757" w:type="dxa"/>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 </w:t>
            </w:r>
            <w:r w:rsidRPr="0012550D">
              <w:rPr>
                <w:rFonts w:ascii="Times New Roman" w:eastAsia="Times New Roman" w:hAnsi="Times New Roman" w:cs="Times New Roman"/>
                <w:sz w:val="20"/>
                <w:szCs w:val="20"/>
                <w:lang w:eastAsia="tr-TR"/>
              </w:rPr>
              <w:t>Süre: 4–6 h</w:t>
            </w:r>
          </w:p>
        </w:tc>
        <w:tc>
          <w:tcPr>
            <w:tcW w:w="1909"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c>
          <w:tcPr>
            <w:tcW w:w="1284" w:type="dxa"/>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3801F0" w:rsidRPr="0012550D" w:rsidRDefault="003801F0" w:rsidP="00D527BB">
            <w:pPr>
              <w:spacing w:after="0" w:line="240" w:lineRule="auto"/>
              <w:rPr>
                <w:rFonts w:ascii="Times New Roman" w:eastAsia="Times New Roman" w:hAnsi="Times New Roman" w:cs="Times New Roman"/>
                <w:sz w:val="24"/>
                <w:szCs w:val="24"/>
                <w:lang w:eastAsia="tr-TR"/>
              </w:rPr>
            </w:pPr>
          </w:p>
        </w:tc>
      </w:tr>
      <w:tr w:rsidR="003801F0" w:rsidRPr="00653EDD" w:rsidTr="00D527BB">
        <w:tc>
          <w:tcPr>
            <w:tcW w:w="1843" w:type="dxa"/>
            <w:shd w:val="clear" w:color="auto" w:fill="FFF6DD"/>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 </w:t>
            </w:r>
            <w:r w:rsidRPr="005A762B">
              <w:rPr>
                <w:rFonts w:ascii="Times New Roman" w:eastAsia="Times New Roman" w:hAnsi="Times New Roman" w:cs="Times New Roman"/>
                <w:b/>
                <w:sz w:val="20"/>
                <w:szCs w:val="20"/>
                <w:lang w:eastAsia="tr-TR"/>
              </w:rPr>
              <w:t xml:space="preserve">Sativex </w:t>
            </w:r>
            <w:r w:rsidRPr="0012550D">
              <w:rPr>
                <w:rFonts w:ascii="Times New Roman" w:eastAsia="Times New Roman" w:hAnsi="Times New Roman" w:cs="Times New Roman"/>
                <w:sz w:val="20"/>
                <w:szCs w:val="20"/>
                <w:lang w:eastAsia="tr-TR"/>
              </w:rPr>
              <w:t>(CBD+THC)</w:t>
            </w:r>
          </w:p>
        </w:tc>
        <w:tc>
          <w:tcPr>
            <w:tcW w:w="1760" w:type="dxa"/>
            <w:vMerge w:val="restart"/>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Similar to CBD ve THC’ye benzer</w:t>
            </w:r>
          </w:p>
        </w:tc>
        <w:tc>
          <w:tcPr>
            <w:tcW w:w="1757" w:type="dxa"/>
            <w:vAlign w:val="center"/>
            <w:hideMark/>
          </w:tcPr>
          <w:p w:rsidR="003801F0" w:rsidRPr="00DB2F8D" w:rsidRDefault="003801F0" w:rsidP="00D527BB">
            <w:pPr>
              <w:spacing w:after="0" w:line="240" w:lineRule="auto"/>
              <w:rPr>
                <w:rFonts w:ascii="Times New Roman" w:eastAsia="Times New Roman" w:hAnsi="Times New Roman" w:cs="Times New Roman"/>
                <w:i/>
                <w:sz w:val="20"/>
                <w:szCs w:val="20"/>
                <w:lang w:eastAsia="tr-TR"/>
              </w:rPr>
            </w:pPr>
            <w:r w:rsidRPr="00DB2F8D">
              <w:rPr>
                <w:rFonts w:ascii="Times New Roman" w:eastAsia="Times New Roman" w:hAnsi="Times New Roman" w:cs="Times New Roman"/>
                <w:i/>
                <w:sz w:val="20"/>
                <w:szCs w:val="20"/>
                <w:lang w:eastAsia="tr-TR"/>
              </w:rPr>
              <w:t>Oral:</w:t>
            </w:r>
          </w:p>
        </w:tc>
        <w:tc>
          <w:tcPr>
            <w:tcW w:w="1909" w:type="dxa"/>
            <w:vMerge w:val="restart"/>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CBD ve THC'ye benzer</w:t>
            </w:r>
          </w:p>
        </w:tc>
        <w:tc>
          <w:tcPr>
            <w:tcW w:w="1284" w:type="dxa"/>
            <w:vMerge w:val="restart"/>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 xml:space="preserve"> THC ve CBD’ye benzer</w:t>
            </w:r>
          </w:p>
        </w:tc>
        <w:tc>
          <w:tcPr>
            <w:tcW w:w="0" w:type="auto"/>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Renal ve dışkı</w:t>
            </w:r>
          </w:p>
        </w:tc>
      </w:tr>
      <w:tr w:rsidR="003801F0" w:rsidRPr="00653EDD" w:rsidTr="00D527BB">
        <w:tc>
          <w:tcPr>
            <w:tcW w:w="1843" w:type="dxa"/>
            <w:vMerge w:val="restart"/>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 </w:t>
            </w:r>
            <w:r w:rsidRPr="0012550D">
              <w:rPr>
                <w:rFonts w:ascii="Times New Roman" w:eastAsia="Times New Roman" w:hAnsi="Times New Roman" w:cs="Times New Roman"/>
                <w:sz w:val="20"/>
                <w:szCs w:val="20"/>
                <w:lang w:eastAsia="tr-TR"/>
              </w:rPr>
              <w:t> </w:t>
            </w:r>
            <w:r w:rsidRPr="0012550D">
              <w:rPr>
                <w:sz w:val="20"/>
                <w:szCs w:val="20"/>
              </w:rPr>
              <w:t xml:space="preserve"> </w:t>
            </w:r>
            <w:r w:rsidRPr="0012550D">
              <w:rPr>
                <w:rFonts w:ascii="Times New Roman" w:eastAsia="Times New Roman" w:hAnsi="Times New Roman" w:cs="Times New Roman"/>
                <w:sz w:val="20"/>
                <w:szCs w:val="20"/>
                <w:lang w:eastAsia="tr-TR"/>
              </w:rPr>
              <w:t>HPFB endikasyonu: multipl sklerozun neden olduğu spastisite</w:t>
            </w:r>
          </w:p>
        </w:tc>
        <w:tc>
          <w:tcPr>
            <w:tcW w:w="1760"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57" w:type="dxa"/>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 </w:t>
            </w:r>
            <w:r w:rsidRPr="0012550D">
              <w:rPr>
                <w:rFonts w:ascii="Times New Roman" w:eastAsia="Times New Roman" w:hAnsi="Times New Roman" w:cs="Times New Roman"/>
                <w:sz w:val="20"/>
                <w:szCs w:val="20"/>
                <w:lang w:eastAsia="tr-TR"/>
              </w:rPr>
              <w:t>Başlama: 5–30 dk.</w:t>
            </w:r>
          </w:p>
        </w:tc>
        <w:tc>
          <w:tcPr>
            <w:tcW w:w="1909"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284" w:type="dxa"/>
            <w:vMerge/>
            <w:vAlign w:val="center"/>
            <w:hideMark/>
          </w:tcPr>
          <w:p w:rsidR="003801F0" w:rsidRPr="00A31D09" w:rsidRDefault="003801F0" w:rsidP="00D527BB">
            <w:pPr>
              <w:spacing w:after="0" w:line="240" w:lineRule="auto"/>
              <w:rPr>
                <w:rFonts w:ascii="Times New Roman" w:eastAsia="Times New Roman" w:hAnsi="Times New Roman" w:cs="Times New Roman"/>
                <w:color w:val="5B9BD5" w:themeColor="accent1"/>
                <w:sz w:val="20"/>
                <w:szCs w:val="20"/>
                <w:lang w:eastAsia="tr-TR"/>
              </w:rPr>
            </w:pPr>
          </w:p>
        </w:tc>
        <w:tc>
          <w:tcPr>
            <w:tcW w:w="0" w:type="auto"/>
            <w:vMerge w:val="restart"/>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proofErr w:type="gramStart"/>
            <w:r w:rsidRPr="0012550D">
              <w:rPr>
                <w:rFonts w:ascii="Times New Roman" w:eastAsia="Times New Roman" w:hAnsi="Times New Roman" w:cs="Times New Roman"/>
                <w:sz w:val="20"/>
                <w:szCs w:val="20"/>
                <w:lang w:eastAsia="tr-TR"/>
              </w:rPr>
              <w:t>t</w:t>
            </w:r>
            <w:proofErr w:type="gramEnd"/>
            <w:r w:rsidRPr="0012550D">
              <w:rPr>
                <w:rFonts w:ascii="Times New Roman" w:eastAsia="Times New Roman" w:hAnsi="Times New Roman" w:cs="Times New Roman"/>
                <w:sz w:val="20"/>
                <w:szCs w:val="20"/>
                <w:lang w:eastAsia="tr-TR"/>
              </w:rPr>
              <w:t>½: 24–36 h</w:t>
            </w:r>
          </w:p>
        </w:tc>
      </w:tr>
      <w:tr w:rsidR="003801F0" w:rsidRPr="00653EDD" w:rsidTr="00D527BB">
        <w:tc>
          <w:tcPr>
            <w:tcW w:w="1843"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60"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57" w:type="dxa"/>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 </w:t>
            </w:r>
            <w:r w:rsidRPr="0012550D">
              <w:rPr>
                <w:rFonts w:ascii="Times New Roman" w:eastAsia="Times New Roman" w:hAnsi="Times New Roman" w:cs="Times New Roman"/>
                <w:sz w:val="20"/>
                <w:szCs w:val="20"/>
                <w:lang w:eastAsia="tr-TR"/>
              </w:rPr>
              <w:t>Biyoyararlılık: bilinmiyor</w:t>
            </w:r>
          </w:p>
        </w:tc>
        <w:tc>
          <w:tcPr>
            <w:tcW w:w="1909"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284"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r>
      <w:tr w:rsidR="003801F0" w:rsidRPr="00653EDD" w:rsidTr="00D527BB">
        <w:tc>
          <w:tcPr>
            <w:tcW w:w="1843"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60"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757" w:type="dxa"/>
            <w:vAlign w:val="center"/>
            <w:hideMark/>
          </w:tcPr>
          <w:p w:rsidR="003801F0" w:rsidRPr="0012550D" w:rsidRDefault="003801F0" w:rsidP="00D527BB">
            <w:pPr>
              <w:spacing w:after="0" w:line="240" w:lineRule="auto"/>
              <w:rPr>
                <w:rFonts w:ascii="Times New Roman" w:eastAsia="Times New Roman" w:hAnsi="Times New Roman" w:cs="Times New Roman"/>
                <w:sz w:val="20"/>
                <w:szCs w:val="20"/>
                <w:lang w:eastAsia="tr-TR"/>
              </w:rPr>
            </w:pPr>
            <w:r w:rsidRPr="0012550D">
              <w:rPr>
                <w:rFonts w:ascii="Times New Roman" w:eastAsia="Times New Roman" w:hAnsi="Times New Roman" w:cs="Times New Roman"/>
                <w:sz w:val="20"/>
                <w:szCs w:val="20"/>
                <w:lang w:eastAsia="tr-TR"/>
              </w:rPr>
              <w:t> </w:t>
            </w:r>
            <w:r w:rsidRPr="0012550D">
              <w:rPr>
                <w:rFonts w:ascii="Times New Roman" w:eastAsia="Times New Roman" w:hAnsi="Times New Roman" w:cs="Times New Roman"/>
                <w:sz w:val="20"/>
                <w:szCs w:val="20"/>
                <w:lang w:eastAsia="tr-TR"/>
              </w:rPr>
              <w:t>Süre: 12–24 h</w:t>
            </w:r>
          </w:p>
        </w:tc>
        <w:tc>
          <w:tcPr>
            <w:tcW w:w="1909"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1284" w:type="dxa"/>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3801F0" w:rsidRPr="00653EDD" w:rsidRDefault="003801F0" w:rsidP="00D527BB">
            <w:pPr>
              <w:spacing w:after="0" w:line="240" w:lineRule="auto"/>
              <w:rPr>
                <w:rFonts w:ascii="Times New Roman" w:eastAsia="Times New Roman" w:hAnsi="Times New Roman" w:cs="Times New Roman"/>
                <w:sz w:val="24"/>
                <w:szCs w:val="24"/>
                <w:lang w:eastAsia="tr-TR"/>
              </w:rPr>
            </w:pPr>
          </w:p>
        </w:tc>
      </w:tr>
    </w:tbl>
    <w:p w:rsidR="003801F0" w:rsidRPr="00747D27" w:rsidRDefault="003801F0" w:rsidP="003801F0">
      <w:pPr>
        <w:shd w:val="clear" w:color="auto" w:fill="F2F2F2" w:themeFill="background1" w:themeFillShade="F2"/>
        <w:spacing w:after="100" w:afterAutospacing="1" w:line="240" w:lineRule="auto"/>
        <w:rPr>
          <w:rFonts w:ascii="Times New Roman" w:eastAsia="Times New Roman" w:hAnsi="Times New Roman" w:cs="Times New Roman"/>
          <w:color w:val="5B9BD5" w:themeColor="accent1"/>
          <w:sz w:val="20"/>
          <w:szCs w:val="20"/>
          <w:lang w:eastAsia="tr-TR"/>
        </w:rPr>
      </w:pPr>
      <w:r>
        <w:rPr>
          <w:rFonts w:ascii="Times New Roman" w:eastAsia="Times New Roman" w:hAnsi="Times New Roman" w:cs="Times New Roman"/>
          <w:color w:val="5B9BD5" w:themeColor="accent1"/>
          <w:lang w:eastAsia="tr-TR"/>
        </w:rPr>
        <w:br w:type="textWrapping" w:clear="all"/>
      </w:r>
      <w:proofErr w:type="gramStart"/>
      <w:r w:rsidR="00747D27" w:rsidRPr="00747D27">
        <w:rPr>
          <w:rFonts w:ascii="Times New Roman" w:eastAsia="Times New Roman" w:hAnsi="Times New Roman" w:cs="Times New Roman"/>
          <w:b/>
          <w:i/>
          <w:sz w:val="20"/>
          <w:szCs w:val="20"/>
          <w:lang w:eastAsia="tr-TR"/>
        </w:rPr>
        <w:t>Kısaltmalar:</w:t>
      </w:r>
      <w:r w:rsidR="00747D27" w:rsidRPr="00747D27">
        <w:rPr>
          <w:rFonts w:ascii="Times New Roman" w:eastAsia="Times New Roman" w:hAnsi="Times New Roman" w:cs="Times New Roman"/>
          <w:sz w:val="20"/>
          <w:szCs w:val="20"/>
          <w:lang w:eastAsia="tr-TR"/>
        </w:rPr>
        <w:t xml:space="preserve"> </w:t>
      </w:r>
      <w:r w:rsidRPr="00747D27">
        <w:rPr>
          <w:rFonts w:ascii="Times New Roman" w:eastAsia="Times New Roman" w:hAnsi="Times New Roman" w:cs="Times New Roman"/>
          <w:sz w:val="20"/>
          <w:szCs w:val="20"/>
          <w:lang w:eastAsia="tr-TR"/>
        </w:rPr>
        <w:t>CB</w:t>
      </w:r>
      <w:r w:rsidRPr="00747D27">
        <w:rPr>
          <w:rFonts w:ascii="Times New Roman" w:eastAsia="Times New Roman" w:hAnsi="Times New Roman" w:cs="Times New Roman"/>
          <w:sz w:val="20"/>
          <w:szCs w:val="20"/>
          <w:vertAlign w:val="subscript"/>
          <w:lang w:eastAsia="tr-TR"/>
        </w:rPr>
        <w:t>1</w:t>
      </w:r>
      <w:r w:rsidR="00747D27" w:rsidRPr="00747D27">
        <w:rPr>
          <w:rFonts w:ascii="Times New Roman" w:eastAsia="Times New Roman" w:hAnsi="Times New Roman" w:cs="Times New Roman"/>
          <w:sz w:val="20"/>
          <w:szCs w:val="20"/>
          <w:vertAlign w:val="subscript"/>
          <w:lang w:eastAsia="tr-TR"/>
        </w:rPr>
        <w:t>-</w:t>
      </w:r>
      <w:r w:rsidR="00747D27" w:rsidRPr="00747D27">
        <w:rPr>
          <w:rFonts w:ascii="Times New Roman" w:eastAsia="Times New Roman" w:hAnsi="Times New Roman" w:cs="Times New Roman"/>
          <w:sz w:val="20"/>
          <w:szCs w:val="20"/>
          <w:lang w:eastAsia="tr-TR"/>
        </w:rPr>
        <w:t>  C</w:t>
      </w:r>
      <w:r w:rsidRPr="00747D27">
        <w:rPr>
          <w:rFonts w:ascii="Times New Roman" w:eastAsia="Times New Roman" w:hAnsi="Times New Roman" w:cs="Times New Roman"/>
          <w:sz w:val="20"/>
          <w:szCs w:val="20"/>
          <w:lang w:eastAsia="tr-TR"/>
        </w:rPr>
        <w:t>ann</w:t>
      </w:r>
      <w:r w:rsidR="00747D27" w:rsidRPr="00747D27">
        <w:rPr>
          <w:rFonts w:ascii="Times New Roman" w:eastAsia="Times New Roman" w:hAnsi="Times New Roman" w:cs="Times New Roman"/>
          <w:sz w:val="20"/>
          <w:szCs w:val="20"/>
          <w:lang w:eastAsia="tr-TR"/>
        </w:rPr>
        <w:t>abinoid receptor subtype 1; CBD- C</w:t>
      </w:r>
      <w:r w:rsidRPr="00747D27">
        <w:rPr>
          <w:rFonts w:ascii="Times New Roman" w:eastAsia="Times New Roman" w:hAnsi="Times New Roman" w:cs="Times New Roman"/>
          <w:sz w:val="20"/>
          <w:szCs w:val="20"/>
          <w:lang w:eastAsia="tr-TR"/>
        </w:rPr>
        <w:t>annabinoid</w:t>
      </w:r>
      <w:r w:rsidR="00747D27" w:rsidRPr="00747D27">
        <w:rPr>
          <w:rFonts w:ascii="Times New Roman" w:eastAsia="Times New Roman" w:hAnsi="Times New Roman" w:cs="Times New Roman"/>
          <w:sz w:val="20"/>
          <w:szCs w:val="20"/>
          <w:lang w:eastAsia="tr-TR"/>
        </w:rPr>
        <w:t>; CCL- C</w:t>
      </w:r>
      <w:r w:rsidRPr="00747D27">
        <w:rPr>
          <w:rFonts w:ascii="Times New Roman" w:eastAsia="Times New Roman" w:hAnsi="Times New Roman" w:cs="Times New Roman"/>
          <w:sz w:val="20"/>
          <w:szCs w:val="20"/>
          <w:lang w:eastAsia="tr-TR"/>
        </w:rPr>
        <w:t>hemokine lig</w:t>
      </w:r>
      <w:r w:rsidR="00747D27" w:rsidRPr="00747D27">
        <w:rPr>
          <w:rFonts w:ascii="Times New Roman" w:eastAsia="Times New Roman" w:hAnsi="Times New Roman" w:cs="Times New Roman"/>
          <w:sz w:val="20"/>
          <w:szCs w:val="20"/>
          <w:lang w:eastAsia="tr-TR"/>
        </w:rPr>
        <w:t>and; CYP, cytochrome P450; FAAH- Fatty acid amide hydrolase; FDA-</w:t>
      </w:r>
      <w:r w:rsidRPr="00747D27">
        <w:rPr>
          <w:rFonts w:ascii="Times New Roman" w:eastAsia="Times New Roman" w:hAnsi="Times New Roman" w:cs="Times New Roman"/>
          <w:sz w:val="20"/>
          <w:szCs w:val="20"/>
          <w:lang w:eastAsia="tr-TR"/>
        </w:rPr>
        <w:t xml:space="preserve"> US Foo</w:t>
      </w:r>
      <w:r w:rsidR="00747D27" w:rsidRPr="00747D27">
        <w:rPr>
          <w:rFonts w:ascii="Times New Roman" w:eastAsia="Times New Roman" w:hAnsi="Times New Roman" w:cs="Times New Roman"/>
          <w:sz w:val="20"/>
          <w:szCs w:val="20"/>
          <w:lang w:eastAsia="tr-TR"/>
        </w:rPr>
        <w:t>d and Drug Administration; GABA- γ-aminobutyric acid; GPR55-</w:t>
      </w:r>
      <w:r w:rsidRPr="00747D27">
        <w:rPr>
          <w:rFonts w:ascii="Times New Roman" w:eastAsia="Times New Roman" w:hAnsi="Times New Roman" w:cs="Times New Roman"/>
          <w:sz w:val="20"/>
          <w:szCs w:val="20"/>
          <w:lang w:eastAsia="tr-TR"/>
        </w:rPr>
        <w:t xml:space="preserve"> G-pr</w:t>
      </w:r>
      <w:r w:rsidR="00747D27" w:rsidRPr="00747D27">
        <w:rPr>
          <w:rFonts w:ascii="Times New Roman" w:eastAsia="Times New Roman" w:hAnsi="Times New Roman" w:cs="Times New Roman"/>
          <w:sz w:val="20"/>
          <w:szCs w:val="20"/>
          <w:lang w:eastAsia="tr-TR"/>
        </w:rPr>
        <w:t>otein coupled receptor 55; HPFB-</w:t>
      </w:r>
      <w:r w:rsidRPr="00747D27">
        <w:rPr>
          <w:rFonts w:ascii="Times New Roman" w:eastAsia="Times New Roman" w:hAnsi="Times New Roman" w:cs="Times New Roman"/>
          <w:sz w:val="20"/>
          <w:szCs w:val="20"/>
          <w:lang w:eastAsia="tr-TR"/>
        </w:rPr>
        <w:t xml:space="preserve"> Health Products and Foo</w:t>
      </w:r>
      <w:r w:rsidR="00747D27" w:rsidRPr="00747D27">
        <w:rPr>
          <w:rFonts w:ascii="Times New Roman" w:eastAsia="Times New Roman" w:hAnsi="Times New Roman" w:cs="Times New Roman"/>
          <w:sz w:val="20"/>
          <w:szCs w:val="20"/>
          <w:lang w:eastAsia="tr-TR"/>
        </w:rPr>
        <w:t>d Branch of Health Canada; 5-HT-</w:t>
      </w:r>
      <w:r w:rsidRPr="00747D27">
        <w:rPr>
          <w:rFonts w:ascii="Times New Roman" w:eastAsia="Times New Roman" w:hAnsi="Times New Roman" w:cs="Times New Roman"/>
          <w:sz w:val="20"/>
          <w:szCs w:val="20"/>
          <w:lang w:eastAsia="tr-TR"/>
        </w:rPr>
        <w:t xml:space="preserve"> 5-hydroxyt</w:t>
      </w:r>
      <w:r w:rsidR="00747D27" w:rsidRPr="00747D27">
        <w:rPr>
          <w:rFonts w:ascii="Times New Roman" w:eastAsia="Times New Roman" w:hAnsi="Times New Roman" w:cs="Times New Roman"/>
          <w:sz w:val="20"/>
          <w:szCs w:val="20"/>
          <w:lang w:eastAsia="tr-TR"/>
        </w:rPr>
        <w:t>ryptamine; IL- İnterleukin; IFN- interferon; NF-κB-  Nuclear factor-κB; PPARγ- P</w:t>
      </w:r>
      <w:r w:rsidRPr="00747D27">
        <w:rPr>
          <w:rFonts w:ascii="Times New Roman" w:eastAsia="Times New Roman" w:hAnsi="Times New Roman" w:cs="Times New Roman"/>
          <w:sz w:val="20"/>
          <w:szCs w:val="20"/>
          <w:lang w:eastAsia="tr-TR"/>
        </w:rPr>
        <w:t>eroxisome prolife</w:t>
      </w:r>
      <w:r w:rsidR="00747D27" w:rsidRPr="00747D27">
        <w:rPr>
          <w:rFonts w:ascii="Times New Roman" w:eastAsia="Times New Roman" w:hAnsi="Times New Roman" w:cs="Times New Roman"/>
          <w:sz w:val="20"/>
          <w:szCs w:val="20"/>
          <w:lang w:eastAsia="tr-TR"/>
        </w:rPr>
        <w:t>rator-activated receptor-γ; THC- Δ-9-tetrahydrocannabinol; TNF- Tumor necrosis factor; TRPA- T</w:t>
      </w:r>
      <w:r w:rsidRPr="00747D27">
        <w:rPr>
          <w:rFonts w:ascii="Times New Roman" w:eastAsia="Times New Roman" w:hAnsi="Times New Roman" w:cs="Times New Roman"/>
          <w:sz w:val="20"/>
          <w:szCs w:val="20"/>
          <w:lang w:eastAsia="tr-TR"/>
        </w:rPr>
        <w:t>ransient r</w:t>
      </w:r>
      <w:r w:rsidR="00747D27" w:rsidRPr="00747D27">
        <w:rPr>
          <w:rFonts w:ascii="Times New Roman" w:eastAsia="Times New Roman" w:hAnsi="Times New Roman" w:cs="Times New Roman"/>
          <w:sz w:val="20"/>
          <w:szCs w:val="20"/>
          <w:lang w:eastAsia="tr-TR"/>
        </w:rPr>
        <w:t>eceptor potential ankyrin; TRPV- T</w:t>
      </w:r>
      <w:r w:rsidRPr="00747D27">
        <w:rPr>
          <w:rFonts w:ascii="Times New Roman" w:eastAsia="Times New Roman" w:hAnsi="Times New Roman" w:cs="Times New Roman"/>
          <w:sz w:val="20"/>
          <w:szCs w:val="20"/>
          <w:lang w:eastAsia="tr-TR"/>
        </w:rPr>
        <w:t>ransient receptor pote</w:t>
      </w:r>
      <w:r w:rsidR="00747D27" w:rsidRPr="00747D27">
        <w:rPr>
          <w:rFonts w:ascii="Times New Roman" w:eastAsia="Times New Roman" w:hAnsi="Times New Roman" w:cs="Times New Roman"/>
          <w:sz w:val="20"/>
          <w:szCs w:val="20"/>
          <w:lang w:eastAsia="tr-TR"/>
        </w:rPr>
        <w:t>ntial vanilloid; and UGT- U</w:t>
      </w:r>
      <w:r w:rsidRPr="00747D27">
        <w:rPr>
          <w:rFonts w:ascii="Times New Roman" w:eastAsia="Times New Roman" w:hAnsi="Times New Roman" w:cs="Times New Roman"/>
          <w:sz w:val="20"/>
          <w:szCs w:val="20"/>
          <w:lang w:eastAsia="tr-TR"/>
        </w:rPr>
        <w:t>ridine 5’-diphospho-glucuronosyltransferase</w:t>
      </w:r>
      <w:r w:rsidRPr="00747D27">
        <w:rPr>
          <w:rFonts w:ascii="Times New Roman" w:eastAsia="Times New Roman" w:hAnsi="Times New Roman" w:cs="Times New Roman"/>
          <w:color w:val="5B9BD5" w:themeColor="accent1"/>
          <w:sz w:val="20"/>
          <w:szCs w:val="20"/>
          <w:lang w:eastAsia="tr-TR"/>
        </w:rPr>
        <w:t>.</w:t>
      </w:r>
      <w:proofErr w:type="gramEnd"/>
    </w:p>
    <w:p w:rsidR="003801F0" w:rsidRPr="005A762B" w:rsidRDefault="003801F0" w:rsidP="003801F0">
      <w:pPr>
        <w:shd w:val="clear" w:color="auto" w:fill="F2F2F2" w:themeFill="background1" w:themeFillShade="F2"/>
        <w:spacing w:after="100" w:afterAutospacing="1" w:line="240" w:lineRule="auto"/>
        <w:rPr>
          <w:rFonts w:ascii="Times New Roman" w:eastAsia="Times New Roman" w:hAnsi="Times New Roman" w:cs="Times New Roman"/>
          <w:sz w:val="24"/>
          <w:szCs w:val="24"/>
          <w:lang w:eastAsia="tr-TR"/>
        </w:rPr>
      </w:pPr>
      <w:r w:rsidRPr="00747D27">
        <w:rPr>
          <w:rFonts w:ascii="Times New Roman" w:eastAsia="Times New Roman" w:hAnsi="Times New Roman" w:cs="Times New Roman"/>
          <w:sz w:val="20"/>
          <w:szCs w:val="20"/>
          <w:lang w:eastAsia="tr-TR"/>
        </w:rPr>
        <w:t xml:space="preserve">Kannabinoidlerin klinik etkileri için </w:t>
      </w:r>
      <w:r w:rsidRPr="00747D27">
        <w:rPr>
          <w:rFonts w:ascii="Times New Roman" w:eastAsia="Times New Roman" w:hAnsi="Times New Roman" w:cs="Times New Roman"/>
          <w:color w:val="C00000"/>
          <w:sz w:val="20"/>
          <w:szCs w:val="20"/>
          <w:lang w:eastAsia="tr-TR"/>
        </w:rPr>
        <w:t>Figür</w:t>
      </w:r>
      <w:r w:rsidRPr="00747D27">
        <w:rPr>
          <w:rFonts w:ascii="Times New Roman" w:eastAsia="Times New Roman" w:hAnsi="Times New Roman" w:cs="Times New Roman"/>
          <w:b/>
          <w:i/>
          <w:color w:val="C00000"/>
          <w:sz w:val="20"/>
          <w:szCs w:val="20"/>
          <w:u w:val="single"/>
          <w:lang w:eastAsia="tr-TR"/>
        </w:rPr>
        <w:t xml:space="preserve"> 4 ve 5</w:t>
      </w:r>
      <w:r w:rsidRPr="00747D27">
        <w:rPr>
          <w:rFonts w:ascii="Times New Roman" w:eastAsia="Times New Roman" w:hAnsi="Times New Roman" w:cs="Times New Roman"/>
          <w:b/>
          <w:i/>
          <w:sz w:val="20"/>
          <w:szCs w:val="20"/>
          <w:u w:val="single"/>
          <w:lang w:eastAsia="tr-TR"/>
        </w:rPr>
        <w:t>'e</w:t>
      </w:r>
      <w:r w:rsidRPr="00747D27">
        <w:rPr>
          <w:rFonts w:ascii="Times New Roman" w:eastAsia="Times New Roman" w:hAnsi="Times New Roman" w:cs="Times New Roman"/>
          <w:sz w:val="20"/>
          <w:szCs w:val="20"/>
          <w:lang w:eastAsia="tr-TR"/>
        </w:rPr>
        <w:t xml:space="preserve"> bakınız</w:t>
      </w:r>
      <w:r w:rsidRPr="005A762B">
        <w:rPr>
          <w:rFonts w:ascii="Times New Roman" w:eastAsia="Times New Roman" w:hAnsi="Times New Roman" w:cs="Times New Roman"/>
          <w:sz w:val="24"/>
          <w:szCs w:val="24"/>
          <w:lang w:eastAsia="tr-TR"/>
        </w:rPr>
        <w:t>.</w:t>
      </w:r>
    </w:p>
    <w:p w:rsidR="003801F0" w:rsidRDefault="003801F0" w:rsidP="003801F0">
      <w:pPr>
        <w:pStyle w:val="NormalWeb"/>
        <w:shd w:val="clear" w:color="auto" w:fill="FFFFFF"/>
      </w:pPr>
    </w:p>
    <w:p w:rsidR="00AB5F2D" w:rsidRPr="003801F0" w:rsidRDefault="00424C63" w:rsidP="000C56F9">
      <w:pPr>
        <w:pStyle w:val="NormalWeb"/>
        <w:shd w:val="clear" w:color="auto" w:fill="FFFFFF"/>
        <w:rPr>
          <w:b/>
          <w:color w:val="C00000"/>
          <w:sz w:val="28"/>
          <w:szCs w:val="28"/>
        </w:rPr>
      </w:pPr>
      <w:r w:rsidRPr="003801F0">
        <w:rPr>
          <w:b/>
          <w:color w:val="C00000"/>
          <w:sz w:val="28"/>
          <w:szCs w:val="28"/>
        </w:rPr>
        <w:t>F</w:t>
      </w:r>
      <w:r w:rsidR="00726E3A" w:rsidRPr="003801F0">
        <w:rPr>
          <w:b/>
          <w:color w:val="C00000"/>
          <w:sz w:val="28"/>
          <w:szCs w:val="28"/>
        </w:rPr>
        <w:t>ORMULASYONLAR</w:t>
      </w:r>
    </w:p>
    <w:p w:rsidR="00291091" w:rsidRDefault="00291091" w:rsidP="00291091">
      <w:pPr>
        <w:pStyle w:val="NormalWeb"/>
        <w:shd w:val="clear" w:color="auto" w:fill="FFFFFF"/>
      </w:pPr>
      <w:r w:rsidRPr="00291091">
        <w:t xml:space="preserve">Esrar ürünleri saf THC veya CBD veya bunların </w:t>
      </w:r>
      <w:proofErr w:type="gramStart"/>
      <w:r w:rsidRPr="00291091">
        <w:t>kombinasyonunu</w:t>
      </w:r>
      <w:proofErr w:type="gramEnd"/>
      <w:r w:rsidRPr="00291091">
        <w:t xml:space="preserve"> içerebilir. </w:t>
      </w:r>
      <w:r>
        <w:t>Ürünler formülasyon ve uygulamada değişiklik gösterebilir (</w:t>
      </w:r>
      <w:r w:rsidR="005F3A6E" w:rsidRPr="005674C7">
        <w:rPr>
          <w:b/>
          <w:i/>
          <w:color w:val="C00000"/>
          <w:u w:val="single"/>
        </w:rPr>
        <w:t>Figür 2</w:t>
      </w:r>
      <w:r w:rsidRPr="005674C7">
        <w:t>).</w:t>
      </w:r>
      <w:r w:rsidRPr="00291091">
        <w:t xml:space="preserve"> Ürünler, eyalet yasalarına bağlı </w:t>
      </w:r>
      <w:r w:rsidRPr="00291091">
        <w:lastRenderedPageBreak/>
        <w:t>olarak tıbbi ve eğlence amaçlı kullanım için bir dispanserden satın alınabilir. Farm Bill</w:t>
      </w:r>
      <w:r w:rsidR="00BF3469">
        <w:t xml:space="preserve"> (çiftlik faturas)</w:t>
      </w:r>
      <w:r w:rsidRPr="00291091">
        <w:t>'in geçmesiyle, topikal saf CBD ürünleri eczanelerde reçetesiz olarak pazarlanabilir ve satın alınabilir.</w:t>
      </w:r>
      <w:r w:rsidR="00B22A5E" w:rsidRPr="00B22A5E">
        <w:t xml:space="preserve"> Ancak bu topikal ürünler</w:t>
      </w:r>
      <w:r w:rsidR="00B22A5E">
        <w:t>in hastalıkları önlediği, teşhis ettiği, tedavi ettiği veya iyileştirdiği</w:t>
      </w:r>
      <w:r w:rsidR="00B22A5E" w:rsidRPr="00B22A5E">
        <w:t xml:space="preserve"> iddia ed</w:t>
      </w:r>
      <w:r w:rsidR="00B22A5E">
        <w:t>il</w:t>
      </w:r>
      <w:r w:rsidR="00B22A5E" w:rsidRPr="00B22A5E">
        <w:t>emez; dolayısıyla diğer reçetesiz ürünler gibi ABD FDA ilaç onay sürecine tabi değildirler.</w:t>
      </w:r>
      <w:r w:rsidR="009C677D" w:rsidRPr="009C677D">
        <w:t xml:space="preserve"> ABD FDA</w:t>
      </w:r>
      <w:r w:rsidR="009C677D">
        <w:t xml:space="preserve"> (Food andDrug Administratıon)</w:t>
      </w:r>
      <w:r w:rsidR="009C677D" w:rsidRPr="009C677D">
        <w:t xml:space="preserve">, bu topikal ürünlerin bazılarında CBD içeriğini test etti ve birçoğunun etikette iddia ettikleri CBD </w:t>
      </w:r>
      <w:proofErr w:type="gramStart"/>
      <w:r w:rsidR="009C677D" w:rsidRPr="009C677D">
        <w:t>konsantrasyonlarını</w:t>
      </w:r>
      <w:proofErr w:type="gramEnd"/>
      <w:r w:rsidR="009C677D" w:rsidRPr="009C677D">
        <w:t xml:space="preserve"> içermediği bulundu.</w:t>
      </w:r>
    </w:p>
    <w:p w:rsidR="000E2924" w:rsidRDefault="000E2924" w:rsidP="00291091">
      <w:pPr>
        <w:pStyle w:val="NormalWeb"/>
        <w:shd w:val="clear" w:color="auto" w:fill="FFFFFF"/>
      </w:pPr>
    </w:p>
    <w:p w:rsidR="000E2924" w:rsidRDefault="000E2924" w:rsidP="00291091">
      <w:pPr>
        <w:pStyle w:val="NormalWeb"/>
        <w:shd w:val="clear" w:color="auto" w:fill="FFFFFF"/>
      </w:pPr>
    </w:p>
    <w:p w:rsidR="000E2924" w:rsidRPr="000E2924" w:rsidRDefault="000E2924" w:rsidP="00761EBF">
      <w:pPr>
        <w:pStyle w:val="NormalWeb"/>
        <w:shd w:val="clear" w:color="auto" w:fill="FFFFFF"/>
        <w:rPr>
          <w:sz w:val="28"/>
          <w:szCs w:val="28"/>
        </w:rPr>
      </w:pPr>
      <w:r w:rsidRPr="000E2924">
        <w:rPr>
          <w:noProof/>
          <w:sz w:val="28"/>
          <w:szCs w:val="28"/>
        </w:rPr>
        <w:drawing>
          <wp:inline distT="0" distB="0" distL="0" distR="0" wp14:anchorId="7A726091" wp14:editId="145E1685">
            <wp:extent cx="5760720" cy="323977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239770"/>
                    </a:xfrm>
                    <a:prstGeom prst="rect">
                      <a:avLst/>
                    </a:prstGeom>
                  </pic:spPr>
                </pic:pic>
              </a:graphicData>
            </a:graphic>
          </wp:inline>
        </w:drawing>
      </w:r>
    </w:p>
    <w:p w:rsidR="000E2924" w:rsidRPr="000E2924" w:rsidRDefault="005674C7" w:rsidP="00761EBF">
      <w:pPr>
        <w:pStyle w:val="NormalWeb"/>
        <w:shd w:val="clear" w:color="auto" w:fill="FFFFFF"/>
        <w:rPr>
          <w:b/>
        </w:rPr>
      </w:pPr>
      <w:r>
        <w:rPr>
          <w:b/>
          <w:color w:val="C00000"/>
          <w:sz w:val="28"/>
          <w:szCs w:val="28"/>
          <w:u w:val="single"/>
        </w:rPr>
        <w:t>Figür 2</w:t>
      </w:r>
      <w:r w:rsidR="000E2924" w:rsidRPr="000E2924">
        <w:rPr>
          <w:b/>
          <w:color w:val="C00000"/>
          <w:sz w:val="28"/>
          <w:szCs w:val="28"/>
          <w:u w:val="single"/>
        </w:rPr>
        <w:t>.</w:t>
      </w:r>
      <w:r w:rsidR="000E2924" w:rsidRPr="000E2924">
        <w:rPr>
          <w:color w:val="C00000"/>
        </w:rPr>
        <w:t xml:space="preserve"> </w:t>
      </w:r>
      <w:r w:rsidR="000E2924" w:rsidRPr="000E2924">
        <w:rPr>
          <w:b/>
        </w:rPr>
        <w:t>Kanabinoidlerin yaygın formülasyonlarının ve veriliş biçimlerinin özeti.</w:t>
      </w:r>
    </w:p>
    <w:p w:rsidR="005A16F9" w:rsidRPr="00E33EF2" w:rsidRDefault="00912F27" w:rsidP="00747D27">
      <w:pPr>
        <w:pStyle w:val="NormalWeb"/>
        <w:shd w:val="clear" w:color="auto" w:fill="F2F2F2" w:themeFill="background1" w:themeFillShade="F2"/>
        <w:rPr>
          <w:sz w:val="20"/>
          <w:szCs w:val="20"/>
        </w:rPr>
      </w:pPr>
      <w:r w:rsidRPr="00E33EF2">
        <w:rPr>
          <w:b/>
          <w:i/>
          <w:sz w:val="20"/>
          <w:szCs w:val="20"/>
        </w:rPr>
        <w:t>Kısaltmalar</w:t>
      </w:r>
      <w:r w:rsidRPr="00E33EF2">
        <w:rPr>
          <w:sz w:val="20"/>
          <w:szCs w:val="20"/>
        </w:rPr>
        <w:t xml:space="preserve">: CBD- Cannabidiol; and THC,- </w:t>
      </w:r>
      <w:r w:rsidRPr="00E33EF2">
        <w:rPr>
          <w:rFonts w:eastAsia="GandhariUnicode-Roman"/>
          <w:sz w:val="20"/>
          <w:szCs w:val="20"/>
        </w:rPr>
        <w:t>Δ</w:t>
      </w:r>
      <w:r w:rsidRPr="00E33EF2">
        <w:rPr>
          <w:sz w:val="20"/>
          <w:szCs w:val="20"/>
        </w:rPr>
        <w:t>-9-tetrahydrocannabinol.</w:t>
      </w:r>
    </w:p>
    <w:p w:rsidR="00912F27" w:rsidRPr="00E33EF2" w:rsidRDefault="00912F27" w:rsidP="00747D27">
      <w:pPr>
        <w:pStyle w:val="NormalWeb"/>
        <w:shd w:val="clear" w:color="auto" w:fill="F2F2F2" w:themeFill="background1" w:themeFillShade="F2"/>
        <w:rPr>
          <w:sz w:val="20"/>
          <w:szCs w:val="20"/>
        </w:rPr>
      </w:pPr>
      <w:r w:rsidRPr="00E33EF2">
        <w:rPr>
          <w:sz w:val="20"/>
          <w:szCs w:val="20"/>
        </w:rPr>
        <w:t xml:space="preserve"> </w:t>
      </w:r>
      <w:r w:rsidRPr="00E33EF2">
        <w:rPr>
          <w:b/>
          <w:color w:val="C00000"/>
        </w:rPr>
        <w:t>*</w:t>
      </w:r>
      <w:r w:rsidRPr="00E33EF2">
        <w:rPr>
          <w:b/>
          <w:i/>
          <w:sz w:val="20"/>
          <w:szCs w:val="20"/>
        </w:rPr>
        <w:t>Sentetik reçeteli kannabinoidler:</w:t>
      </w:r>
      <w:r w:rsidRPr="00E33EF2">
        <w:rPr>
          <w:sz w:val="20"/>
          <w:szCs w:val="20"/>
        </w:rPr>
        <w:t xml:space="preserve"> Epidiolex (CBD): Amerika Birleşik Devletleri'nde mevcuttur; Greenwich Biosciences tarafından oral solüsyon olarak pazarlanmaktadır. </w:t>
      </w:r>
      <w:r w:rsidRPr="00E33EF2">
        <w:rPr>
          <w:i/>
          <w:sz w:val="20"/>
          <w:szCs w:val="20"/>
        </w:rPr>
        <w:t>Epidiolex</w:t>
      </w:r>
      <w:r w:rsidRPr="00E33EF2">
        <w:rPr>
          <w:sz w:val="20"/>
          <w:szCs w:val="20"/>
        </w:rPr>
        <w:t xml:space="preserve">, ≥2 yaşındaki hastalarda Lennox-Gastaut </w:t>
      </w:r>
      <w:proofErr w:type="gramStart"/>
      <w:r w:rsidRPr="00E33EF2">
        <w:rPr>
          <w:sz w:val="20"/>
          <w:szCs w:val="20"/>
        </w:rPr>
        <w:t>sendromu</w:t>
      </w:r>
      <w:proofErr w:type="gramEnd"/>
      <w:r w:rsidRPr="00E33EF2">
        <w:rPr>
          <w:sz w:val="20"/>
          <w:szCs w:val="20"/>
        </w:rPr>
        <w:t xml:space="preserve"> veya Dravet sendromu ile ilişkili nöbetlerin tedavisi için onaylanan ilk ve tek saflaştırılmış bitki kaynaklı CBD reçeteli ilaçtır. </w:t>
      </w:r>
      <w:r w:rsidRPr="00E33EF2">
        <w:rPr>
          <w:i/>
          <w:sz w:val="20"/>
          <w:szCs w:val="20"/>
        </w:rPr>
        <w:t>Marinol</w:t>
      </w:r>
      <w:r w:rsidRPr="00E33EF2">
        <w:rPr>
          <w:sz w:val="20"/>
          <w:szCs w:val="20"/>
        </w:rPr>
        <w:t xml:space="preserve"> (dronabinol): Amerika Birleşik Devletleri ve Kanada'da mevcuttur; AbbVie Pharmaceuticals tarafından </w:t>
      </w:r>
      <w:proofErr w:type="gramStart"/>
      <w:r w:rsidRPr="00E33EF2">
        <w:rPr>
          <w:sz w:val="20"/>
          <w:szCs w:val="20"/>
        </w:rPr>
        <w:t>jenerik</w:t>
      </w:r>
      <w:proofErr w:type="gramEnd"/>
      <w:r w:rsidRPr="00E33EF2">
        <w:rPr>
          <w:sz w:val="20"/>
          <w:szCs w:val="20"/>
        </w:rPr>
        <w:t xml:space="preserve"> bir kapsül olarak pazarlanan; ve Amerika Birleşik Devletleri'nde Çizelge III kontrollü bir madde olarak etiketlendi. Marinol (dronabinol), THC'yi taklit eder ve AIDS'li erişkin hastalarda kilo kaybıyla ilişkili anoreksi ve geleneksel tedavide başarısız olan erişkinlerde </w:t>
      </w:r>
      <w:proofErr w:type="gramStart"/>
      <w:r w:rsidRPr="00E33EF2">
        <w:rPr>
          <w:sz w:val="20"/>
          <w:szCs w:val="20"/>
        </w:rPr>
        <w:t>kemoterapiyle</w:t>
      </w:r>
      <w:proofErr w:type="gramEnd"/>
      <w:r w:rsidRPr="00E33EF2">
        <w:rPr>
          <w:sz w:val="20"/>
          <w:szCs w:val="20"/>
        </w:rPr>
        <w:t xml:space="preserve"> ilişkili bulantı ve kusma için endikedir. </w:t>
      </w:r>
      <w:r w:rsidRPr="00E33EF2">
        <w:rPr>
          <w:i/>
          <w:sz w:val="20"/>
          <w:szCs w:val="20"/>
        </w:rPr>
        <w:t xml:space="preserve">Cesamet </w:t>
      </w:r>
      <w:r w:rsidRPr="00E33EF2">
        <w:rPr>
          <w:sz w:val="20"/>
          <w:szCs w:val="20"/>
        </w:rPr>
        <w:t xml:space="preserve">(nabilone): Amerika Birleşik Devletleri ve Kanada'da mevcuttur; Valeant Pharmaceuticals tarafından bir kapsül olarak </w:t>
      </w:r>
      <w:proofErr w:type="gramStart"/>
      <w:r w:rsidRPr="00E33EF2">
        <w:rPr>
          <w:sz w:val="20"/>
          <w:szCs w:val="20"/>
        </w:rPr>
        <w:t>pazarlanan;</w:t>
      </w:r>
      <w:proofErr w:type="gramEnd"/>
      <w:r w:rsidRPr="00E33EF2">
        <w:rPr>
          <w:sz w:val="20"/>
          <w:szCs w:val="20"/>
        </w:rPr>
        <w:t xml:space="preserve"> ve Amerika Birleşik Devletleri'nde Çizelge II kontrollü bir maddedir.</w:t>
      </w:r>
      <w:r w:rsidR="005A16F9" w:rsidRPr="00E33EF2">
        <w:rPr>
          <w:sz w:val="20"/>
          <w:szCs w:val="20"/>
        </w:rPr>
        <w:t xml:space="preserve"> Cesamet (nabilone) THC'yi taklit eder ve 18 yaş ve üstü erişkinlerde kanser </w:t>
      </w:r>
      <w:proofErr w:type="gramStart"/>
      <w:r w:rsidR="005A16F9" w:rsidRPr="00E33EF2">
        <w:rPr>
          <w:sz w:val="20"/>
          <w:szCs w:val="20"/>
        </w:rPr>
        <w:t>kemoterapisi</w:t>
      </w:r>
      <w:proofErr w:type="gramEnd"/>
      <w:r w:rsidR="005A16F9" w:rsidRPr="00E33EF2">
        <w:rPr>
          <w:sz w:val="20"/>
          <w:szCs w:val="20"/>
        </w:rPr>
        <w:t xml:space="preserve"> ile ilişkili şiddetli bulantı ve kusmanın tedavisi için endikedir. </w:t>
      </w:r>
      <w:r w:rsidR="005A16F9" w:rsidRPr="00E33EF2">
        <w:rPr>
          <w:i/>
          <w:sz w:val="20"/>
          <w:szCs w:val="20"/>
        </w:rPr>
        <w:t>Sativex</w:t>
      </w:r>
      <w:r w:rsidR="005A16F9" w:rsidRPr="00E33EF2">
        <w:rPr>
          <w:sz w:val="20"/>
          <w:szCs w:val="20"/>
        </w:rPr>
        <w:t xml:space="preserve"> (CBD +THC): Kanada'da mevcuttur; GW Pharmaceuticals tarafından bir oromukozal sprey olarak pazarlanmaktadır. Sativex, CBD'nin THC'ye </w:t>
      </w:r>
      <w:proofErr w:type="gramStart"/>
      <w:r w:rsidR="005A16F9" w:rsidRPr="00E33EF2">
        <w:rPr>
          <w:sz w:val="20"/>
          <w:szCs w:val="20"/>
        </w:rPr>
        <w:t>1:1</w:t>
      </w:r>
      <w:proofErr w:type="gramEnd"/>
      <w:r w:rsidR="005A16F9" w:rsidRPr="00E33EF2">
        <w:rPr>
          <w:sz w:val="20"/>
          <w:szCs w:val="20"/>
        </w:rPr>
        <w:t xml:space="preserve"> oranıdır ve Cannabis sativa'dan formüle edilmiş bir ekstrakttır. Multipl sklerozdan kaynaklanan spastisite için onaylanmıştır.</w:t>
      </w:r>
    </w:p>
    <w:p w:rsidR="00E36D6E" w:rsidRPr="00E33EF2" w:rsidRDefault="005A16F9" w:rsidP="00747D27">
      <w:pPr>
        <w:pStyle w:val="NormalWeb"/>
        <w:shd w:val="clear" w:color="auto" w:fill="F2F2F2" w:themeFill="background1" w:themeFillShade="F2"/>
        <w:rPr>
          <w:sz w:val="20"/>
          <w:szCs w:val="20"/>
        </w:rPr>
      </w:pPr>
      <w:r w:rsidRPr="00E33EF2">
        <w:rPr>
          <w:color w:val="C00000"/>
        </w:rPr>
        <w:t>**</w:t>
      </w:r>
      <w:r w:rsidRPr="00E33EF2">
        <w:rPr>
          <w:b/>
          <w:i/>
          <w:sz w:val="20"/>
          <w:szCs w:val="20"/>
        </w:rPr>
        <w:t>Terminoloji:</w:t>
      </w:r>
      <w:r w:rsidRPr="00E33EF2">
        <w:rPr>
          <w:sz w:val="20"/>
          <w:szCs w:val="20"/>
        </w:rPr>
        <w:t xml:space="preserve"> </w:t>
      </w:r>
      <w:r w:rsidRPr="00E33EF2">
        <w:rPr>
          <w:i/>
          <w:sz w:val="20"/>
          <w:szCs w:val="20"/>
        </w:rPr>
        <w:t>Badder/budder</w:t>
      </w:r>
      <w:r w:rsidRPr="00E33EF2">
        <w:rPr>
          <w:sz w:val="20"/>
          <w:szCs w:val="20"/>
        </w:rPr>
        <w:t>: Kenevir</w:t>
      </w:r>
      <w:r w:rsidR="00C61A0C" w:rsidRPr="00E33EF2">
        <w:rPr>
          <w:sz w:val="20"/>
          <w:szCs w:val="20"/>
        </w:rPr>
        <w:t xml:space="preserve"> (kannabis)</w:t>
      </w:r>
      <w:r w:rsidRPr="00E33EF2">
        <w:rPr>
          <w:sz w:val="20"/>
          <w:szCs w:val="20"/>
        </w:rPr>
        <w:t xml:space="preserve"> </w:t>
      </w:r>
      <w:proofErr w:type="gramStart"/>
      <w:r w:rsidRPr="00E33EF2">
        <w:rPr>
          <w:sz w:val="20"/>
          <w:szCs w:val="20"/>
        </w:rPr>
        <w:t>konsantresi</w:t>
      </w:r>
      <w:proofErr w:type="gramEnd"/>
      <w:r w:rsidRPr="00E33EF2">
        <w:rPr>
          <w:sz w:val="20"/>
          <w:szCs w:val="20"/>
        </w:rPr>
        <w:t xml:space="preserve">, kek benzeri bir hamur elde etmek için ısı altında çırpılır. Konsantre: fazla bitki materyalini ve diğer safsızlıkları giderirken yalnızca en çok arzu edilen </w:t>
      </w:r>
      <w:r w:rsidRPr="00E33EF2">
        <w:rPr>
          <w:sz w:val="20"/>
          <w:szCs w:val="20"/>
        </w:rPr>
        <w:lastRenderedPageBreak/>
        <w:t>bitki bileşiklerini (öncelikle kannabinoidler ve terpenler) tutmak için işlenmiş kenevir bitkisinden yapılan ürünler</w:t>
      </w:r>
      <w:r w:rsidR="00C61A0C" w:rsidRPr="00E33EF2">
        <w:rPr>
          <w:sz w:val="20"/>
          <w:szCs w:val="20"/>
        </w:rPr>
        <w:t xml:space="preserve">. Crumble: petek benzeri bir kıvama sahip kurutulmuş kenevir yağı. Çözücü kullanılmadan yapılan </w:t>
      </w:r>
      <w:proofErr w:type="gramStart"/>
      <w:r w:rsidR="00C61A0C" w:rsidRPr="00E33EF2">
        <w:rPr>
          <w:sz w:val="20"/>
          <w:szCs w:val="20"/>
        </w:rPr>
        <w:t>konsantreler</w:t>
      </w:r>
      <w:proofErr w:type="gramEnd"/>
      <w:r w:rsidR="00C61A0C" w:rsidRPr="00E33EF2">
        <w:rPr>
          <w:sz w:val="20"/>
          <w:szCs w:val="20"/>
        </w:rPr>
        <w:t>, trikomları çıkarmak ve toplamak için mekanik veya fiziksel araçlarla üretilir. Kristalin: saf kristal yapılarında izole edilmiş kanabinoidler. Distilat: tipik olarak tat, koku ve tat içermeyen rafine kannabinoid yağı.</w:t>
      </w:r>
    </w:p>
    <w:p w:rsidR="00E36D6E" w:rsidRPr="00E33EF2" w:rsidRDefault="00E36D6E" w:rsidP="00747D27">
      <w:pPr>
        <w:pStyle w:val="NormalWeb"/>
        <w:shd w:val="clear" w:color="auto" w:fill="F2F2F2" w:themeFill="background1" w:themeFillShade="F2"/>
        <w:rPr>
          <w:sz w:val="20"/>
          <w:szCs w:val="20"/>
        </w:rPr>
      </w:pPr>
      <w:r w:rsidRPr="00E33EF2">
        <w:rPr>
          <w:sz w:val="20"/>
          <w:szCs w:val="20"/>
        </w:rPr>
        <w:t xml:space="preserve">Çoğu yenilebilir yiyecek ve buharlaştırma kartuşunun temelidir. Yenilebilirler: THC, CBD veya her ikisinin </w:t>
      </w:r>
      <w:proofErr w:type="gramStart"/>
      <w:r w:rsidRPr="00E33EF2">
        <w:rPr>
          <w:sz w:val="20"/>
          <w:szCs w:val="20"/>
        </w:rPr>
        <w:t>konsantrasyonlarında</w:t>
      </w:r>
      <w:proofErr w:type="gramEnd"/>
      <w:r w:rsidRPr="00E33EF2">
        <w:rPr>
          <w:sz w:val="20"/>
          <w:szCs w:val="20"/>
        </w:rPr>
        <w:t xml:space="preserve"> değişen kannabis içeren bir gıda ürünü olarak da bilinir. Örnekler arasında unlu mamuller, tozlar, şekerler, patlamış mısır ve içecekler sayılabilir. </w:t>
      </w:r>
      <w:r w:rsidRPr="00E33EF2">
        <w:rPr>
          <w:i/>
          <w:sz w:val="20"/>
          <w:szCs w:val="20"/>
        </w:rPr>
        <w:t>Ekstrak</w:t>
      </w:r>
      <w:r w:rsidRPr="00E33EF2">
        <w:rPr>
          <w:sz w:val="20"/>
          <w:szCs w:val="20"/>
        </w:rPr>
        <w:t xml:space="preserve">t: esas olarak kannabis bitkisinden trikomları yıkayan solventlerden (alkol, karbon dioksit, vb.) oluşturulan </w:t>
      </w:r>
      <w:proofErr w:type="gramStart"/>
      <w:r w:rsidRPr="00E33EF2">
        <w:rPr>
          <w:sz w:val="20"/>
          <w:szCs w:val="20"/>
        </w:rPr>
        <w:t>bir  kannabis</w:t>
      </w:r>
      <w:proofErr w:type="gramEnd"/>
      <w:r w:rsidRPr="00E33EF2">
        <w:rPr>
          <w:sz w:val="20"/>
          <w:szCs w:val="20"/>
        </w:rPr>
        <w:t xml:space="preserve"> konsantresi.</w:t>
      </w:r>
      <w:r w:rsidR="00A60FEC" w:rsidRPr="00E33EF2">
        <w:rPr>
          <w:sz w:val="20"/>
          <w:szCs w:val="20"/>
        </w:rPr>
        <w:t xml:space="preserve"> </w:t>
      </w:r>
      <w:r w:rsidR="00A60FEC" w:rsidRPr="00E33EF2">
        <w:rPr>
          <w:i/>
          <w:sz w:val="20"/>
          <w:szCs w:val="20"/>
        </w:rPr>
        <w:t>Hash veya haşhaş</w:t>
      </w:r>
      <w:r w:rsidR="00A60FEC" w:rsidRPr="00E33EF2">
        <w:rPr>
          <w:sz w:val="20"/>
          <w:szCs w:val="20"/>
        </w:rPr>
        <w:t xml:space="preserve">: Cannabis sativa'dan süzülen ve bir güç haline getirilen ve yapışkan bir top veya tuğla şeklinde kalıplanan kurutulmuş çiçek ve tomurcuklar. </w:t>
      </w:r>
      <w:r w:rsidR="00A60FEC" w:rsidRPr="00E33EF2">
        <w:rPr>
          <w:i/>
          <w:sz w:val="20"/>
          <w:szCs w:val="20"/>
        </w:rPr>
        <w:t>Kief:</w:t>
      </w:r>
      <w:r w:rsidR="00A60FEC" w:rsidRPr="00E33EF2">
        <w:rPr>
          <w:sz w:val="20"/>
          <w:szCs w:val="20"/>
        </w:rPr>
        <w:t xml:space="preserve"> kenevir çiçeklerinde bulunan toz benzeri bir madde olan THC </w:t>
      </w:r>
      <w:proofErr w:type="gramStart"/>
      <w:r w:rsidR="00A60FEC" w:rsidRPr="00E33EF2">
        <w:rPr>
          <w:sz w:val="20"/>
          <w:szCs w:val="20"/>
        </w:rPr>
        <w:t>konsantresinin</w:t>
      </w:r>
      <w:proofErr w:type="gramEnd"/>
      <w:r w:rsidR="00A60FEC" w:rsidRPr="00E33EF2">
        <w:rPr>
          <w:sz w:val="20"/>
          <w:szCs w:val="20"/>
        </w:rPr>
        <w:t xml:space="preserve"> en temeli</w:t>
      </w:r>
      <w:r w:rsidR="00603941" w:rsidRPr="00E33EF2">
        <w:rPr>
          <w:sz w:val="20"/>
          <w:szCs w:val="20"/>
        </w:rPr>
        <w:t xml:space="preserve">. </w:t>
      </w:r>
      <w:r w:rsidR="00603941" w:rsidRPr="00E33EF2">
        <w:rPr>
          <w:i/>
          <w:sz w:val="20"/>
          <w:szCs w:val="20"/>
        </w:rPr>
        <w:t>Reçineler:</w:t>
      </w:r>
      <w:r w:rsidR="00603941" w:rsidRPr="00E33EF2">
        <w:rPr>
          <w:sz w:val="20"/>
          <w:szCs w:val="20"/>
        </w:rPr>
        <w:t xml:space="preserve"> Hash oluşturmak için kullanılan kannabis çiçeği veya bitkisinden elde edilen trikomlar. </w:t>
      </w:r>
      <w:r w:rsidR="00603941" w:rsidRPr="00E33EF2">
        <w:rPr>
          <w:i/>
          <w:sz w:val="20"/>
          <w:szCs w:val="20"/>
        </w:rPr>
        <w:t>Rosin</w:t>
      </w:r>
      <w:r w:rsidR="00603941" w:rsidRPr="00E33EF2">
        <w:rPr>
          <w:sz w:val="20"/>
          <w:szCs w:val="20"/>
        </w:rPr>
        <w:t>: Kannabis çiçeğinin ısı ve basınç altında sıkılan son ürünü.</w:t>
      </w:r>
      <w:r w:rsidR="00EB6EBF" w:rsidRPr="00E33EF2">
        <w:rPr>
          <w:sz w:val="20"/>
          <w:szCs w:val="20"/>
        </w:rPr>
        <w:t xml:space="preserve"> </w:t>
      </w:r>
      <w:r w:rsidR="00EB6EBF" w:rsidRPr="00E33EF2">
        <w:rPr>
          <w:i/>
          <w:sz w:val="20"/>
          <w:szCs w:val="20"/>
        </w:rPr>
        <w:t>Shatter</w:t>
      </w:r>
      <w:r w:rsidR="00EB6EBF" w:rsidRPr="00E33EF2">
        <w:rPr>
          <w:sz w:val="20"/>
          <w:szCs w:val="20"/>
        </w:rPr>
        <w:t xml:space="preserve"> (Paramparça): Bir çözücü yapmak için kullanılan yarı saydam, kırılgan ve genellikle altından kehribar rengine kadar bir </w:t>
      </w:r>
      <w:proofErr w:type="gramStart"/>
      <w:r w:rsidR="00EB6EBF" w:rsidRPr="00E33EF2">
        <w:rPr>
          <w:sz w:val="20"/>
          <w:szCs w:val="20"/>
        </w:rPr>
        <w:t>konsantre</w:t>
      </w:r>
      <w:proofErr w:type="gramEnd"/>
      <w:r w:rsidR="00EB6EBF" w:rsidRPr="00E33EF2">
        <w:rPr>
          <w:sz w:val="20"/>
          <w:szCs w:val="20"/>
        </w:rPr>
        <w:t xml:space="preserve">. </w:t>
      </w:r>
      <w:r w:rsidR="00EB6EBF" w:rsidRPr="00E33EF2">
        <w:rPr>
          <w:i/>
          <w:sz w:val="20"/>
          <w:szCs w:val="20"/>
        </w:rPr>
        <w:t>Tentürler</w:t>
      </w:r>
      <w:r w:rsidR="00EB6EBF" w:rsidRPr="00E33EF2">
        <w:rPr>
          <w:sz w:val="20"/>
          <w:szCs w:val="20"/>
        </w:rPr>
        <w:t xml:space="preserve"> (yeşil veya altın ejderha olarak da bilinir): yenilebilir şeyler yapmak için kullanılan alkol </w:t>
      </w:r>
      <w:proofErr w:type="gramStart"/>
      <w:r w:rsidR="00EB6EBF" w:rsidRPr="00E33EF2">
        <w:rPr>
          <w:sz w:val="20"/>
          <w:szCs w:val="20"/>
        </w:rPr>
        <w:t>bazlı</w:t>
      </w:r>
      <w:proofErr w:type="gramEnd"/>
      <w:r w:rsidR="00EB6EBF" w:rsidRPr="00E33EF2">
        <w:rPr>
          <w:sz w:val="20"/>
          <w:szCs w:val="20"/>
        </w:rPr>
        <w:t xml:space="preserve"> kannabis özleri.</w:t>
      </w:r>
    </w:p>
    <w:p w:rsidR="00912F27" w:rsidRPr="00761EBF" w:rsidRDefault="00761EBF" w:rsidP="00761EBF">
      <w:pPr>
        <w:pStyle w:val="NormalWeb"/>
        <w:shd w:val="clear" w:color="auto" w:fill="FFFFFF"/>
        <w:rPr>
          <w:sz w:val="16"/>
          <w:szCs w:val="16"/>
        </w:rPr>
      </w:pPr>
      <w:r>
        <w:rPr>
          <w:sz w:val="22"/>
          <w:szCs w:val="22"/>
        </w:rPr>
        <w:t>________________________________________________________________________________</w:t>
      </w:r>
    </w:p>
    <w:p w:rsidR="00291091" w:rsidRPr="003801F0" w:rsidRDefault="00726E3A" w:rsidP="00761EBF">
      <w:pPr>
        <w:pStyle w:val="NormalWeb"/>
        <w:shd w:val="clear" w:color="auto" w:fill="FFFFFF"/>
        <w:rPr>
          <w:b/>
          <w:color w:val="C00000"/>
          <w:sz w:val="28"/>
          <w:szCs w:val="28"/>
        </w:rPr>
      </w:pPr>
      <w:r w:rsidRPr="003801F0">
        <w:rPr>
          <w:b/>
          <w:color w:val="C00000"/>
          <w:sz w:val="28"/>
          <w:szCs w:val="28"/>
        </w:rPr>
        <w:t>DOZ</w:t>
      </w:r>
    </w:p>
    <w:p w:rsidR="00291091" w:rsidRDefault="0057510A" w:rsidP="00761EBF">
      <w:pPr>
        <w:pStyle w:val="NormalWeb"/>
        <w:shd w:val="clear" w:color="auto" w:fill="FFFFFF"/>
      </w:pPr>
      <w:r w:rsidRPr="0057510A">
        <w:t>Tütsülenmiş/buharlaştırılmış esrar için, terapötik etkilere ulaşmak ve olumsuz etkilerden kaçınmak için gereken doz, ürünün gücünden, işlenmesinden ve farklı tütsüleme ve buharlaştırma tekniklerinden etkilenir.</w:t>
      </w:r>
    </w:p>
    <w:p w:rsidR="00783799" w:rsidRDefault="00783799" w:rsidP="00783799">
      <w:pPr>
        <w:pStyle w:val="NormalWeb"/>
        <w:numPr>
          <w:ilvl w:val="0"/>
          <w:numId w:val="2"/>
        </w:numPr>
        <w:shd w:val="clear" w:color="auto" w:fill="FFFFFF"/>
      </w:pPr>
      <w:r w:rsidRPr="00783799">
        <w:t xml:space="preserve">Dozlama mümkün olan en düşük dozda başlamalı, dikkatle kademeli olarak artırılmalıdır (etkileri ölçmek için nefes almalar/inhalasyonlar arasında yeterli süre, ≈30 dakika) ve aşağıdaki etkilerden herhangi birinin başlamasıyla sona ermelidir: oryantasyon bozukluğu, baş dönmesi, ataksi, </w:t>
      </w:r>
      <w:proofErr w:type="gramStart"/>
      <w:r w:rsidRPr="00783799">
        <w:t>ajitasyon , anksiyete</w:t>
      </w:r>
      <w:proofErr w:type="gramEnd"/>
      <w:r w:rsidRPr="00783799">
        <w:t>, taşikardi ve ortostatik hipotansiyon, depresyon, halüsinasyonlar veya psikoz</w:t>
      </w:r>
      <w:r>
        <w:t>.</w:t>
      </w:r>
    </w:p>
    <w:p w:rsidR="00783799" w:rsidRDefault="00783799" w:rsidP="00783799">
      <w:pPr>
        <w:pStyle w:val="NormalWeb"/>
        <w:numPr>
          <w:ilvl w:val="0"/>
          <w:numId w:val="2"/>
        </w:numPr>
        <w:shd w:val="clear" w:color="auto" w:fill="FFFFFF"/>
      </w:pPr>
      <w:proofErr w:type="gramStart"/>
      <w:r>
        <w:t>Esrarın ağızdan uygulanması daha az karakterize edilmiştir; ancak, 0,15 ila 0,30 mg/kg THC dozu (yani, 10–20 mg THC'lik bireysel bir oral doz) psikotropik etkiler elde etmek için yeterli görünmektedir ve 0,45 ila 0,6 mg/kg THC (yani, bireysel oral doz 30-40 mg THC) belirgin zehirlenme oluşturmalıdır.</w:t>
      </w:r>
      <w:proofErr w:type="gramEnd"/>
    </w:p>
    <w:p w:rsidR="00FC7176" w:rsidRDefault="00FC7176" w:rsidP="00FC7176">
      <w:pPr>
        <w:pStyle w:val="NormalWeb"/>
        <w:numPr>
          <w:ilvl w:val="0"/>
          <w:numId w:val="2"/>
        </w:numPr>
        <w:shd w:val="clear" w:color="auto" w:fill="FFFFFF"/>
      </w:pPr>
      <w:r w:rsidRPr="00FC7176">
        <w:t>Hastalar, etkilerin alımından sonraki 30 dakika ila ≥1 saat içinde başladığı ve 3 ila 4 saat içinde en yüksek etkiye sahip olduğu konusunda bilgilendirilmelidir; bu nedenle, oral dozları istifleme konusunda özellikle dikkatli olmalıdırlar.</w:t>
      </w:r>
    </w:p>
    <w:p w:rsidR="00FC7176" w:rsidRDefault="00FC7176" w:rsidP="00ED7842">
      <w:pPr>
        <w:pStyle w:val="NormalWeb"/>
        <w:numPr>
          <w:ilvl w:val="0"/>
          <w:numId w:val="2"/>
        </w:numPr>
        <w:shd w:val="clear" w:color="auto" w:fill="FFFFFF"/>
      </w:pPr>
      <w:r w:rsidRPr="00FC7176">
        <w:t>Yenilebilir gıdaların tüketimi, dozlar arasında yeterli zaman bırakılarak, yavaş ve küçük miktarlarda yapılmalıdır.</w:t>
      </w:r>
      <w:r w:rsidR="00ED7842" w:rsidRPr="00ED7842">
        <w:t xml:space="preserve"> Yüksek yağlı bir yemekle uygulama, oral kanabinoid emilimini önemli ölçüde artırır ve bu etkileri şiddetlendirebilir.</w:t>
      </w:r>
    </w:p>
    <w:p w:rsidR="00CA2AD4" w:rsidRDefault="00CA2AD4" w:rsidP="00CA2AD4">
      <w:pPr>
        <w:pStyle w:val="NormalWeb"/>
        <w:shd w:val="clear" w:color="auto" w:fill="FFFFFF"/>
        <w:rPr>
          <w:color w:val="C00000"/>
          <w:sz w:val="28"/>
          <w:szCs w:val="28"/>
          <w:u w:val="single"/>
        </w:rPr>
      </w:pPr>
      <w:r w:rsidRPr="00CA2AD4">
        <w:rPr>
          <w:noProof/>
          <w:color w:val="C00000"/>
          <w:sz w:val="28"/>
          <w:szCs w:val="28"/>
          <w:u w:val="single"/>
        </w:rPr>
        <w:lastRenderedPageBreak/>
        <w:drawing>
          <wp:inline distT="0" distB="0" distL="0" distR="0" wp14:anchorId="0DEBB211" wp14:editId="02AA50A1">
            <wp:extent cx="5760720" cy="3533068"/>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70369" cy="3538986"/>
                    </a:xfrm>
                    <a:prstGeom prst="rect">
                      <a:avLst/>
                    </a:prstGeom>
                  </pic:spPr>
                </pic:pic>
              </a:graphicData>
            </a:graphic>
          </wp:inline>
        </w:drawing>
      </w:r>
    </w:p>
    <w:p w:rsidR="00CA2AD4" w:rsidRDefault="00CA2AD4" w:rsidP="00CA2AD4">
      <w:pPr>
        <w:pStyle w:val="NormalWeb"/>
        <w:shd w:val="clear" w:color="auto" w:fill="FFFFFF"/>
        <w:rPr>
          <w:b/>
        </w:rPr>
      </w:pPr>
      <w:r w:rsidRPr="00CA2AD4">
        <w:rPr>
          <w:b/>
          <w:color w:val="C00000"/>
          <w:sz w:val="28"/>
          <w:szCs w:val="28"/>
          <w:u w:val="single"/>
        </w:rPr>
        <w:t>Figür 4.</w:t>
      </w:r>
      <w:r w:rsidRPr="00CA2AD4">
        <w:rPr>
          <w:color w:val="C00000"/>
        </w:rPr>
        <w:t xml:space="preserve"> </w:t>
      </w:r>
      <w:r w:rsidRPr="00CA2AD4">
        <w:rPr>
          <w:b/>
        </w:rPr>
        <w:t>Endojen kanabinoidlerin etkileri.</w:t>
      </w:r>
    </w:p>
    <w:p w:rsidR="00CA2AD4" w:rsidRDefault="00CA2AD4" w:rsidP="00747D27">
      <w:pPr>
        <w:pBdr>
          <w:bottom w:val="single" w:sz="12" w:space="1" w:color="auto"/>
        </w:pBdr>
        <w:shd w:val="clear" w:color="auto" w:fill="F2F2F2" w:themeFill="background1" w:themeFillShade="F2"/>
        <w:autoSpaceDE w:val="0"/>
        <w:autoSpaceDN w:val="0"/>
        <w:adjustRightInd w:val="0"/>
        <w:spacing w:after="0" w:line="240" w:lineRule="auto"/>
        <w:rPr>
          <w:rFonts w:ascii="FrutigerLTStd-Light" w:hAnsi="FrutigerLTStd-Light" w:cs="FrutigerLTStd-Light"/>
          <w:sz w:val="14"/>
          <w:szCs w:val="14"/>
        </w:rPr>
      </w:pPr>
      <w:r w:rsidRPr="00747D27">
        <w:rPr>
          <w:rFonts w:ascii="Times New Roman" w:hAnsi="Times New Roman" w:cs="Times New Roman"/>
          <w:b/>
          <w:i/>
        </w:rPr>
        <w:t>Kısaltmalar:</w:t>
      </w:r>
      <w:r>
        <w:rPr>
          <w:rFonts w:ascii="Times New Roman" w:hAnsi="Times New Roman" w:cs="Times New Roman"/>
        </w:rPr>
        <w:t xml:space="preserve"> </w:t>
      </w:r>
      <w:r w:rsidRPr="00CA2AD4">
        <w:rPr>
          <w:rFonts w:ascii="Times New Roman" w:hAnsi="Times New Roman" w:cs="Times New Roman"/>
        </w:rPr>
        <w:t>CB1</w:t>
      </w:r>
      <w:r>
        <w:rPr>
          <w:rFonts w:ascii="Times New Roman" w:hAnsi="Times New Roman" w:cs="Times New Roman"/>
        </w:rPr>
        <w:t>R- C</w:t>
      </w:r>
      <w:r w:rsidRPr="00CA2AD4">
        <w:rPr>
          <w:rFonts w:ascii="Times New Roman" w:hAnsi="Times New Roman" w:cs="Times New Roman"/>
        </w:rPr>
        <w:t>annabinoid receptor subtype 1; CB2</w:t>
      </w:r>
      <w:r>
        <w:rPr>
          <w:rFonts w:ascii="Times New Roman" w:hAnsi="Times New Roman" w:cs="Times New Roman"/>
        </w:rPr>
        <w:t>R- C</w:t>
      </w:r>
      <w:r w:rsidRPr="00CA2AD4">
        <w:rPr>
          <w:rFonts w:ascii="Times New Roman" w:hAnsi="Times New Roman" w:cs="Times New Roman"/>
        </w:rPr>
        <w:t xml:space="preserve">annabinoid receptor subtype 2; </w:t>
      </w:r>
      <w:r>
        <w:rPr>
          <w:rFonts w:ascii="Times New Roman" w:hAnsi="Times New Roman" w:cs="Times New Roman"/>
        </w:rPr>
        <w:t xml:space="preserve">SSS- Merkezi sinir sistemi; HDL- High-density lipoprotein; IL- </w:t>
      </w:r>
      <w:proofErr w:type="gramStart"/>
      <w:r>
        <w:rPr>
          <w:rFonts w:ascii="Times New Roman" w:hAnsi="Times New Roman" w:cs="Times New Roman"/>
        </w:rPr>
        <w:t>İnterleukin;</w:t>
      </w:r>
      <w:r>
        <w:t>IFN</w:t>
      </w:r>
      <w:proofErr w:type="gramEnd"/>
      <w:r>
        <w:t>- İ</w:t>
      </w:r>
      <w:r>
        <w:rPr>
          <w:rFonts w:ascii="Times New Roman" w:hAnsi="Times New Roman" w:cs="Times New Roman"/>
        </w:rPr>
        <w:t>nterferon; LES- L</w:t>
      </w:r>
      <w:r w:rsidRPr="00CA2AD4">
        <w:rPr>
          <w:rFonts w:ascii="Times New Roman" w:hAnsi="Times New Roman" w:cs="Times New Roman"/>
        </w:rPr>
        <w:t>ower esophageal sphincter</w:t>
      </w:r>
      <w:r>
        <w:rPr>
          <w:rFonts w:ascii="Times New Roman" w:hAnsi="Times New Roman" w:cs="Times New Roman"/>
        </w:rPr>
        <w:t xml:space="preserve"> (aşağı özefagus sfinkteri); Th- T</w:t>
      </w:r>
      <w:r w:rsidRPr="00CA2AD4">
        <w:rPr>
          <w:rFonts w:ascii="Times New Roman" w:hAnsi="Times New Roman" w:cs="Times New Roman"/>
        </w:rPr>
        <w:t>ype; and TNF</w:t>
      </w:r>
      <w:r w:rsidRPr="00CA2AD4">
        <w:rPr>
          <w:rFonts w:ascii="Times New Roman" w:eastAsia="GandhariUnicode-Roman" w:hAnsi="Times New Roman" w:cs="Times New Roman"/>
        </w:rPr>
        <w:t>α</w:t>
      </w:r>
      <w:r>
        <w:rPr>
          <w:rFonts w:ascii="Times New Roman" w:hAnsi="Times New Roman" w:cs="Times New Roman"/>
        </w:rPr>
        <w:t>- T</w:t>
      </w:r>
      <w:r w:rsidRPr="00CA2AD4">
        <w:rPr>
          <w:rFonts w:ascii="Times New Roman" w:hAnsi="Times New Roman" w:cs="Times New Roman"/>
        </w:rPr>
        <w:t>umor necrosis factor-</w:t>
      </w:r>
      <w:r w:rsidRPr="00CA2AD4">
        <w:rPr>
          <w:rFonts w:ascii="Times New Roman" w:eastAsia="GandhariUnicode-Roman" w:hAnsi="Times New Roman" w:cs="Times New Roman"/>
        </w:rPr>
        <w:t>α</w:t>
      </w:r>
      <w:r>
        <w:rPr>
          <w:rFonts w:ascii="FrutigerLTStd-Light" w:hAnsi="FrutigerLTStd-Light" w:cs="FrutigerLTStd-Light"/>
          <w:sz w:val="14"/>
          <w:szCs w:val="14"/>
        </w:rPr>
        <w:t>.</w:t>
      </w:r>
    </w:p>
    <w:p w:rsidR="003A725A" w:rsidRDefault="003A725A" w:rsidP="003A725A">
      <w:pPr>
        <w:autoSpaceDE w:val="0"/>
        <w:autoSpaceDN w:val="0"/>
        <w:adjustRightInd w:val="0"/>
        <w:spacing w:after="0" w:line="240" w:lineRule="auto"/>
        <w:rPr>
          <w:rFonts w:ascii="FrutigerLTStd-Light" w:hAnsi="FrutigerLTStd-Light" w:cs="FrutigerLTStd-Light"/>
          <w:sz w:val="14"/>
          <w:szCs w:val="14"/>
        </w:rPr>
      </w:pPr>
    </w:p>
    <w:p w:rsidR="003A725A" w:rsidRPr="003A725A" w:rsidRDefault="003A725A" w:rsidP="003A725A">
      <w:pPr>
        <w:autoSpaceDE w:val="0"/>
        <w:autoSpaceDN w:val="0"/>
        <w:adjustRightInd w:val="0"/>
        <w:spacing w:after="0" w:line="240" w:lineRule="auto"/>
        <w:rPr>
          <w:rFonts w:ascii="Times New Roman" w:hAnsi="Times New Roman" w:cs="Times New Roman"/>
        </w:rPr>
      </w:pPr>
    </w:p>
    <w:tbl>
      <w:tblPr>
        <w:tblW w:w="10065" w:type="dxa"/>
        <w:tblInd w:w="-851" w:type="dxa"/>
        <w:tblCellMar>
          <w:top w:w="15" w:type="dxa"/>
          <w:left w:w="15" w:type="dxa"/>
          <w:bottom w:w="15" w:type="dxa"/>
          <w:right w:w="15" w:type="dxa"/>
        </w:tblCellMar>
        <w:tblLook w:val="04A0" w:firstRow="1" w:lastRow="0" w:firstColumn="1" w:lastColumn="0" w:noHBand="0" w:noVBand="1"/>
      </w:tblPr>
      <w:tblGrid>
        <w:gridCol w:w="1867"/>
        <w:gridCol w:w="8198"/>
      </w:tblGrid>
      <w:tr w:rsidR="00BE36F0" w:rsidRPr="00AB7BF8" w:rsidTr="00D527BB">
        <w:tc>
          <w:tcPr>
            <w:tcW w:w="10065" w:type="dxa"/>
            <w:gridSpan w:val="2"/>
            <w:tcBorders>
              <w:top w:val="nil"/>
              <w:left w:val="nil"/>
              <w:bottom w:val="nil"/>
              <w:right w:val="nil"/>
            </w:tcBorders>
            <w:shd w:val="clear" w:color="auto" w:fill="E2EFD9" w:themeFill="accent6" w:themeFillTint="33"/>
            <w:vAlign w:val="center"/>
            <w:hideMark/>
          </w:tcPr>
          <w:p w:rsidR="00BE36F0" w:rsidRPr="00797A9F" w:rsidRDefault="00BE36F0" w:rsidP="00D527BB">
            <w:pPr>
              <w:spacing w:after="100" w:afterAutospacing="1" w:line="240" w:lineRule="auto"/>
              <w:jc w:val="center"/>
              <w:rPr>
                <w:rFonts w:ascii="Helvetica" w:eastAsia="Times New Roman" w:hAnsi="Helvetica" w:cs="Helvetica"/>
                <w:b/>
                <w:bCs/>
                <w:color w:val="000000"/>
                <w:sz w:val="24"/>
                <w:szCs w:val="24"/>
                <w:lang w:eastAsia="tr-TR"/>
              </w:rPr>
            </w:pPr>
            <w:r w:rsidRPr="00BF6F7E">
              <w:rPr>
                <w:rFonts w:ascii="Helvetica" w:eastAsia="Times New Roman" w:hAnsi="Helvetica" w:cs="Helvetica"/>
                <w:b/>
                <w:bCs/>
                <w:color w:val="C00000"/>
                <w:sz w:val="32"/>
                <w:szCs w:val="32"/>
                <w:u w:val="single"/>
                <w:lang w:eastAsia="tr-TR"/>
              </w:rPr>
              <w:t>Tablo 2.</w:t>
            </w:r>
            <w:r w:rsidRPr="00797A9F">
              <w:rPr>
                <w:rFonts w:ascii="Helvetica" w:eastAsia="Times New Roman" w:hAnsi="Helvetica" w:cs="Helvetica"/>
                <w:b/>
                <w:bCs/>
                <w:color w:val="C00000"/>
                <w:sz w:val="24"/>
                <w:szCs w:val="24"/>
                <w:lang w:eastAsia="tr-TR"/>
              </w:rPr>
              <w:t xml:space="preserve"> </w:t>
            </w:r>
            <w:r w:rsidRPr="00BA5D0D">
              <w:rPr>
                <w:rFonts w:ascii="Helvetica" w:eastAsia="Times New Roman" w:hAnsi="Helvetica" w:cs="Helvetica"/>
                <w:b/>
                <w:bCs/>
                <w:color w:val="000000"/>
                <w:sz w:val="24"/>
                <w:szCs w:val="24"/>
                <w:lang w:eastAsia="tr-TR"/>
              </w:rPr>
              <w:t>Esrar Kullanımıyla İlişkili Bilinen, Sözde ve Muhtemel Tıbbi Faydalar</w:t>
            </w:r>
          </w:p>
        </w:tc>
      </w:tr>
      <w:tr w:rsidR="00BE36F0" w:rsidRPr="00AB7BF8" w:rsidTr="00D527BB">
        <w:tc>
          <w:tcPr>
            <w:tcW w:w="10065" w:type="dxa"/>
            <w:gridSpan w:val="2"/>
            <w:shd w:val="clear" w:color="auto" w:fill="D5DCE4" w:themeFill="text2" w:themeFillTint="33"/>
            <w:vAlign w:val="center"/>
            <w:hideMark/>
          </w:tcPr>
          <w:p w:rsidR="00BE36F0" w:rsidRPr="00B47E17" w:rsidRDefault="00BE36F0" w:rsidP="00D527BB">
            <w:pPr>
              <w:spacing w:after="0" w:line="240" w:lineRule="auto"/>
              <w:rPr>
                <w:rFonts w:ascii="Times New Roman" w:eastAsia="Times New Roman" w:hAnsi="Times New Roman" w:cs="Times New Roman"/>
                <w:b/>
                <w:color w:val="C00000"/>
                <w:sz w:val="16"/>
                <w:szCs w:val="16"/>
                <w:lang w:eastAsia="tr-TR"/>
              </w:rPr>
            </w:pPr>
          </w:p>
          <w:p w:rsidR="00BE36F0" w:rsidRPr="00B47E17" w:rsidRDefault="00BE36F0" w:rsidP="00D527BB">
            <w:pPr>
              <w:spacing w:after="0" w:line="240" w:lineRule="auto"/>
              <w:rPr>
                <w:rFonts w:ascii="Times New Roman" w:eastAsia="Times New Roman" w:hAnsi="Times New Roman" w:cs="Times New Roman"/>
                <w:b/>
                <w:color w:val="000000"/>
                <w:sz w:val="28"/>
                <w:szCs w:val="28"/>
                <w:lang w:eastAsia="tr-TR"/>
              </w:rPr>
            </w:pPr>
            <w:r w:rsidRPr="00B47E17">
              <w:rPr>
                <w:rFonts w:ascii="Times New Roman" w:eastAsia="Times New Roman" w:hAnsi="Times New Roman" w:cs="Times New Roman"/>
                <w:b/>
                <w:color w:val="C00000"/>
                <w:sz w:val="28"/>
                <w:szCs w:val="28"/>
                <w:lang w:eastAsia="tr-TR"/>
              </w:rPr>
              <w:t>Bilinen (kesin veya önemli kanıt)</w:t>
            </w:r>
          </w:p>
        </w:tc>
      </w:tr>
      <w:tr w:rsidR="00BE36F0" w:rsidRPr="00AB7BF8" w:rsidTr="00D527BB">
        <w:tc>
          <w:tcPr>
            <w:tcW w:w="1867" w:type="dxa"/>
            <w:vMerge w:val="restart"/>
            <w:shd w:val="clear" w:color="auto" w:fill="E7E6E6" w:themeFill="background2"/>
            <w:vAlign w:val="center"/>
            <w:hideMark/>
          </w:tcPr>
          <w:p w:rsidR="00BE36F0" w:rsidRPr="00042FAC" w:rsidRDefault="00BE36F0" w:rsidP="00D527BB">
            <w:pPr>
              <w:spacing w:after="0" w:line="240" w:lineRule="auto"/>
              <w:rPr>
                <w:rFonts w:ascii="Times New Roman" w:eastAsia="Times New Roman" w:hAnsi="Times New Roman" w:cs="Times New Roman"/>
                <w:b/>
                <w:sz w:val="24"/>
                <w:szCs w:val="24"/>
                <w:lang w:eastAsia="tr-TR"/>
              </w:rPr>
            </w:pPr>
            <w:r w:rsidRPr="00042FAC">
              <w:rPr>
                <w:rFonts w:ascii="Times New Roman" w:eastAsia="Times New Roman" w:hAnsi="Times New Roman" w:cs="Times New Roman"/>
                <w:b/>
                <w:sz w:val="24"/>
                <w:szCs w:val="24"/>
                <w:lang w:eastAsia="tr-TR"/>
              </w:rPr>
              <w:t> </w:t>
            </w:r>
            <w:r w:rsidRPr="00042FAC">
              <w:rPr>
                <w:rFonts w:ascii="Times New Roman" w:eastAsia="Times New Roman" w:hAnsi="Times New Roman" w:cs="Times New Roman"/>
                <w:b/>
                <w:sz w:val="24"/>
                <w:szCs w:val="24"/>
                <w:lang w:eastAsia="tr-TR"/>
              </w:rPr>
              <w:t>Ağrı</w:t>
            </w: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proofErr w:type="gramStart"/>
            <w:r w:rsidRPr="00042FAC">
              <w:rPr>
                <w:rFonts w:ascii="Times New Roman" w:eastAsia="Times New Roman" w:hAnsi="Times New Roman" w:cs="Times New Roman"/>
                <w:lang w:eastAsia="tr-TR"/>
              </w:rPr>
              <w:t>Tüttürülen  kannabis</w:t>
            </w:r>
            <w:proofErr w:type="gramEnd"/>
            <w:r w:rsidRPr="00042FAC">
              <w:rPr>
                <w:rFonts w:ascii="Times New Roman" w:eastAsia="Times New Roman" w:hAnsi="Times New Roman" w:cs="Times New Roman"/>
                <w:lang w:eastAsia="tr-TR"/>
              </w:rPr>
              <w:t>, dronabinol ve esrar bazlı ilaç ile plaseboya karşı nöropatik ağrıdaki düzelmemeler.</w:t>
            </w:r>
          </w:p>
        </w:tc>
      </w:tr>
      <w:tr w:rsidR="00BE36F0" w:rsidRPr="00AB7BF8" w:rsidTr="00D527BB">
        <w:tc>
          <w:tcPr>
            <w:tcW w:w="1867" w:type="dxa"/>
            <w:vMerge/>
            <w:shd w:val="clear" w:color="auto" w:fill="E7E6E6" w:themeFill="background2"/>
            <w:vAlign w:val="center"/>
            <w:hideMark/>
          </w:tcPr>
          <w:p w:rsidR="00BE36F0" w:rsidRPr="00042FAC" w:rsidRDefault="00BE36F0" w:rsidP="00D527BB">
            <w:pPr>
              <w:spacing w:after="0" w:line="240" w:lineRule="auto"/>
              <w:rPr>
                <w:rFonts w:ascii="Times New Roman" w:eastAsia="Times New Roman" w:hAnsi="Times New Roman" w:cs="Times New Roman"/>
                <w:b/>
                <w:sz w:val="24"/>
                <w:szCs w:val="24"/>
                <w:lang w:eastAsia="tr-TR"/>
              </w:rPr>
            </w:pP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Nabilone ve plasebo ile fibromiyalji ağrısındaki düzelmeler.</w:t>
            </w:r>
          </w:p>
        </w:tc>
      </w:tr>
      <w:tr w:rsidR="00BE36F0" w:rsidRPr="00AB7BF8" w:rsidTr="00D527BB">
        <w:tc>
          <w:tcPr>
            <w:tcW w:w="1867" w:type="dxa"/>
            <w:vMerge/>
            <w:shd w:val="clear" w:color="auto" w:fill="E7E6E6" w:themeFill="background2"/>
            <w:vAlign w:val="center"/>
            <w:hideMark/>
          </w:tcPr>
          <w:p w:rsidR="00BE36F0" w:rsidRPr="00042FAC" w:rsidRDefault="00BE36F0" w:rsidP="00D527BB">
            <w:pPr>
              <w:spacing w:after="0" w:line="240" w:lineRule="auto"/>
              <w:rPr>
                <w:rFonts w:ascii="Times New Roman" w:eastAsia="Times New Roman" w:hAnsi="Times New Roman" w:cs="Times New Roman"/>
                <w:b/>
                <w:sz w:val="24"/>
                <w:szCs w:val="24"/>
                <w:lang w:eastAsia="tr-TR"/>
              </w:rPr>
            </w:pP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Belirli kannabinoidler (dronabinol) ile ilgili sınırlı klinik kanıt, dronabinolün kanser ağrısı üzerinde mütevazı bir analjezik etkisi olduğunu göstermektedir.</w:t>
            </w:r>
          </w:p>
        </w:tc>
      </w:tr>
      <w:tr w:rsidR="00BE36F0" w:rsidRPr="00AB7BF8" w:rsidTr="00D527BB">
        <w:tc>
          <w:tcPr>
            <w:tcW w:w="1867" w:type="dxa"/>
            <w:vMerge w:val="restart"/>
            <w:shd w:val="clear" w:color="auto" w:fill="E7E6E6" w:themeFill="background2"/>
            <w:vAlign w:val="center"/>
            <w:hideMark/>
          </w:tcPr>
          <w:p w:rsidR="00BE36F0" w:rsidRPr="00042FAC" w:rsidRDefault="00BE36F0" w:rsidP="00D527BB">
            <w:pPr>
              <w:spacing w:after="0" w:line="240" w:lineRule="auto"/>
              <w:rPr>
                <w:rFonts w:ascii="Times New Roman" w:eastAsia="Times New Roman" w:hAnsi="Times New Roman" w:cs="Times New Roman"/>
                <w:b/>
                <w:sz w:val="24"/>
                <w:szCs w:val="24"/>
                <w:lang w:eastAsia="tr-TR"/>
              </w:rPr>
            </w:pPr>
            <w:r w:rsidRPr="00042FAC">
              <w:rPr>
                <w:rFonts w:ascii="Times New Roman" w:eastAsia="Times New Roman" w:hAnsi="Times New Roman" w:cs="Times New Roman"/>
                <w:b/>
                <w:sz w:val="24"/>
                <w:szCs w:val="24"/>
                <w:lang w:eastAsia="tr-TR"/>
              </w:rPr>
              <w:t> </w:t>
            </w:r>
            <w:r w:rsidRPr="00042FAC">
              <w:rPr>
                <w:rFonts w:ascii="Times New Roman" w:eastAsia="Times New Roman" w:hAnsi="Times New Roman" w:cs="Times New Roman"/>
                <w:b/>
                <w:sz w:val="24"/>
                <w:szCs w:val="24"/>
                <w:lang w:eastAsia="tr-TR"/>
              </w:rPr>
              <w:t>Kaşeksi</w:t>
            </w: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 xml:space="preserve">Anoreksiya/kaşeksi </w:t>
            </w:r>
            <w:proofErr w:type="gramStart"/>
            <w:r w:rsidRPr="00042FAC">
              <w:rPr>
                <w:rFonts w:ascii="Times New Roman" w:eastAsia="Times New Roman" w:hAnsi="Times New Roman" w:cs="Times New Roman"/>
                <w:lang w:eastAsia="tr-TR"/>
              </w:rPr>
              <w:t>sendromu</w:t>
            </w:r>
            <w:proofErr w:type="gramEnd"/>
            <w:r w:rsidRPr="00042FAC">
              <w:rPr>
                <w:rFonts w:ascii="Times New Roman" w:eastAsia="Times New Roman" w:hAnsi="Times New Roman" w:cs="Times New Roman"/>
                <w:lang w:eastAsia="tr-TR"/>
              </w:rPr>
              <w:t>, kilo kaybının (tattaki değişiklikler, açlık eksikliği nedeniyle) ve artan enerji metabolizmasının sonucudur; esrar kullanımı, iştah artışı ve kilo alımı ile ilişkilendirilerek kanser ve HIV ile ilişkili anoreksi/kaşeksi üzerindeki terapötik etkisinin incelenmesine yol açmıştır.</w:t>
            </w:r>
          </w:p>
        </w:tc>
      </w:tr>
      <w:tr w:rsidR="00BE36F0" w:rsidRPr="00AB7BF8" w:rsidTr="00D527BB">
        <w:tc>
          <w:tcPr>
            <w:tcW w:w="1867" w:type="dxa"/>
            <w:vMerge/>
            <w:shd w:val="clear" w:color="auto" w:fill="E7E6E6" w:themeFill="background2"/>
            <w:vAlign w:val="center"/>
            <w:hideMark/>
          </w:tcPr>
          <w:p w:rsidR="00BE36F0" w:rsidRPr="00042FAC" w:rsidRDefault="00BE36F0" w:rsidP="00D527BB">
            <w:pPr>
              <w:spacing w:after="0" w:line="240" w:lineRule="auto"/>
              <w:rPr>
                <w:rFonts w:ascii="Times New Roman" w:eastAsia="Times New Roman" w:hAnsi="Times New Roman" w:cs="Times New Roman"/>
                <w:b/>
                <w:sz w:val="24"/>
                <w:szCs w:val="24"/>
                <w:lang w:eastAsia="tr-TR"/>
              </w:rPr>
            </w:pP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Sistematik incelemeden elde edilen sonuçlar, HIV ve kanserde iştahı ve kilo alımını arttırmak için esrar kullanımının düşük etkililiğini göstermektedir</w:t>
            </w:r>
            <w:proofErr w:type="gramStart"/>
            <w:r w:rsidRPr="00042FAC">
              <w:rPr>
                <w:rFonts w:ascii="Times New Roman" w:eastAsia="Times New Roman" w:hAnsi="Times New Roman" w:cs="Times New Roman"/>
                <w:lang w:eastAsia="tr-TR"/>
              </w:rPr>
              <w:t>..</w:t>
            </w:r>
            <w:proofErr w:type="gramEnd"/>
          </w:p>
        </w:tc>
      </w:tr>
      <w:tr w:rsidR="00BE36F0" w:rsidRPr="00AB7BF8" w:rsidTr="00D527BB">
        <w:tc>
          <w:tcPr>
            <w:tcW w:w="1867" w:type="dxa"/>
            <w:vMerge w:val="restart"/>
            <w:shd w:val="clear" w:color="auto" w:fill="E7E6E6" w:themeFill="background2"/>
            <w:vAlign w:val="center"/>
            <w:hideMark/>
          </w:tcPr>
          <w:p w:rsidR="00BE36F0" w:rsidRPr="00042FAC" w:rsidRDefault="00BE36F0" w:rsidP="00D527BB">
            <w:pPr>
              <w:spacing w:after="0" w:line="240" w:lineRule="auto"/>
              <w:rPr>
                <w:rFonts w:ascii="Times New Roman" w:eastAsia="Times New Roman" w:hAnsi="Times New Roman" w:cs="Times New Roman"/>
                <w:b/>
                <w:sz w:val="24"/>
                <w:szCs w:val="24"/>
                <w:lang w:eastAsia="tr-TR"/>
              </w:rPr>
            </w:pPr>
            <w:r w:rsidRPr="00042FAC">
              <w:rPr>
                <w:rFonts w:ascii="Times New Roman" w:eastAsia="Times New Roman" w:hAnsi="Times New Roman" w:cs="Times New Roman"/>
                <w:b/>
                <w:sz w:val="24"/>
                <w:szCs w:val="24"/>
                <w:lang w:eastAsia="tr-TR"/>
              </w:rPr>
              <w:t> </w:t>
            </w:r>
            <w:r w:rsidRPr="00042FAC">
              <w:rPr>
                <w:rFonts w:ascii="Times New Roman" w:eastAsia="Times New Roman" w:hAnsi="Times New Roman" w:cs="Times New Roman"/>
                <w:b/>
                <w:sz w:val="24"/>
                <w:szCs w:val="24"/>
                <w:lang w:eastAsia="tr-TR"/>
              </w:rPr>
              <w:t>Bulantı ve kusma</w:t>
            </w: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 xml:space="preserve">Sistematik bir gözden geçirmenin sonuçları, </w:t>
            </w:r>
            <w:proofErr w:type="gramStart"/>
            <w:r w:rsidRPr="00042FAC">
              <w:rPr>
                <w:rFonts w:ascii="Times New Roman" w:eastAsia="Times New Roman" w:hAnsi="Times New Roman" w:cs="Times New Roman"/>
                <w:lang w:eastAsia="tr-TR"/>
              </w:rPr>
              <w:t>kemoterapinin</w:t>
            </w:r>
            <w:proofErr w:type="gramEnd"/>
            <w:r w:rsidRPr="00042FAC">
              <w:rPr>
                <w:rFonts w:ascii="Times New Roman" w:eastAsia="Times New Roman" w:hAnsi="Times New Roman" w:cs="Times New Roman"/>
                <w:lang w:eastAsia="tr-TR"/>
              </w:rPr>
              <w:t xml:space="preserve"> neden olduğu bulantı ve kusma ortamında, oral kannabinoidlerin (nabilon ve dronabinol) etkili antiemetikler olduğunu göstermektedir.</w:t>
            </w:r>
          </w:p>
        </w:tc>
      </w:tr>
      <w:tr w:rsidR="00BE36F0" w:rsidRPr="00AB7BF8" w:rsidTr="00D527BB">
        <w:tc>
          <w:tcPr>
            <w:tcW w:w="1867" w:type="dxa"/>
            <w:vMerge/>
            <w:shd w:val="clear" w:color="auto" w:fill="E7E6E6" w:themeFill="background2"/>
            <w:vAlign w:val="center"/>
            <w:hideMark/>
          </w:tcPr>
          <w:p w:rsidR="00BE36F0" w:rsidRPr="00042FAC" w:rsidRDefault="00BE36F0" w:rsidP="00D527BB">
            <w:pPr>
              <w:spacing w:after="0" w:line="240" w:lineRule="auto"/>
              <w:rPr>
                <w:rFonts w:ascii="Times New Roman" w:eastAsia="Times New Roman" w:hAnsi="Times New Roman" w:cs="Times New Roman"/>
                <w:b/>
                <w:sz w:val="24"/>
                <w:szCs w:val="24"/>
                <w:lang w:eastAsia="tr-TR"/>
              </w:rPr>
            </w:pP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 xml:space="preserve">Uzun süreli (≈6–7 yıl) günlük ve haftalık esrar kullanımı hiperemezis (yani, esrar hiperemezis </w:t>
            </w:r>
            <w:proofErr w:type="gramStart"/>
            <w:r w:rsidRPr="00042FAC">
              <w:rPr>
                <w:rFonts w:ascii="Times New Roman" w:eastAsia="Times New Roman" w:hAnsi="Times New Roman" w:cs="Times New Roman"/>
                <w:lang w:eastAsia="tr-TR"/>
              </w:rPr>
              <w:t>sendromu</w:t>
            </w:r>
            <w:proofErr w:type="gramEnd"/>
            <w:r w:rsidRPr="00042FAC">
              <w:rPr>
                <w:rFonts w:ascii="Times New Roman" w:eastAsia="Times New Roman" w:hAnsi="Times New Roman" w:cs="Times New Roman"/>
                <w:lang w:eastAsia="tr-TR"/>
              </w:rPr>
              <w:t>) ile ilişkilendirilmiştir. Mekanizmalar, CB1 reseptörlerinin aşağı regülasyonunu ve gastrik boşalmada azalmayı içerebilir</w:t>
            </w:r>
            <w:proofErr w:type="gramStart"/>
            <w:r w:rsidRPr="00042FAC">
              <w:rPr>
                <w:rFonts w:ascii="Times New Roman" w:eastAsia="Times New Roman" w:hAnsi="Times New Roman" w:cs="Times New Roman"/>
                <w:lang w:eastAsia="tr-TR"/>
              </w:rPr>
              <w:t>..</w:t>
            </w:r>
            <w:proofErr w:type="gramEnd"/>
          </w:p>
        </w:tc>
      </w:tr>
      <w:tr w:rsidR="00BE36F0" w:rsidRPr="00AB7BF8" w:rsidTr="00D527BB">
        <w:tc>
          <w:tcPr>
            <w:tcW w:w="1867" w:type="dxa"/>
            <w:vMerge w:val="restart"/>
            <w:shd w:val="clear" w:color="auto" w:fill="E7E6E6" w:themeFill="background2"/>
            <w:vAlign w:val="center"/>
            <w:hideMark/>
          </w:tcPr>
          <w:p w:rsidR="00BE36F0" w:rsidRPr="00042FAC" w:rsidRDefault="00BE36F0" w:rsidP="00D527BB">
            <w:pPr>
              <w:spacing w:after="0" w:line="240" w:lineRule="auto"/>
              <w:rPr>
                <w:rFonts w:ascii="Times New Roman" w:eastAsia="Times New Roman" w:hAnsi="Times New Roman" w:cs="Times New Roman"/>
                <w:b/>
                <w:sz w:val="24"/>
                <w:szCs w:val="24"/>
                <w:lang w:eastAsia="tr-TR"/>
              </w:rPr>
            </w:pPr>
            <w:r w:rsidRPr="00042FAC">
              <w:rPr>
                <w:rFonts w:ascii="Times New Roman" w:eastAsia="Times New Roman" w:hAnsi="Times New Roman" w:cs="Times New Roman"/>
                <w:b/>
                <w:sz w:val="24"/>
                <w:szCs w:val="24"/>
                <w:lang w:eastAsia="tr-TR"/>
              </w:rPr>
              <w:t> </w:t>
            </w:r>
            <w:r w:rsidRPr="00042FAC">
              <w:rPr>
                <w:rFonts w:ascii="Times New Roman" w:eastAsia="Times New Roman" w:hAnsi="Times New Roman" w:cs="Times New Roman"/>
                <w:b/>
                <w:sz w:val="24"/>
                <w:szCs w:val="24"/>
                <w:lang w:eastAsia="tr-TR"/>
              </w:rPr>
              <w:t>Multipl skleroz spasitesi</w:t>
            </w: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 xml:space="preserve">Esrar </w:t>
            </w:r>
            <w:proofErr w:type="gramStart"/>
            <w:r w:rsidRPr="00042FAC">
              <w:rPr>
                <w:rFonts w:ascii="Times New Roman" w:eastAsia="Times New Roman" w:hAnsi="Times New Roman" w:cs="Times New Roman"/>
                <w:lang w:eastAsia="tr-TR"/>
              </w:rPr>
              <w:t>bazlı</w:t>
            </w:r>
            <w:proofErr w:type="gramEnd"/>
            <w:r w:rsidRPr="00042FAC">
              <w:rPr>
                <w:rFonts w:ascii="Times New Roman" w:eastAsia="Times New Roman" w:hAnsi="Times New Roman" w:cs="Times New Roman"/>
                <w:lang w:eastAsia="tr-TR"/>
              </w:rPr>
              <w:t xml:space="preserve"> ilaç ve plaseboya karşı dronabinol ile merkezi ağrıdaki düzelmeler.</w:t>
            </w:r>
          </w:p>
        </w:tc>
      </w:tr>
      <w:tr w:rsidR="00BE36F0" w:rsidRPr="00AB7BF8" w:rsidTr="00D527BB">
        <w:tc>
          <w:tcPr>
            <w:tcW w:w="1867" w:type="dxa"/>
            <w:vMerge/>
            <w:shd w:val="clear" w:color="auto" w:fill="E7E6E6" w:themeFill="background2"/>
            <w:vAlign w:val="center"/>
            <w:hideMark/>
          </w:tcPr>
          <w:p w:rsidR="00BE36F0" w:rsidRPr="00042FAC" w:rsidRDefault="00BE36F0" w:rsidP="00D527BB">
            <w:pPr>
              <w:spacing w:after="0" w:line="240" w:lineRule="auto"/>
              <w:rPr>
                <w:rFonts w:ascii="Times New Roman" w:eastAsia="Times New Roman" w:hAnsi="Times New Roman" w:cs="Times New Roman"/>
                <w:b/>
                <w:sz w:val="24"/>
                <w:szCs w:val="24"/>
                <w:lang w:eastAsia="tr-TR"/>
              </w:rPr>
            </w:pP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 xml:space="preserve">Esrar </w:t>
            </w:r>
            <w:proofErr w:type="gramStart"/>
            <w:r w:rsidRPr="00042FAC">
              <w:rPr>
                <w:rFonts w:ascii="Times New Roman" w:eastAsia="Times New Roman" w:hAnsi="Times New Roman" w:cs="Times New Roman"/>
                <w:lang w:eastAsia="tr-TR"/>
              </w:rPr>
              <w:t>bazlı</w:t>
            </w:r>
            <w:proofErr w:type="gramEnd"/>
            <w:r w:rsidRPr="00042FAC">
              <w:rPr>
                <w:rFonts w:ascii="Times New Roman" w:eastAsia="Times New Roman" w:hAnsi="Times New Roman" w:cs="Times New Roman"/>
                <w:lang w:eastAsia="tr-TR"/>
              </w:rPr>
              <w:t xml:space="preserve"> ilaçlar ile plaseboya kıyasla spastisitede azalma.</w:t>
            </w:r>
          </w:p>
        </w:tc>
      </w:tr>
      <w:tr w:rsidR="00BE36F0" w:rsidRPr="00AB7BF8" w:rsidTr="00D527BB">
        <w:tc>
          <w:tcPr>
            <w:tcW w:w="1867" w:type="dxa"/>
            <w:vMerge w:val="restart"/>
            <w:shd w:val="clear" w:color="auto" w:fill="E7E6E6" w:themeFill="background2"/>
            <w:vAlign w:val="center"/>
            <w:hideMark/>
          </w:tcPr>
          <w:p w:rsidR="00BE36F0" w:rsidRPr="00042FAC" w:rsidRDefault="00BE36F0" w:rsidP="00D527BB">
            <w:pPr>
              <w:autoSpaceDE w:val="0"/>
              <w:autoSpaceDN w:val="0"/>
              <w:adjustRightInd w:val="0"/>
              <w:spacing w:after="0" w:line="240" w:lineRule="auto"/>
              <w:rPr>
                <w:rFonts w:ascii="Times New Roman" w:hAnsi="Times New Roman" w:cs="Times New Roman"/>
                <w:b/>
                <w:sz w:val="24"/>
                <w:szCs w:val="24"/>
              </w:rPr>
            </w:pPr>
            <w:r w:rsidRPr="00042FAC">
              <w:rPr>
                <w:rFonts w:ascii="Times New Roman" w:eastAsia="Times New Roman" w:hAnsi="Times New Roman" w:cs="Times New Roman"/>
                <w:b/>
                <w:sz w:val="24"/>
                <w:szCs w:val="24"/>
                <w:lang w:eastAsia="tr-TR"/>
              </w:rPr>
              <w:lastRenderedPageBreak/>
              <w:t> </w:t>
            </w:r>
            <w:r w:rsidRPr="00042FAC">
              <w:rPr>
                <w:rFonts w:ascii="Times New Roman" w:hAnsi="Times New Roman" w:cs="Times New Roman"/>
                <w:b/>
                <w:sz w:val="24"/>
                <w:szCs w:val="24"/>
              </w:rPr>
              <w:t xml:space="preserve"> Epilepsi </w:t>
            </w:r>
            <w:proofErr w:type="gramStart"/>
            <w:r w:rsidRPr="00042FAC">
              <w:rPr>
                <w:rFonts w:ascii="Times New Roman" w:hAnsi="Times New Roman" w:cs="Times New Roman"/>
                <w:b/>
                <w:sz w:val="24"/>
                <w:szCs w:val="24"/>
              </w:rPr>
              <w:t>(</w:t>
            </w:r>
            <w:proofErr w:type="gramEnd"/>
            <w:r w:rsidRPr="00042FAC">
              <w:rPr>
                <w:rFonts w:ascii="Times New Roman" w:hAnsi="Times New Roman" w:cs="Times New Roman"/>
                <w:b/>
                <w:sz w:val="24"/>
                <w:szCs w:val="24"/>
              </w:rPr>
              <w:t>Dravet syndrome ve Lennox-</w:t>
            </w:r>
          </w:p>
          <w:p w:rsidR="00BE36F0" w:rsidRPr="00042FAC" w:rsidRDefault="00BE36F0" w:rsidP="00D527BB">
            <w:pPr>
              <w:spacing w:after="0" w:line="240" w:lineRule="auto"/>
              <w:rPr>
                <w:rFonts w:ascii="Times New Roman" w:eastAsia="Times New Roman" w:hAnsi="Times New Roman" w:cs="Times New Roman"/>
                <w:b/>
                <w:sz w:val="24"/>
                <w:szCs w:val="24"/>
                <w:lang w:eastAsia="tr-TR"/>
              </w:rPr>
            </w:pPr>
            <w:r w:rsidRPr="00042FAC">
              <w:rPr>
                <w:rFonts w:ascii="Times New Roman" w:hAnsi="Times New Roman" w:cs="Times New Roman"/>
                <w:b/>
                <w:sz w:val="24"/>
                <w:szCs w:val="24"/>
              </w:rPr>
              <w:t xml:space="preserve">Gastaut </w:t>
            </w:r>
            <w:proofErr w:type="gramStart"/>
            <w:r w:rsidRPr="00042FAC">
              <w:rPr>
                <w:rFonts w:ascii="Times New Roman" w:hAnsi="Times New Roman" w:cs="Times New Roman"/>
                <w:b/>
                <w:sz w:val="24"/>
                <w:szCs w:val="24"/>
              </w:rPr>
              <w:t>sendromu</w:t>
            </w:r>
            <w:proofErr w:type="gramEnd"/>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Çocuklukta şiddetli başlangıçlı, ilaca dirençli epilepsisi olan kişilerde açık etiketli, çok merkezli genişletilmiş erişim programında aylık motor nöbetlerdeki gelişmeler.</w:t>
            </w:r>
          </w:p>
        </w:tc>
      </w:tr>
      <w:tr w:rsidR="00BE36F0" w:rsidRPr="00AB7BF8" w:rsidTr="00D527BB">
        <w:tc>
          <w:tcPr>
            <w:tcW w:w="1867" w:type="dxa"/>
            <w:vMerge/>
            <w:shd w:val="clear" w:color="auto" w:fill="E7E6E6" w:themeFill="background2"/>
            <w:vAlign w:val="center"/>
            <w:hideMark/>
          </w:tcPr>
          <w:p w:rsidR="00BE36F0" w:rsidRPr="00AB7BF8" w:rsidRDefault="00BE36F0" w:rsidP="00D527BB">
            <w:pPr>
              <w:spacing w:after="0" w:line="240" w:lineRule="auto"/>
              <w:rPr>
                <w:rFonts w:ascii="Helvetica" w:eastAsia="Times New Roman" w:hAnsi="Helvetica" w:cs="Helvetica"/>
                <w:color w:val="000000"/>
                <w:sz w:val="18"/>
                <w:szCs w:val="18"/>
                <w:lang w:eastAsia="tr-TR"/>
              </w:rPr>
            </w:pP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 xml:space="preserve">Çift kör, plasebo kontrollü RKÇ, tedaviye dirençli Dravet </w:t>
            </w:r>
            <w:proofErr w:type="gramStart"/>
            <w:r w:rsidRPr="00042FAC">
              <w:rPr>
                <w:rFonts w:ascii="Times New Roman" w:eastAsia="Times New Roman" w:hAnsi="Times New Roman" w:cs="Times New Roman"/>
                <w:lang w:eastAsia="tr-TR"/>
              </w:rPr>
              <w:t>sendromu</w:t>
            </w:r>
            <w:proofErr w:type="gramEnd"/>
            <w:r w:rsidRPr="00042FAC">
              <w:rPr>
                <w:rFonts w:ascii="Times New Roman" w:eastAsia="Times New Roman" w:hAnsi="Times New Roman" w:cs="Times New Roman"/>
                <w:lang w:eastAsia="tr-TR"/>
              </w:rPr>
              <w:t xml:space="preserve"> olan pediatrik ve genç erişkin deneklerde plaseboya kıyasla CBD grubunda konvülsif nöbet sıklığında önemli azalma gösterdi.</w:t>
            </w:r>
          </w:p>
        </w:tc>
      </w:tr>
      <w:tr w:rsidR="00BE36F0" w:rsidRPr="00AB7BF8" w:rsidTr="00D527BB">
        <w:tc>
          <w:tcPr>
            <w:tcW w:w="1867" w:type="dxa"/>
            <w:vMerge/>
            <w:shd w:val="clear" w:color="auto" w:fill="E7E6E6" w:themeFill="background2"/>
            <w:vAlign w:val="center"/>
            <w:hideMark/>
          </w:tcPr>
          <w:p w:rsidR="00BE36F0" w:rsidRPr="00AB7BF8" w:rsidRDefault="00BE36F0" w:rsidP="00D527BB">
            <w:pPr>
              <w:spacing w:after="0" w:line="240" w:lineRule="auto"/>
              <w:rPr>
                <w:rFonts w:ascii="Helvetica" w:eastAsia="Times New Roman" w:hAnsi="Helvetica" w:cs="Helvetica"/>
                <w:color w:val="000000"/>
                <w:sz w:val="18"/>
                <w:szCs w:val="18"/>
                <w:lang w:eastAsia="tr-TR"/>
              </w:rPr>
            </w:pP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Çift kör, plasebo kontrollü RKÇ, ek tedavi olarak CBD'ye randomize edilen tedaviye dirençli Lennox-Gastaut sendromlu pediatrik ve yetişkin deneklerde plaseboya karşı düşme nöbetlerinin sıklığında önemli bir azalma gösterdi</w:t>
            </w:r>
            <w:proofErr w:type="gramStart"/>
            <w:r w:rsidRPr="00042FAC">
              <w:rPr>
                <w:rFonts w:ascii="Times New Roman" w:eastAsia="Times New Roman" w:hAnsi="Times New Roman" w:cs="Times New Roman"/>
                <w:lang w:eastAsia="tr-TR"/>
              </w:rPr>
              <w:t>..</w:t>
            </w:r>
            <w:proofErr w:type="gramEnd"/>
          </w:p>
        </w:tc>
      </w:tr>
      <w:tr w:rsidR="00BE36F0" w:rsidRPr="00AB7BF8" w:rsidTr="00D527BB">
        <w:tc>
          <w:tcPr>
            <w:tcW w:w="1867" w:type="dxa"/>
            <w:vMerge/>
            <w:shd w:val="clear" w:color="auto" w:fill="E7E6E6" w:themeFill="background2"/>
            <w:vAlign w:val="center"/>
            <w:hideMark/>
          </w:tcPr>
          <w:p w:rsidR="00BE36F0" w:rsidRPr="00AB7BF8" w:rsidRDefault="00BE36F0" w:rsidP="00D527BB">
            <w:pPr>
              <w:spacing w:after="0" w:line="240" w:lineRule="auto"/>
              <w:rPr>
                <w:rFonts w:ascii="Helvetica" w:eastAsia="Times New Roman" w:hAnsi="Helvetica" w:cs="Helvetica"/>
                <w:color w:val="000000"/>
                <w:sz w:val="18"/>
                <w:szCs w:val="18"/>
                <w:lang w:eastAsia="tr-TR"/>
              </w:rPr>
            </w:pP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CBD açısından zengin özler ve saflaştırılmış CBD ile tedavi edilen deneklerde nöbet sıklığında bildirilen iyileşme ile refrakter epilepsinin tedavisine ilişkin gözlemsel klinik çalışmaların meta-analizi.</w:t>
            </w:r>
          </w:p>
        </w:tc>
      </w:tr>
      <w:tr w:rsidR="00BE36F0" w:rsidRPr="00AB7BF8" w:rsidTr="00D527BB">
        <w:tc>
          <w:tcPr>
            <w:tcW w:w="10065" w:type="dxa"/>
            <w:gridSpan w:val="2"/>
            <w:shd w:val="clear" w:color="auto" w:fill="D5DCE4" w:themeFill="text2" w:themeFillTint="33"/>
            <w:vAlign w:val="center"/>
            <w:hideMark/>
          </w:tcPr>
          <w:p w:rsidR="00BE36F0" w:rsidRPr="00B47E17" w:rsidRDefault="00BE36F0" w:rsidP="00D527BB">
            <w:pPr>
              <w:spacing w:after="0" w:line="240" w:lineRule="auto"/>
              <w:rPr>
                <w:rFonts w:ascii="Helvetica" w:eastAsia="Times New Roman" w:hAnsi="Helvetica" w:cs="Helvetica"/>
                <w:b/>
                <w:color w:val="C00000"/>
                <w:sz w:val="16"/>
                <w:szCs w:val="16"/>
                <w:lang w:eastAsia="tr-TR"/>
              </w:rPr>
            </w:pPr>
          </w:p>
          <w:p w:rsidR="00BE36F0" w:rsidRPr="00797A9F" w:rsidRDefault="00BE36F0" w:rsidP="00D527BB">
            <w:pPr>
              <w:spacing w:after="0" w:line="240" w:lineRule="auto"/>
              <w:rPr>
                <w:rFonts w:ascii="Helvetica" w:eastAsia="Times New Roman" w:hAnsi="Helvetica" w:cs="Helvetica"/>
                <w:b/>
                <w:color w:val="000000"/>
                <w:sz w:val="28"/>
                <w:szCs w:val="28"/>
                <w:lang w:eastAsia="tr-TR"/>
              </w:rPr>
            </w:pPr>
            <w:r w:rsidRPr="00797A9F">
              <w:rPr>
                <w:rFonts w:ascii="Helvetica" w:eastAsia="Times New Roman" w:hAnsi="Helvetica" w:cs="Helvetica"/>
                <w:b/>
                <w:color w:val="C00000"/>
                <w:sz w:val="28"/>
                <w:szCs w:val="28"/>
                <w:lang w:eastAsia="tr-TR"/>
              </w:rPr>
              <w:t>Olası (ılımlı kanıt)</w:t>
            </w:r>
          </w:p>
        </w:tc>
      </w:tr>
      <w:tr w:rsidR="00BE36F0" w:rsidRPr="00AB7BF8" w:rsidTr="00D527BB">
        <w:tc>
          <w:tcPr>
            <w:tcW w:w="1867" w:type="dxa"/>
            <w:vMerge w:val="restart"/>
            <w:shd w:val="clear" w:color="auto" w:fill="E7E6E6" w:themeFill="background2"/>
            <w:vAlign w:val="center"/>
            <w:hideMark/>
          </w:tcPr>
          <w:p w:rsidR="00BE36F0" w:rsidRPr="00042FAC" w:rsidRDefault="00BE36F0" w:rsidP="00D527BB">
            <w:pPr>
              <w:spacing w:after="0" w:line="240" w:lineRule="auto"/>
              <w:rPr>
                <w:rFonts w:ascii="Times New Roman" w:eastAsia="Times New Roman" w:hAnsi="Times New Roman" w:cs="Times New Roman"/>
                <w:b/>
                <w:sz w:val="24"/>
                <w:szCs w:val="24"/>
                <w:lang w:eastAsia="tr-TR"/>
              </w:rPr>
            </w:pPr>
            <w:r w:rsidRPr="00042FAC">
              <w:rPr>
                <w:rFonts w:ascii="Times New Roman" w:eastAsia="Times New Roman" w:hAnsi="Times New Roman" w:cs="Times New Roman"/>
                <w:b/>
                <w:sz w:val="24"/>
                <w:szCs w:val="24"/>
                <w:lang w:eastAsia="tr-TR"/>
              </w:rPr>
              <w:t> </w:t>
            </w:r>
            <w:r w:rsidRPr="00042FAC">
              <w:rPr>
                <w:rFonts w:ascii="Times New Roman" w:hAnsi="Times New Roman" w:cs="Times New Roman"/>
                <w:b/>
                <w:sz w:val="24"/>
                <w:szCs w:val="24"/>
              </w:rPr>
              <w:t xml:space="preserve"> </w:t>
            </w:r>
            <w:r w:rsidRPr="00042FAC">
              <w:rPr>
                <w:rFonts w:ascii="Times New Roman" w:eastAsia="Times New Roman" w:hAnsi="Times New Roman" w:cs="Times New Roman"/>
                <w:b/>
                <w:sz w:val="24"/>
                <w:szCs w:val="24"/>
                <w:lang w:eastAsia="tr-TR"/>
              </w:rPr>
              <w:t>Uzun süreli opioid kullanımında ve afyon yoksunluğunda azalma</w:t>
            </w: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Preklinik ve vaka incelemeleri, belirli kanabinoidlerin opioid koruyucu etkisini gösterse de, oral THC ile yapılan epidemiyolojik ve klinik çalışmalar karışıktır</w:t>
            </w:r>
            <w:proofErr w:type="gramStart"/>
            <w:r w:rsidRPr="00042FAC">
              <w:rPr>
                <w:rFonts w:ascii="Times New Roman" w:eastAsia="Times New Roman" w:hAnsi="Times New Roman" w:cs="Times New Roman"/>
                <w:lang w:eastAsia="tr-TR"/>
              </w:rPr>
              <w:t>..</w:t>
            </w:r>
            <w:proofErr w:type="gramEnd"/>
          </w:p>
        </w:tc>
      </w:tr>
      <w:tr w:rsidR="00BE36F0" w:rsidRPr="00AB7BF8" w:rsidTr="00D527BB">
        <w:tc>
          <w:tcPr>
            <w:tcW w:w="1867" w:type="dxa"/>
            <w:vMerge/>
            <w:shd w:val="clear" w:color="auto" w:fill="E7E6E6" w:themeFill="background2"/>
            <w:vAlign w:val="center"/>
            <w:hideMark/>
          </w:tcPr>
          <w:p w:rsidR="00BE36F0" w:rsidRPr="00042FAC" w:rsidRDefault="00BE36F0" w:rsidP="00D527BB">
            <w:pPr>
              <w:spacing w:after="0" w:line="240" w:lineRule="auto"/>
              <w:rPr>
                <w:rFonts w:ascii="Times New Roman" w:eastAsia="Times New Roman" w:hAnsi="Times New Roman" w:cs="Times New Roman"/>
                <w:b/>
                <w:sz w:val="24"/>
                <w:szCs w:val="24"/>
                <w:lang w:eastAsia="tr-TR"/>
              </w:rPr>
            </w:pP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Gözlemsel araştırmalar, esrara erişime izin veren yasalara (tıbbi ve tıbbi olmayan amaçlar için) sahip ABD eyaletleri ile reçete edilen opioidlerin ve opioidle ilişkili ölüm oranlarının düşürülmesi arasında bir ilişki olduğunu göstermektedir.</w:t>
            </w:r>
          </w:p>
        </w:tc>
      </w:tr>
      <w:tr w:rsidR="00BE36F0" w:rsidRPr="00AB7BF8" w:rsidTr="00D527BB">
        <w:tc>
          <w:tcPr>
            <w:tcW w:w="1867" w:type="dxa"/>
            <w:vMerge/>
            <w:shd w:val="clear" w:color="auto" w:fill="E7E6E6" w:themeFill="background2"/>
            <w:vAlign w:val="center"/>
            <w:hideMark/>
          </w:tcPr>
          <w:p w:rsidR="00BE36F0" w:rsidRPr="00042FAC" w:rsidRDefault="00BE36F0" w:rsidP="00D527BB">
            <w:pPr>
              <w:spacing w:after="0" w:line="240" w:lineRule="auto"/>
              <w:rPr>
                <w:rFonts w:ascii="Times New Roman" w:eastAsia="Times New Roman" w:hAnsi="Times New Roman" w:cs="Times New Roman"/>
                <w:b/>
                <w:sz w:val="24"/>
                <w:szCs w:val="24"/>
                <w:lang w:eastAsia="tr-TR"/>
              </w:rPr>
            </w:pP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 xml:space="preserve"> Gözlemsel çalışmalardan elde edilen kanıtlar, esrar kullanımının opioid yoksunluk </w:t>
            </w:r>
            <w:proofErr w:type="gramStart"/>
            <w:r w:rsidRPr="00042FAC">
              <w:rPr>
                <w:rFonts w:ascii="Times New Roman" w:eastAsia="Times New Roman" w:hAnsi="Times New Roman" w:cs="Times New Roman"/>
                <w:lang w:eastAsia="tr-TR"/>
              </w:rPr>
              <w:t>semptomlarını</w:t>
            </w:r>
            <w:proofErr w:type="gramEnd"/>
            <w:r w:rsidRPr="00042FAC">
              <w:rPr>
                <w:rFonts w:ascii="Times New Roman" w:eastAsia="Times New Roman" w:hAnsi="Times New Roman" w:cs="Times New Roman"/>
                <w:lang w:eastAsia="tr-TR"/>
              </w:rPr>
              <w:t xml:space="preserve"> hafifletmeye yardımcı olabileceğini düşündürmektedir, ancak herhangi bir güvenilir sonuç çıkarmak için yeterli klinik kanıt yoktur.</w:t>
            </w:r>
          </w:p>
        </w:tc>
      </w:tr>
      <w:tr w:rsidR="00BE36F0" w:rsidRPr="00AB7BF8" w:rsidTr="00D527BB">
        <w:tc>
          <w:tcPr>
            <w:tcW w:w="1867" w:type="dxa"/>
            <w:vMerge w:val="restart"/>
            <w:shd w:val="clear" w:color="auto" w:fill="E7E6E6" w:themeFill="background2"/>
            <w:vAlign w:val="center"/>
            <w:hideMark/>
          </w:tcPr>
          <w:p w:rsidR="00BE36F0" w:rsidRPr="00042FAC" w:rsidRDefault="00BE36F0" w:rsidP="00D527BB">
            <w:pPr>
              <w:spacing w:after="0" w:line="240" w:lineRule="auto"/>
              <w:rPr>
                <w:rFonts w:ascii="Times New Roman" w:eastAsia="Times New Roman" w:hAnsi="Times New Roman" w:cs="Times New Roman"/>
                <w:b/>
                <w:sz w:val="24"/>
                <w:szCs w:val="24"/>
                <w:lang w:eastAsia="tr-TR"/>
              </w:rPr>
            </w:pPr>
            <w:r w:rsidRPr="00042FAC">
              <w:rPr>
                <w:rFonts w:ascii="Times New Roman" w:eastAsia="Times New Roman" w:hAnsi="Times New Roman" w:cs="Times New Roman"/>
                <w:b/>
                <w:sz w:val="24"/>
                <w:szCs w:val="24"/>
                <w:lang w:eastAsia="tr-TR"/>
              </w:rPr>
              <w:t> </w:t>
            </w:r>
            <w:r w:rsidRPr="00042FAC">
              <w:rPr>
                <w:rFonts w:ascii="Times New Roman" w:eastAsia="Times New Roman" w:hAnsi="Times New Roman" w:cs="Times New Roman"/>
                <w:b/>
                <w:sz w:val="24"/>
                <w:szCs w:val="24"/>
                <w:lang w:eastAsia="tr-TR"/>
              </w:rPr>
              <w:t>Distoni</w:t>
            </w: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 xml:space="preserve">Sınırlı preklinik çalışmalardan elde edilen kanıtlar, sentetik bir CB1 ve CB2 reseptörü agonistinin distoni benzeri </w:t>
            </w:r>
            <w:proofErr w:type="gramStart"/>
            <w:r w:rsidRPr="00042FAC">
              <w:rPr>
                <w:rFonts w:ascii="Times New Roman" w:eastAsia="Times New Roman" w:hAnsi="Times New Roman" w:cs="Times New Roman"/>
                <w:lang w:eastAsia="tr-TR"/>
              </w:rPr>
              <w:t>semptomları</w:t>
            </w:r>
            <w:proofErr w:type="gramEnd"/>
            <w:r w:rsidRPr="00042FAC">
              <w:rPr>
                <w:rFonts w:ascii="Times New Roman" w:eastAsia="Times New Roman" w:hAnsi="Times New Roman" w:cs="Times New Roman"/>
                <w:lang w:eastAsia="tr-TR"/>
              </w:rPr>
              <w:t xml:space="preserve"> hafifletebileceğini ve CBD'nin distoninin ilerlemesini geciktirdiğini düşündürmektedir.</w:t>
            </w:r>
          </w:p>
        </w:tc>
      </w:tr>
      <w:tr w:rsidR="00BE36F0" w:rsidRPr="00AB7BF8" w:rsidTr="00D527BB">
        <w:tc>
          <w:tcPr>
            <w:tcW w:w="1867" w:type="dxa"/>
            <w:vMerge/>
            <w:shd w:val="clear" w:color="auto" w:fill="E7E6E6" w:themeFill="background2"/>
            <w:vAlign w:val="center"/>
            <w:hideMark/>
          </w:tcPr>
          <w:p w:rsidR="00BE36F0" w:rsidRPr="00042FAC" w:rsidRDefault="00BE36F0" w:rsidP="00D527BB">
            <w:pPr>
              <w:spacing w:after="0" w:line="240" w:lineRule="auto"/>
              <w:rPr>
                <w:rFonts w:ascii="Times New Roman" w:eastAsia="Times New Roman" w:hAnsi="Times New Roman" w:cs="Times New Roman"/>
                <w:b/>
                <w:sz w:val="24"/>
                <w:szCs w:val="24"/>
                <w:lang w:eastAsia="tr-TR"/>
              </w:rPr>
            </w:pP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 xml:space="preserve">Sınırlı sayıda vaka çalışmasından ve küçük plasebo kontrollü veya açık etiketli klinik çalışmalardan elde edilen kanıtlar, inhale cannabis, oral THC'nin karışık etkileri ile distoni </w:t>
            </w:r>
            <w:proofErr w:type="gramStart"/>
            <w:r w:rsidRPr="00042FAC">
              <w:rPr>
                <w:rFonts w:ascii="Times New Roman" w:eastAsia="Times New Roman" w:hAnsi="Times New Roman" w:cs="Times New Roman"/>
                <w:lang w:eastAsia="tr-TR"/>
              </w:rPr>
              <w:t>semptomlarında</w:t>
            </w:r>
            <w:proofErr w:type="gramEnd"/>
            <w:r w:rsidRPr="00042FAC">
              <w:rPr>
                <w:rFonts w:ascii="Times New Roman" w:eastAsia="Times New Roman" w:hAnsi="Times New Roman" w:cs="Times New Roman"/>
                <w:lang w:eastAsia="tr-TR"/>
              </w:rPr>
              <w:t xml:space="preserve"> düzelme, oral CBD ile distoni semptomlarında düzelme ve nabilonun distoni semptomları üzerinde etkisinin olmaması.</w:t>
            </w:r>
          </w:p>
        </w:tc>
      </w:tr>
      <w:tr w:rsidR="00BE36F0" w:rsidRPr="00AB7BF8" w:rsidTr="00D527BB">
        <w:tc>
          <w:tcPr>
            <w:tcW w:w="1867" w:type="dxa"/>
            <w:vMerge w:val="restart"/>
            <w:shd w:val="clear" w:color="auto" w:fill="E7E6E6" w:themeFill="background2"/>
            <w:vAlign w:val="center"/>
            <w:hideMark/>
          </w:tcPr>
          <w:p w:rsidR="00BE36F0" w:rsidRPr="00042FAC" w:rsidRDefault="00BE36F0" w:rsidP="00D527BB">
            <w:pPr>
              <w:spacing w:after="0" w:line="240" w:lineRule="auto"/>
              <w:rPr>
                <w:rFonts w:ascii="Times New Roman" w:eastAsia="Times New Roman" w:hAnsi="Times New Roman" w:cs="Times New Roman"/>
                <w:b/>
                <w:sz w:val="24"/>
                <w:szCs w:val="24"/>
                <w:lang w:eastAsia="tr-TR"/>
              </w:rPr>
            </w:pPr>
            <w:r w:rsidRPr="00042FAC">
              <w:rPr>
                <w:rFonts w:ascii="Times New Roman" w:eastAsia="Times New Roman" w:hAnsi="Times New Roman" w:cs="Times New Roman"/>
                <w:b/>
                <w:sz w:val="24"/>
                <w:szCs w:val="24"/>
                <w:lang w:eastAsia="tr-TR"/>
              </w:rPr>
              <w:t> </w:t>
            </w:r>
            <w:r w:rsidRPr="00042FAC">
              <w:rPr>
                <w:rFonts w:ascii="Times New Roman" w:eastAsia="Times New Roman" w:hAnsi="Times New Roman" w:cs="Times New Roman"/>
                <w:b/>
                <w:sz w:val="24"/>
                <w:szCs w:val="24"/>
                <w:lang w:eastAsia="tr-TR"/>
              </w:rPr>
              <w:t>Glokom</w:t>
            </w: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Küçük klinik çalışmalardan elde edilen sınırlı kanıtlar, THC'nin oral yoldan verilmesinin göz içi basıncını düşürdüğünü ve buna karşın CBD'nin oral yoldan verilmesinin göz içi basıncında artışa neden olabileceğini düşündürmektedir.</w:t>
            </w:r>
          </w:p>
        </w:tc>
      </w:tr>
      <w:tr w:rsidR="00BE36F0" w:rsidRPr="00AB7BF8" w:rsidTr="00D527BB">
        <w:tc>
          <w:tcPr>
            <w:tcW w:w="1867" w:type="dxa"/>
            <w:vMerge/>
            <w:shd w:val="clear" w:color="auto" w:fill="E7E6E6" w:themeFill="background2"/>
            <w:vAlign w:val="center"/>
            <w:hideMark/>
          </w:tcPr>
          <w:p w:rsidR="00BE36F0" w:rsidRPr="00AB7BF8" w:rsidRDefault="00BE36F0" w:rsidP="00D527BB">
            <w:pPr>
              <w:spacing w:after="0" w:line="240" w:lineRule="auto"/>
              <w:rPr>
                <w:rFonts w:ascii="Helvetica" w:eastAsia="Times New Roman" w:hAnsi="Helvetica" w:cs="Helvetica"/>
                <w:color w:val="000000"/>
                <w:sz w:val="18"/>
                <w:szCs w:val="18"/>
                <w:lang w:eastAsia="tr-TR"/>
              </w:rPr>
            </w:pP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Amerikan Glokom Derneği önermez.</w:t>
            </w:r>
          </w:p>
        </w:tc>
      </w:tr>
      <w:tr w:rsidR="00BE36F0" w:rsidRPr="00AB7BF8" w:rsidTr="00D527BB">
        <w:tc>
          <w:tcPr>
            <w:tcW w:w="10065" w:type="dxa"/>
            <w:gridSpan w:val="2"/>
            <w:shd w:val="clear" w:color="auto" w:fill="D5DCE4" w:themeFill="text2" w:themeFillTint="33"/>
            <w:vAlign w:val="center"/>
            <w:hideMark/>
          </w:tcPr>
          <w:p w:rsidR="00BE36F0" w:rsidRPr="00B47E17" w:rsidRDefault="00BE36F0" w:rsidP="00D527BB">
            <w:pPr>
              <w:spacing w:after="0" w:line="240" w:lineRule="auto"/>
              <w:rPr>
                <w:rFonts w:ascii="Times New Roman" w:eastAsia="Times New Roman" w:hAnsi="Times New Roman" w:cs="Times New Roman"/>
                <w:b/>
                <w:color w:val="C00000"/>
                <w:sz w:val="16"/>
                <w:szCs w:val="16"/>
                <w:lang w:eastAsia="tr-TR"/>
              </w:rPr>
            </w:pPr>
          </w:p>
          <w:p w:rsidR="00BE36F0" w:rsidRPr="00B47E17" w:rsidRDefault="00BE36F0" w:rsidP="00D527BB">
            <w:pPr>
              <w:spacing w:after="0" w:line="240" w:lineRule="auto"/>
              <w:rPr>
                <w:rFonts w:ascii="Times New Roman" w:eastAsia="Times New Roman" w:hAnsi="Times New Roman" w:cs="Times New Roman"/>
                <w:b/>
                <w:color w:val="000000"/>
                <w:sz w:val="28"/>
                <w:szCs w:val="28"/>
                <w:lang w:eastAsia="tr-TR"/>
              </w:rPr>
            </w:pPr>
            <w:r w:rsidRPr="00B47E17">
              <w:rPr>
                <w:rFonts w:ascii="Times New Roman" w:eastAsia="Times New Roman" w:hAnsi="Times New Roman" w:cs="Times New Roman"/>
                <w:b/>
                <w:color w:val="C00000"/>
                <w:sz w:val="28"/>
                <w:szCs w:val="28"/>
                <w:lang w:eastAsia="tr-TR"/>
              </w:rPr>
              <w:t>Kesin olmayan kanıt (RKÇ yok)</w:t>
            </w:r>
          </w:p>
        </w:tc>
      </w:tr>
      <w:tr w:rsidR="00BE36F0" w:rsidRPr="00AB7BF8" w:rsidTr="00D527BB">
        <w:tc>
          <w:tcPr>
            <w:tcW w:w="1867" w:type="dxa"/>
            <w:vMerge w:val="restart"/>
            <w:shd w:val="clear" w:color="auto" w:fill="E7E6E6" w:themeFill="background2"/>
            <w:vAlign w:val="center"/>
            <w:hideMark/>
          </w:tcPr>
          <w:p w:rsidR="00BE36F0" w:rsidRPr="00A0362B" w:rsidRDefault="00BE36F0" w:rsidP="00D527BB">
            <w:pPr>
              <w:spacing w:after="0" w:line="240" w:lineRule="auto"/>
              <w:rPr>
                <w:rFonts w:ascii="Times New Roman" w:eastAsia="Times New Roman" w:hAnsi="Times New Roman" w:cs="Times New Roman"/>
                <w:b/>
                <w:lang w:eastAsia="tr-TR"/>
              </w:rPr>
            </w:pPr>
            <w:r w:rsidRPr="00A0362B">
              <w:rPr>
                <w:rFonts w:ascii="Times New Roman" w:eastAsia="Times New Roman" w:hAnsi="Times New Roman" w:cs="Times New Roman"/>
                <w:b/>
                <w:lang w:eastAsia="tr-TR"/>
              </w:rPr>
              <w:t> </w:t>
            </w:r>
            <w:r w:rsidRPr="00A0362B">
              <w:rPr>
                <w:rFonts w:ascii="Times New Roman" w:eastAsia="Times New Roman" w:hAnsi="Times New Roman" w:cs="Times New Roman"/>
                <w:b/>
                <w:lang w:eastAsia="tr-TR"/>
              </w:rPr>
              <w:t>Alzheimer hastalık</w:t>
            </w: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Preklinik çalışmalar, THC ve CBD'nin Alzheimer hastalığının hayvan modellerinde eksitotoksisiteye, oksidatif strese ve inflamasyona karşı koruyabileceğini düşündürmektedir.</w:t>
            </w:r>
          </w:p>
        </w:tc>
      </w:tr>
      <w:tr w:rsidR="00BE36F0" w:rsidRPr="00AB7BF8" w:rsidTr="00D527BB">
        <w:tc>
          <w:tcPr>
            <w:tcW w:w="1867" w:type="dxa"/>
            <w:vMerge/>
            <w:shd w:val="clear" w:color="auto" w:fill="E7E6E6" w:themeFill="background2"/>
            <w:vAlign w:val="center"/>
            <w:hideMark/>
          </w:tcPr>
          <w:p w:rsidR="00BE36F0" w:rsidRPr="00A0362B" w:rsidRDefault="00BE36F0" w:rsidP="00D527BB">
            <w:pPr>
              <w:spacing w:after="0" w:line="240" w:lineRule="auto"/>
              <w:rPr>
                <w:rFonts w:ascii="Times New Roman" w:eastAsia="Times New Roman" w:hAnsi="Times New Roman" w:cs="Times New Roman"/>
                <w:b/>
                <w:lang w:eastAsia="tr-TR"/>
              </w:rPr>
            </w:pP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Sınırlı vaka, klinik ve gözlemsel çalışmalar gösteriyor ki</w:t>
            </w:r>
          </w:p>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 xml:space="preserve">  oral THC ve nabilon, Alzheimer hastalığı ile ilişkili bir dizi semptomda (örneğin, gece motor aktivitesi, rahatsız davranış, uyku, </w:t>
            </w:r>
            <w:proofErr w:type="gramStart"/>
            <w:r w:rsidRPr="00042FAC">
              <w:rPr>
                <w:rFonts w:ascii="Times New Roman" w:eastAsia="Times New Roman" w:hAnsi="Times New Roman" w:cs="Times New Roman"/>
                <w:lang w:eastAsia="tr-TR"/>
              </w:rPr>
              <w:t>ajitasyon</w:t>
            </w:r>
            <w:proofErr w:type="gramEnd"/>
            <w:r w:rsidRPr="00042FAC">
              <w:rPr>
                <w:rFonts w:ascii="Times New Roman" w:eastAsia="Times New Roman" w:hAnsi="Times New Roman" w:cs="Times New Roman"/>
                <w:lang w:eastAsia="tr-TR"/>
              </w:rPr>
              <w:t xml:space="preserve"> ve huzursuzluk) iyileşme ile ilişkilidir.</w:t>
            </w:r>
          </w:p>
        </w:tc>
      </w:tr>
      <w:tr w:rsidR="00BE36F0" w:rsidRPr="00AB7BF8" w:rsidTr="00D527BB">
        <w:tc>
          <w:tcPr>
            <w:tcW w:w="1867" w:type="dxa"/>
            <w:vMerge w:val="restart"/>
            <w:shd w:val="clear" w:color="auto" w:fill="E7E6E6" w:themeFill="background2"/>
            <w:vAlign w:val="center"/>
            <w:hideMark/>
          </w:tcPr>
          <w:p w:rsidR="00BE36F0" w:rsidRPr="00A0362B" w:rsidRDefault="00BE36F0" w:rsidP="00D527BB">
            <w:pPr>
              <w:spacing w:after="0" w:line="240" w:lineRule="auto"/>
              <w:rPr>
                <w:rFonts w:ascii="Times New Roman" w:eastAsia="Times New Roman" w:hAnsi="Times New Roman" w:cs="Times New Roman"/>
                <w:b/>
                <w:lang w:eastAsia="tr-TR"/>
              </w:rPr>
            </w:pPr>
            <w:r w:rsidRPr="00A0362B">
              <w:rPr>
                <w:rFonts w:ascii="Times New Roman" w:eastAsia="Times New Roman" w:hAnsi="Times New Roman" w:cs="Times New Roman"/>
                <w:b/>
                <w:lang w:eastAsia="tr-TR"/>
              </w:rPr>
              <w:t> </w:t>
            </w:r>
            <w:r w:rsidRPr="00A0362B">
              <w:rPr>
                <w:rFonts w:ascii="Times New Roman" w:eastAsia="Times New Roman" w:hAnsi="Times New Roman" w:cs="Times New Roman"/>
                <w:b/>
                <w:lang w:eastAsia="tr-TR"/>
              </w:rPr>
              <w:t xml:space="preserve">Anksiyete </w:t>
            </w:r>
            <w:proofErr w:type="gramStart"/>
            <w:r w:rsidRPr="00A0362B">
              <w:rPr>
                <w:rFonts w:ascii="Times New Roman" w:eastAsia="Times New Roman" w:hAnsi="Times New Roman" w:cs="Times New Roman"/>
                <w:b/>
                <w:lang w:eastAsia="tr-TR"/>
              </w:rPr>
              <w:t>ve  depresyon</w:t>
            </w:r>
            <w:proofErr w:type="gramEnd"/>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Hasta tarafından bildirilen tıbbi kannabis kullanımına ilişkin sistematik bir inceleme ve meta-analiz, hastaların ≈%50'sinin tıbbi kannabis kullanma nedeni olarak anksiyeteyi ve %35'inin neden olarak depresyonu bildirdiğini gösterdi.</w:t>
            </w:r>
          </w:p>
        </w:tc>
      </w:tr>
      <w:tr w:rsidR="00BE36F0" w:rsidRPr="00AB7BF8" w:rsidTr="00D527BB">
        <w:tc>
          <w:tcPr>
            <w:tcW w:w="1867" w:type="dxa"/>
            <w:vMerge/>
            <w:shd w:val="clear" w:color="auto" w:fill="E7E6E6" w:themeFill="background2"/>
            <w:vAlign w:val="center"/>
            <w:hideMark/>
          </w:tcPr>
          <w:p w:rsidR="00BE36F0" w:rsidRPr="00A0362B" w:rsidRDefault="00BE36F0" w:rsidP="00D527BB">
            <w:pPr>
              <w:spacing w:after="0" w:line="240" w:lineRule="auto"/>
              <w:rPr>
                <w:rFonts w:ascii="Times New Roman" w:eastAsia="Times New Roman" w:hAnsi="Times New Roman" w:cs="Times New Roman"/>
                <w:b/>
                <w:lang w:eastAsia="tr-TR"/>
              </w:rPr>
            </w:pP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Sağlıklı bireylerde yardımcı işlevsel nörogörüntüleme ile yapılan küçük araştırmalar, CBD ve dronabinol'ün limbik ve paralimbik beyin bölgelerindeki aktivite üzerindeki etkileriyle ilgili anksiyeteyi azalttığını göstermiştir.</w:t>
            </w:r>
          </w:p>
        </w:tc>
      </w:tr>
      <w:tr w:rsidR="00BE36F0" w:rsidRPr="00AB7BF8" w:rsidTr="00D527BB">
        <w:tc>
          <w:tcPr>
            <w:tcW w:w="1867" w:type="dxa"/>
            <w:vMerge/>
            <w:shd w:val="clear" w:color="auto" w:fill="E7E6E6" w:themeFill="background2"/>
            <w:vAlign w:val="center"/>
            <w:hideMark/>
          </w:tcPr>
          <w:p w:rsidR="00BE36F0" w:rsidRPr="00A0362B" w:rsidRDefault="00BE36F0" w:rsidP="00D527BB">
            <w:pPr>
              <w:spacing w:after="0" w:line="240" w:lineRule="auto"/>
              <w:rPr>
                <w:rFonts w:ascii="Times New Roman" w:eastAsia="Times New Roman" w:hAnsi="Times New Roman" w:cs="Times New Roman"/>
                <w:b/>
                <w:lang w:eastAsia="tr-TR"/>
              </w:rPr>
            </w:pP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ABD'li yetişkinlerin (≥18 yaş) ulusal olarak temsili bir örneğinden elde edilen verilerde, kannabis kullanımı (yani, son 12 ayda bir miktar kullanım ancak ayda birden az kullanım) sosyal anksiyete bozukluğunun yeni oluşumuyla anlamlı bir şekilde ilişkili değildi.</w:t>
            </w:r>
            <w:r w:rsidRPr="00042FAC">
              <w:rPr>
                <w:rFonts w:ascii="Times New Roman" w:hAnsi="Times New Roman" w:cs="Times New Roman"/>
              </w:rPr>
              <w:t xml:space="preserve"> </w:t>
            </w:r>
            <w:r w:rsidRPr="00042FAC">
              <w:rPr>
                <w:rFonts w:ascii="Times New Roman" w:eastAsia="Times New Roman" w:hAnsi="Times New Roman" w:cs="Times New Roman"/>
                <w:lang w:eastAsia="tr-TR"/>
              </w:rPr>
              <w:t>Bununla birlikte, daha sık kullanım (ayda ≥1 kez), sosyal anksiyete bozukluğu vakası olasılığının önemli ölçüde artmasıyla ilişkilendirilmiştir.</w:t>
            </w:r>
          </w:p>
        </w:tc>
      </w:tr>
      <w:tr w:rsidR="00BE36F0" w:rsidRPr="00AB7BF8" w:rsidTr="00D527BB">
        <w:tc>
          <w:tcPr>
            <w:tcW w:w="1867" w:type="dxa"/>
            <w:vMerge w:val="restart"/>
            <w:shd w:val="clear" w:color="auto" w:fill="E7E6E6" w:themeFill="background2"/>
            <w:vAlign w:val="center"/>
            <w:hideMark/>
          </w:tcPr>
          <w:p w:rsidR="00BE36F0" w:rsidRPr="00A0362B" w:rsidRDefault="00BE36F0" w:rsidP="00D527BB">
            <w:pPr>
              <w:spacing w:after="0" w:line="240" w:lineRule="auto"/>
              <w:rPr>
                <w:rFonts w:ascii="Times New Roman" w:eastAsia="Times New Roman" w:hAnsi="Times New Roman" w:cs="Times New Roman"/>
                <w:b/>
                <w:lang w:eastAsia="tr-TR"/>
              </w:rPr>
            </w:pPr>
            <w:r w:rsidRPr="00A0362B">
              <w:rPr>
                <w:rFonts w:ascii="Times New Roman" w:eastAsia="Times New Roman" w:hAnsi="Times New Roman" w:cs="Times New Roman"/>
                <w:b/>
                <w:lang w:eastAsia="tr-TR"/>
              </w:rPr>
              <w:t> </w:t>
            </w:r>
            <w:r w:rsidRPr="00A0362B">
              <w:rPr>
                <w:rFonts w:ascii="Times New Roman" w:eastAsia="Times New Roman" w:hAnsi="Times New Roman" w:cs="Times New Roman"/>
                <w:b/>
                <w:lang w:eastAsia="tr-TR"/>
              </w:rPr>
              <w:t>Antitümör etki</w:t>
            </w: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 xml:space="preserve">Klinik öncesi araştırmalar, belirli kannabinoidlerin (THC, CBD, CBG, CBC) her zaman olmamakla birlikte sıklıkla in vitro kanser hücrelerinin büyümesini engellediğini ve in vivo </w:t>
            </w:r>
            <w:r w:rsidRPr="00042FAC">
              <w:rPr>
                <w:rFonts w:ascii="Times New Roman" w:eastAsia="Times New Roman" w:hAnsi="Times New Roman" w:cs="Times New Roman"/>
                <w:lang w:eastAsia="tr-TR"/>
              </w:rPr>
              <w:lastRenderedPageBreak/>
              <w:t xml:space="preserve">olarak çeşitli antineoplastik etkiler sergilediğini, ancak tipik olarak </w:t>
            </w:r>
            <w:proofErr w:type="gramStart"/>
            <w:r w:rsidRPr="00042FAC">
              <w:rPr>
                <w:rFonts w:ascii="Times New Roman" w:eastAsia="Times New Roman" w:hAnsi="Times New Roman" w:cs="Times New Roman"/>
                <w:lang w:eastAsia="tr-TR"/>
              </w:rPr>
              <w:t>klinikte  görülmeyecek</w:t>
            </w:r>
            <w:proofErr w:type="gramEnd"/>
            <w:r w:rsidRPr="00042FAC">
              <w:rPr>
                <w:rFonts w:ascii="Times New Roman" w:eastAsia="Times New Roman" w:hAnsi="Times New Roman" w:cs="Times New Roman"/>
                <w:lang w:eastAsia="tr-TR"/>
              </w:rPr>
              <w:t xml:space="preserve"> çok yüksek dozlarda olduğunu göstermektedir.</w:t>
            </w:r>
          </w:p>
        </w:tc>
      </w:tr>
      <w:tr w:rsidR="00BE36F0" w:rsidRPr="00AB7BF8" w:rsidTr="00D527BB">
        <w:tc>
          <w:tcPr>
            <w:tcW w:w="1867" w:type="dxa"/>
            <w:vMerge/>
            <w:shd w:val="clear" w:color="auto" w:fill="E7E6E6" w:themeFill="background2"/>
            <w:vAlign w:val="center"/>
            <w:hideMark/>
          </w:tcPr>
          <w:p w:rsidR="00BE36F0" w:rsidRPr="00A0362B" w:rsidRDefault="00BE36F0" w:rsidP="00D527BB">
            <w:pPr>
              <w:spacing w:after="0" w:line="240" w:lineRule="auto"/>
              <w:rPr>
                <w:rFonts w:ascii="Times New Roman" w:eastAsia="Times New Roman" w:hAnsi="Times New Roman" w:cs="Times New Roman"/>
                <w:b/>
                <w:lang w:eastAsia="tr-TR"/>
              </w:rPr>
            </w:pP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 xml:space="preserve">1 gözlemsel çalışmadan elde edilen sınırlı kanıt, kanser hastalarının kanserle ilişkili </w:t>
            </w:r>
            <w:proofErr w:type="gramStart"/>
            <w:r w:rsidRPr="00042FAC">
              <w:rPr>
                <w:rFonts w:ascii="Times New Roman" w:eastAsia="Times New Roman" w:hAnsi="Times New Roman" w:cs="Times New Roman"/>
                <w:lang w:eastAsia="tr-TR"/>
              </w:rPr>
              <w:t>semptomları</w:t>
            </w:r>
            <w:proofErr w:type="gramEnd"/>
            <w:r w:rsidRPr="00042FAC">
              <w:rPr>
                <w:rFonts w:ascii="Times New Roman" w:eastAsia="Times New Roman" w:hAnsi="Times New Roman" w:cs="Times New Roman"/>
                <w:lang w:eastAsia="tr-TR"/>
              </w:rPr>
              <w:t xml:space="preserve"> (örn. kemosensör değişiklikler, kilo kaybı, depresyon, ağrı) hafifletmek için esrar kullandığını öne sürse de, glioblastoma multiforme hastalarında yalnızca 1 sınırlı klinik çalışma yapılmıştır. </w:t>
            </w:r>
            <w:proofErr w:type="gramStart"/>
            <w:r w:rsidRPr="00042FAC">
              <w:rPr>
                <w:rFonts w:ascii="Times New Roman" w:eastAsia="Times New Roman" w:hAnsi="Times New Roman" w:cs="Times New Roman"/>
                <w:lang w:eastAsia="tr-TR"/>
              </w:rPr>
              <w:t>yüksek</w:t>
            </w:r>
            <w:proofErr w:type="gramEnd"/>
            <w:r w:rsidRPr="00042FAC">
              <w:rPr>
                <w:rFonts w:ascii="Times New Roman" w:eastAsia="Times New Roman" w:hAnsi="Times New Roman" w:cs="Times New Roman"/>
                <w:lang w:eastAsia="tr-TR"/>
              </w:rPr>
              <w:t xml:space="preserve"> dozlarda THC'nin tümör içi enjeksiyonunun, geleneksel kemoterapötik ajanlarla görülenin ötesinde hasta sağkalımını düzeltmediği bildirildi.</w:t>
            </w:r>
          </w:p>
        </w:tc>
      </w:tr>
      <w:tr w:rsidR="00BE36F0" w:rsidRPr="00AB7BF8" w:rsidTr="00D527BB">
        <w:tc>
          <w:tcPr>
            <w:tcW w:w="1867" w:type="dxa"/>
            <w:vMerge w:val="restart"/>
            <w:shd w:val="clear" w:color="auto" w:fill="E7E6E6" w:themeFill="background2"/>
            <w:vAlign w:val="center"/>
            <w:hideMark/>
          </w:tcPr>
          <w:p w:rsidR="00BE36F0" w:rsidRPr="00A0362B" w:rsidRDefault="00BE36F0" w:rsidP="00D527BB">
            <w:pPr>
              <w:spacing w:after="0" w:line="240" w:lineRule="auto"/>
              <w:rPr>
                <w:rFonts w:ascii="Times New Roman" w:eastAsia="Times New Roman" w:hAnsi="Times New Roman" w:cs="Times New Roman"/>
                <w:b/>
                <w:lang w:eastAsia="tr-TR"/>
              </w:rPr>
            </w:pPr>
            <w:r w:rsidRPr="00A0362B">
              <w:rPr>
                <w:rFonts w:ascii="Times New Roman" w:eastAsia="Times New Roman" w:hAnsi="Times New Roman" w:cs="Times New Roman"/>
                <w:b/>
                <w:lang w:eastAsia="tr-TR"/>
              </w:rPr>
              <w:t> </w:t>
            </w:r>
            <w:r w:rsidRPr="00A0362B">
              <w:rPr>
                <w:rFonts w:ascii="Times New Roman" w:hAnsi="Times New Roman" w:cs="Times New Roman"/>
                <w:b/>
              </w:rPr>
              <w:t xml:space="preserve"> İnflamatuar</w:t>
            </w:r>
            <w:r w:rsidRPr="00A0362B">
              <w:rPr>
                <w:rFonts w:ascii="Times New Roman" w:eastAsia="Times New Roman" w:hAnsi="Times New Roman" w:cs="Times New Roman"/>
                <w:b/>
                <w:lang w:eastAsia="tr-TR"/>
              </w:rPr>
              <w:t xml:space="preserve"> bağırsak hastalıkları (Crohn hastalığı, ülseratif kolit)</w:t>
            </w: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 xml:space="preserve"> İnflamatuar barsak hastalığı hayvan modellerinde yapılan preklinik çalışmalar, bazı kannabinoidlerin (sentetik CB1 ve CB2 reseptör agonistleri, THC, CBD, CBG, CBC, tam bitki kenevir özü) bağırsak </w:t>
            </w:r>
            <w:proofErr w:type="gramStart"/>
            <w:r w:rsidRPr="00042FAC">
              <w:rPr>
                <w:rFonts w:ascii="Times New Roman" w:eastAsia="Times New Roman" w:hAnsi="Times New Roman" w:cs="Times New Roman"/>
                <w:lang w:eastAsia="tr-TR"/>
              </w:rPr>
              <w:t>inflamasyonu  ve</w:t>
            </w:r>
            <w:proofErr w:type="gramEnd"/>
            <w:r w:rsidRPr="00042FAC">
              <w:rPr>
                <w:rFonts w:ascii="Times New Roman" w:eastAsia="Times New Roman" w:hAnsi="Times New Roman" w:cs="Times New Roman"/>
                <w:lang w:eastAsia="tr-TR"/>
              </w:rPr>
              <w:t xml:space="preserve"> hastalık şiddetini değişen derecelerde sınırlayabileceğini düşündürmektedir.</w:t>
            </w:r>
          </w:p>
        </w:tc>
      </w:tr>
      <w:tr w:rsidR="00BE36F0" w:rsidRPr="00AB7BF8" w:rsidTr="00D527BB">
        <w:tc>
          <w:tcPr>
            <w:tcW w:w="1867" w:type="dxa"/>
            <w:vMerge/>
            <w:shd w:val="clear" w:color="auto" w:fill="E7E6E6" w:themeFill="background2"/>
            <w:vAlign w:val="center"/>
            <w:hideMark/>
          </w:tcPr>
          <w:p w:rsidR="00BE36F0" w:rsidRPr="00A0362B" w:rsidRDefault="00BE36F0" w:rsidP="00D527BB">
            <w:pPr>
              <w:spacing w:after="0" w:line="240" w:lineRule="auto"/>
              <w:rPr>
                <w:rFonts w:ascii="Times New Roman" w:eastAsia="Times New Roman" w:hAnsi="Times New Roman" w:cs="Times New Roman"/>
                <w:b/>
                <w:lang w:eastAsia="tr-TR"/>
              </w:rPr>
            </w:pP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 xml:space="preserve">Geleneksel tedavilerin başarısız olduğu inflamatuar bağırsak hastalığı olan hastalarla ilgili çok sınırlı sayıda küçük klinik çalışma,  esrar tüttürülmesi ile inflamatuar bağırsak hastalığıyla ilişkili bir dizi </w:t>
            </w:r>
            <w:proofErr w:type="gramStart"/>
            <w:r w:rsidRPr="00042FAC">
              <w:rPr>
                <w:rFonts w:ascii="Times New Roman" w:eastAsia="Times New Roman" w:hAnsi="Times New Roman" w:cs="Times New Roman"/>
                <w:lang w:eastAsia="tr-TR"/>
              </w:rPr>
              <w:t>semptomda</w:t>
            </w:r>
            <w:proofErr w:type="gramEnd"/>
            <w:r w:rsidRPr="00042FAC">
              <w:rPr>
                <w:rFonts w:ascii="Times New Roman" w:eastAsia="Times New Roman" w:hAnsi="Times New Roman" w:cs="Times New Roman"/>
                <w:lang w:eastAsia="tr-TR"/>
              </w:rPr>
              <w:t xml:space="preserve"> iyileşme bildirdi.</w:t>
            </w:r>
          </w:p>
        </w:tc>
      </w:tr>
      <w:tr w:rsidR="00BE36F0" w:rsidRPr="00AB7BF8" w:rsidTr="00D527BB">
        <w:tc>
          <w:tcPr>
            <w:tcW w:w="1867" w:type="dxa"/>
            <w:shd w:val="clear" w:color="auto" w:fill="E7E6E6" w:themeFill="background2"/>
            <w:vAlign w:val="center"/>
            <w:hideMark/>
          </w:tcPr>
          <w:p w:rsidR="00BE36F0" w:rsidRPr="00A0362B" w:rsidRDefault="00BE36F0" w:rsidP="00D527BB">
            <w:pPr>
              <w:spacing w:after="0" w:line="240" w:lineRule="auto"/>
              <w:rPr>
                <w:rFonts w:ascii="Times New Roman" w:eastAsia="Times New Roman" w:hAnsi="Times New Roman" w:cs="Times New Roman"/>
                <w:b/>
                <w:lang w:eastAsia="tr-TR"/>
              </w:rPr>
            </w:pPr>
            <w:r w:rsidRPr="00A0362B">
              <w:rPr>
                <w:rFonts w:ascii="Times New Roman" w:eastAsia="Times New Roman" w:hAnsi="Times New Roman" w:cs="Times New Roman"/>
                <w:b/>
                <w:lang w:eastAsia="tr-TR"/>
              </w:rPr>
              <w:t> </w:t>
            </w:r>
            <w:r w:rsidRPr="00A0362B">
              <w:rPr>
                <w:rFonts w:ascii="Times New Roman" w:eastAsia="Times New Roman" w:hAnsi="Times New Roman" w:cs="Times New Roman"/>
                <w:b/>
                <w:lang w:eastAsia="tr-TR"/>
              </w:rPr>
              <w:t>Kalp yetersizliği</w:t>
            </w: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KY'li 161 000 hastanın retrospektif eğilim eşleştirmeli analizinde,</w:t>
            </w:r>
            <w:r w:rsidRPr="00042FAC">
              <w:rPr>
                <w:rFonts w:ascii="Times New Roman" w:hAnsi="Times New Roman" w:cs="Times New Roman"/>
              </w:rPr>
              <w:t xml:space="preserve"> </w:t>
            </w:r>
            <w:r w:rsidRPr="00042FAC">
              <w:rPr>
                <w:rFonts w:ascii="Times New Roman" w:eastAsia="Times New Roman" w:hAnsi="Times New Roman" w:cs="Times New Roman"/>
                <w:lang w:eastAsia="tr-TR"/>
              </w:rPr>
              <w:t xml:space="preserve">kannabis kullanmayanlarla karşılaştırıldığında kannabis </w:t>
            </w:r>
            <w:proofErr w:type="gramStart"/>
            <w:r w:rsidRPr="00042FAC">
              <w:rPr>
                <w:rFonts w:ascii="Times New Roman" w:eastAsia="Times New Roman" w:hAnsi="Times New Roman" w:cs="Times New Roman"/>
                <w:lang w:eastAsia="tr-TR"/>
              </w:rPr>
              <w:t>kullanımı  daha</w:t>
            </w:r>
            <w:proofErr w:type="gramEnd"/>
            <w:r w:rsidRPr="00042FAC">
              <w:rPr>
                <w:rFonts w:ascii="Times New Roman" w:eastAsia="Times New Roman" w:hAnsi="Times New Roman" w:cs="Times New Roman"/>
                <w:lang w:eastAsia="tr-TR"/>
              </w:rPr>
              <w:t xml:space="preserve"> az akut KY ile hastaneye yatırılırken (OR, 0,197 [%95 CI, 0,046–0,833]), daha kısa ortalama hastanede kalış süresi </w:t>
            </w:r>
            <w:r w:rsidRPr="00042FAC">
              <w:rPr>
                <w:rFonts w:ascii="Times New Roman" w:hAnsi="Times New Roman" w:cs="Times New Roman"/>
              </w:rPr>
              <w:t xml:space="preserve"> </w:t>
            </w:r>
            <w:r w:rsidRPr="00042FAC">
              <w:rPr>
                <w:rFonts w:ascii="Times New Roman" w:eastAsia="Times New Roman" w:hAnsi="Times New Roman" w:cs="Times New Roman"/>
                <w:lang w:eastAsia="tr-TR"/>
              </w:rPr>
              <w:t>daha düşük ölüm riskiyle ( sırasıyla 4,2 - 4,8 gün; P=0,004) ve daha düşük ortalama hastane maliyetleri (sırasıyla 43,800$ - 50,900$; P=0,039) ilişkilendirildi. Ancak, bu veriler geriye dönük ve gözlemseldir ve akran incelemesinden geçmemiştir.</w:t>
            </w:r>
          </w:p>
        </w:tc>
      </w:tr>
      <w:tr w:rsidR="00BE36F0" w:rsidRPr="00AB7BF8" w:rsidTr="00D527BB">
        <w:tc>
          <w:tcPr>
            <w:tcW w:w="1867" w:type="dxa"/>
            <w:vMerge w:val="restart"/>
            <w:shd w:val="clear" w:color="auto" w:fill="E7E6E6" w:themeFill="background2"/>
            <w:vAlign w:val="center"/>
            <w:hideMark/>
          </w:tcPr>
          <w:p w:rsidR="00BE36F0" w:rsidRPr="00A0362B" w:rsidRDefault="00BE36F0" w:rsidP="00D527BB">
            <w:pPr>
              <w:spacing w:after="0" w:line="240" w:lineRule="auto"/>
              <w:rPr>
                <w:rFonts w:ascii="Times New Roman" w:eastAsia="Times New Roman" w:hAnsi="Times New Roman" w:cs="Times New Roman"/>
                <w:b/>
                <w:lang w:eastAsia="tr-TR"/>
              </w:rPr>
            </w:pPr>
            <w:r w:rsidRPr="00A0362B">
              <w:rPr>
                <w:rFonts w:ascii="Times New Roman" w:eastAsia="Times New Roman" w:hAnsi="Times New Roman" w:cs="Times New Roman"/>
                <w:b/>
                <w:lang w:eastAsia="tr-TR"/>
              </w:rPr>
              <w:t> </w:t>
            </w:r>
            <w:r w:rsidRPr="00A0362B">
              <w:rPr>
                <w:rFonts w:ascii="Times New Roman" w:eastAsia="Times New Roman" w:hAnsi="Times New Roman" w:cs="Times New Roman"/>
                <w:b/>
                <w:lang w:eastAsia="tr-TR"/>
              </w:rPr>
              <w:t>Hepatit C</w:t>
            </w: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Preklinik çalışmalar, CB1 reseptörü aktivasyonunun karaciğer hastalıklarında zararlı olduğunu (örn. steatozu, fibrozisi teşvik eder), oysa CB2 reseptörü aktivasyonunun bazı yararlı etkilere sahip gibi göründüğünü göstermektedir.</w:t>
            </w:r>
          </w:p>
        </w:tc>
      </w:tr>
      <w:tr w:rsidR="00BE36F0" w:rsidRPr="00AB7BF8" w:rsidTr="00D527BB">
        <w:tc>
          <w:tcPr>
            <w:tcW w:w="1867" w:type="dxa"/>
            <w:vMerge/>
            <w:shd w:val="clear" w:color="auto" w:fill="E7E6E6" w:themeFill="background2"/>
            <w:vAlign w:val="center"/>
            <w:hideMark/>
          </w:tcPr>
          <w:p w:rsidR="00BE36F0" w:rsidRPr="00A0362B" w:rsidRDefault="00BE36F0" w:rsidP="00D527BB">
            <w:pPr>
              <w:spacing w:after="0" w:line="240" w:lineRule="auto"/>
              <w:rPr>
                <w:rFonts w:ascii="Helvetica" w:eastAsia="Times New Roman" w:hAnsi="Helvetica" w:cs="Helvetica"/>
                <w:color w:val="000000"/>
                <w:lang w:eastAsia="tr-TR"/>
              </w:rPr>
            </w:pP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Devam eden kronik hepatit C hastalarında, günlük esrar kullanımının steatoz şiddetinin bir göstergesi olduğu gösterilmiştir</w:t>
            </w:r>
            <w:proofErr w:type="gramStart"/>
            <w:r w:rsidRPr="00042FAC">
              <w:rPr>
                <w:rFonts w:ascii="Times New Roman" w:eastAsia="Times New Roman" w:hAnsi="Times New Roman" w:cs="Times New Roman"/>
                <w:lang w:eastAsia="tr-TR"/>
              </w:rPr>
              <w:t>..</w:t>
            </w:r>
            <w:proofErr w:type="gramEnd"/>
          </w:p>
        </w:tc>
      </w:tr>
      <w:tr w:rsidR="00BE36F0" w:rsidRPr="00AB7BF8" w:rsidTr="00D527BB">
        <w:tc>
          <w:tcPr>
            <w:tcW w:w="1867" w:type="dxa"/>
            <w:vMerge/>
            <w:shd w:val="clear" w:color="auto" w:fill="E7E6E6" w:themeFill="background2"/>
            <w:vAlign w:val="center"/>
            <w:hideMark/>
          </w:tcPr>
          <w:p w:rsidR="00BE36F0" w:rsidRPr="00A0362B" w:rsidRDefault="00BE36F0" w:rsidP="00D527BB">
            <w:pPr>
              <w:spacing w:after="0" w:line="240" w:lineRule="auto"/>
              <w:rPr>
                <w:rFonts w:ascii="Helvetica" w:eastAsia="Times New Roman" w:hAnsi="Helvetica" w:cs="Helvetica"/>
                <w:color w:val="000000"/>
                <w:lang w:eastAsia="tr-TR"/>
              </w:rPr>
            </w:pP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 xml:space="preserve">Anket ve vaka raporları mide bulantısı </w:t>
            </w:r>
            <w:proofErr w:type="gramStart"/>
            <w:r w:rsidRPr="00042FAC">
              <w:rPr>
                <w:rFonts w:ascii="Times New Roman" w:eastAsia="Times New Roman" w:hAnsi="Times New Roman" w:cs="Times New Roman"/>
                <w:lang w:eastAsia="tr-TR"/>
              </w:rPr>
              <w:t>semptomlarında</w:t>
            </w:r>
            <w:proofErr w:type="gramEnd"/>
            <w:r w:rsidRPr="00042FAC">
              <w:rPr>
                <w:rFonts w:ascii="Times New Roman" w:eastAsia="Times New Roman" w:hAnsi="Times New Roman" w:cs="Times New Roman"/>
                <w:lang w:eastAsia="tr-TR"/>
              </w:rPr>
              <w:t xml:space="preserve"> düzelme ve kilo kaybında azalma olduğunu göstermektedir.</w:t>
            </w:r>
          </w:p>
        </w:tc>
      </w:tr>
      <w:tr w:rsidR="00BE36F0" w:rsidRPr="00AB7BF8" w:rsidTr="00D527BB">
        <w:tc>
          <w:tcPr>
            <w:tcW w:w="1867" w:type="dxa"/>
            <w:shd w:val="clear" w:color="auto" w:fill="E7E6E6" w:themeFill="background2"/>
            <w:vAlign w:val="center"/>
            <w:hideMark/>
          </w:tcPr>
          <w:p w:rsidR="00BE36F0" w:rsidRPr="00A0362B" w:rsidRDefault="00BE36F0" w:rsidP="00D527BB">
            <w:pPr>
              <w:spacing w:after="0" w:line="240" w:lineRule="auto"/>
              <w:rPr>
                <w:rFonts w:ascii="Times New Roman" w:eastAsia="Times New Roman" w:hAnsi="Times New Roman" w:cs="Times New Roman"/>
                <w:b/>
                <w:lang w:eastAsia="tr-TR"/>
              </w:rPr>
            </w:pPr>
            <w:r w:rsidRPr="00A0362B">
              <w:rPr>
                <w:rFonts w:ascii="Times New Roman" w:eastAsia="Times New Roman" w:hAnsi="Times New Roman" w:cs="Times New Roman"/>
                <w:b/>
                <w:lang w:eastAsia="tr-TR"/>
              </w:rPr>
              <w:t> </w:t>
            </w:r>
            <w:r w:rsidRPr="00A0362B">
              <w:rPr>
                <w:rFonts w:ascii="Times New Roman" w:eastAsia="Times New Roman" w:hAnsi="Times New Roman" w:cs="Times New Roman"/>
                <w:b/>
                <w:lang w:eastAsia="tr-TR"/>
              </w:rPr>
              <w:t xml:space="preserve">İskemi/ reperfüzyon hasarı </w:t>
            </w: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linik öncesi çalışmalar, CBD, THCV ve çok düşük dozlarda THC'nin, CB2 reseptörünün aracılık ettiği anti-enflamatuar özelliklerle ilgili iskemi/reperfüzyon hasarına karşı bazı koruyucu etkileri olabileceğini düşündürmektedir.</w:t>
            </w:r>
          </w:p>
        </w:tc>
      </w:tr>
      <w:tr w:rsidR="00BE36F0" w:rsidRPr="00AB7BF8" w:rsidTr="00D527BB">
        <w:tc>
          <w:tcPr>
            <w:tcW w:w="1867" w:type="dxa"/>
            <w:vMerge w:val="restart"/>
            <w:shd w:val="clear" w:color="auto" w:fill="E7E6E6" w:themeFill="background2"/>
            <w:vAlign w:val="center"/>
            <w:hideMark/>
          </w:tcPr>
          <w:p w:rsidR="00BE36F0" w:rsidRPr="00A0362B" w:rsidRDefault="00BE36F0" w:rsidP="00D527BB">
            <w:pPr>
              <w:spacing w:after="0" w:line="240" w:lineRule="auto"/>
              <w:rPr>
                <w:rFonts w:ascii="Times New Roman" w:eastAsia="Times New Roman" w:hAnsi="Times New Roman" w:cs="Times New Roman"/>
                <w:b/>
                <w:lang w:eastAsia="tr-TR"/>
              </w:rPr>
            </w:pPr>
            <w:r w:rsidRPr="00A0362B">
              <w:rPr>
                <w:rFonts w:ascii="Times New Roman" w:eastAsia="Times New Roman" w:hAnsi="Times New Roman" w:cs="Times New Roman"/>
                <w:b/>
                <w:lang w:eastAsia="tr-TR"/>
              </w:rPr>
              <w:t> </w:t>
            </w:r>
            <w:r w:rsidRPr="00A0362B">
              <w:rPr>
                <w:rFonts w:ascii="Times New Roman" w:eastAsia="Times New Roman" w:hAnsi="Times New Roman" w:cs="Times New Roman"/>
                <w:b/>
                <w:lang w:eastAsia="tr-TR"/>
              </w:rPr>
              <w:t>Huntington hastalığı</w:t>
            </w: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Preklinik çalışmalar, Huntington hastalığı benzeri semptomlar üzerinde THC ile karışık sonuçlar bildirmektedir</w:t>
            </w:r>
            <w:proofErr w:type="gramStart"/>
            <w:r w:rsidRPr="00042FAC">
              <w:rPr>
                <w:rFonts w:ascii="Times New Roman" w:eastAsia="Times New Roman" w:hAnsi="Times New Roman" w:cs="Times New Roman"/>
                <w:lang w:eastAsia="tr-TR"/>
              </w:rPr>
              <w:t>..</w:t>
            </w:r>
            <w:proofErr w:type="gramEnd"/>
          </w:p>
        </w:tc>
      </w:tr>
      <w:tr w:rsidR="00BE36F0" w:rsidRPr="00AB7BF8" w:rsidTr="00D527BB">
        <w:tc>
          <w:tcPr>
            <w:tcW w:w="1867" w:type="dxa"/>
            <w:vMerge/>
            <w:shd w:val="clear" w:color="auto" w:fill="E7E6E6" w:themeFill="background2"/>
            <w:vAlign w:val="center"/>
            <w:hideMark/>
          </w:tcPr>
          <w:p w:rsidR="00BE36F0" w:rsidRPr="00A0362B" w:rsidRDefault="00BE36F0" w:rsidP="00D527BB">
            <w:pPr>
              <w:spacing w:after="0" w:line="240" w:lineRule="auto"/>
              <w:rPr>
                <w:rFonts w:ascii="Times New Roman" w:eastAsia="Times New Roman" w:hAnsi="Times New Roman" w:cs="Times New Roman"/>
                <w:b/>
                <w:lang w:eastAsia="tr-TR"/>
              </w:rPr>
            </w:pP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 xml:space="preserve">Vaka incelemelerinden ve küçük klinik çalışmalardan elde edilen sınırlı kanıtlar karışıktır ve CBD'nin etkisinin olmadığını ve kannabis </w:t>
            </w:r>
            <w:proofErr w:type="gramStart"/>
            <w:r w:rsidRPr="00042FAC">
              <w:rPr>
                <w:rFonts w:ascii="Times New Roman" w:eastAsia="Times New Roman" w:hAnsi="Times New Roman" w:cs="Times New Roman"/>
                <w:lang w:eastAsia="tr-TR"/>
              </w:rPr>
              <w:t>tüttürme  ile</w:t>
            </w:r>
            <w:proofErr w:type="gramEnd"/>
            <w:r w:rsidRPr="00042FAC">
              <w:rPr>
                <w:rFonts w:ascii="Times New Roman" w:eastAsia="Times New Roman" w:hAnsi="Times New Roman" w:cs="Times New Roman"/>
                <w:lang w:eastAsia="tr-TR"/>
              </w:rPr>
              <w:t xml:space="preserve"> Huntington hastalığı semptomlarında sınırlı bir düzelme  olduğunu öne sürer.</w:t>
            </w:r>
          </w:p>
        </w:tc>
      </w:tr>
      <w:tr w:rsidR="00BE36F0" w:rsidRPr="00AB7BF8" w:rsidTr="00D527BB">
        <w:tc>
          <w:tcPr>
            <w:tcW w:w="1867" w:type="dxa"/>
            <w:vMerge w:val="restart"/>
            <w:shd w:val="clear" w:color="auto" w:fill="E7E6E6" w:themeFill="background2"/>
            <w:vAlign w:val="center"/>
            <w:hideMark/>
          </w:tcPr>
          <w:p w:rsidR="00BE36F0" w:rsidRPr="00A0362B" w:rsidRDefault="00BE36F0" w:rsidP="00D527BB">
            <w:pPr>
              <w:spacing w:after="0" w:line="240" w:lineRule="auto"/>
              <w:rPr>
                <w:rFonts w:ascii="Times New Roman" w:eastAsia="Times New Roman" w:hAnsi="Times New Roman" w:cs="Times New Roman"/>
                <w:b/>
                <w:lang w:eastAsia="tr-TR"/>
              </w:rPr>
            </w:pPr>
            <w:r w:rsidRPr="00A0362B">
              <w:rPr>
                <w:rFonts w:ascii="Times New Roman" w:eastAsia="Times New Roman" w:hAnsi="Times New Roman" w:cs="Times New Roman"/>
                <w:b/>
                <w:lang w:eastAsia="tr-TR"/>
              </w:rPr>
              <w:t> </w:t>
            </w:r>
            <w:r w:rsidRPr="00A0362B">
              <w:rPr>
                <w:rFonts w:ascii="Times New Roman" w:hAnsi="Times New Roman" w:cs="Times New Roman"/>
                <w:b/>
              </w:rPr>
              <w:t xml:space="preserve"> </w:t>
            </w:r>
            <w:r w:rsidRPr="00A0362B">
              <w:rPr>
                <w:rFonts w:ascii="Times New Roman" w:eastAsia="Times New Roman" w:hAnsi="Times New Roman" w:cs="Times New Roman"/>
                <w:b/>
                <w:lang w:eastAsia="tr-TR"/>
              </w:rPr>
              <w:t xml:space="preserve">Metabolik </w:t>
            </w:r>
            <w:proofErr w:type="gramStart"/>
            <w:r w:rsidRPr="00A0362B">
              <w:rPr>
                <w:rFonts w:ascii="Times New Roman" w:eastAsia="Times New Roman" w:hAnsi="Times New Roman" w:cs="Times New Roman"/>
                <w:b/>
                <w:lang w:eastAsia="tr-TR"/>
              </w:rPr>
              <w:t>sendrom</w:t>
            </w:r>
            <w:proofErr w:type="gramEnd"/>
            <w:r w:rsidRPr="00A0362B">
              <w:rPr>
                <w:rFonts w:ascii="Times New Roman" w:eastAsia="Times New Roman" w:hAnsi="Times New Roman" w:cs="Times New Roman"/>
                <w:b/>
                <w:lang w:eastAsia="tr-TR"/>
              </w:rPr>
              <w:t>, obezite, diabetes mellitus</w:t>
            </w: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Klinik öncesi çalışmalar, akut CB1 reseptörü aktivasyonunun yağ sentezi ve depolamasında artışa neden olduğunu, kronik CB1 reseptörü aktivasyonunun (veya CB1 reseptörü antagonizması) ise kilo kaybı ve çeşitli metabolik göstergelerde iyileşme ile sonuçlandığını göstermektedir</w:t>
            </w:r>
            <w:proofErr w:type="gramStart"/>
            <w:r w:rsidRPr="00042FAC">
              <w:rPr>
                <w:rFonts w:ascii="Times New Roman" w:eastAsia="Times New Roman" w:hAnsi="Times New Roman" w:cs="Times New Roman"/>
                <w:lang w:eastAsia="tr-TR"/>
              </w:rPr>
              <w:t>..</w:t>
            </w:r>
            <w:proofErr w:type="gramEnd"/>
          </w:p>
        </w:tc>
      </w:tr>
      <w:tr w:rsidR="00BE36F0" w:rsidRPr="00AB7BF8" w:rsidTr="00D527BB">
        <w:tc>
          <w:tcPr>
            <w:tcW w:w="1867" w:type="dxa"/>
            <w:vMerge/>
            <w:shd w:val="clear" w:color="auto" w:fill="E7E6E6" w:themeFill="background2"/>
            <w:vAlign w:val="center"/>
            <w:hideMark/>
          </w:tcPr>
          <w:p w:rsidR="00BE36F0" w:rsidRPr="00A0362B" w:rsidRDefault="00BE36F0" w:rsidP="00D527BB">
            <w:pPr>
              <w:spacing w:after="0" w:line="240" w:lineRule="auto"/>
              <w:rPr>
                <w:rFonts w:ascii="Times New Roman" w:eastAsia="Times New Roman" w:hAnsi="Times New Roman" w:cs="Times New Roman"/>
                <w:b/>
                <w:lang w:eastAsia="tr-TR"/>
              </w:rPr>
            </w:pP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 xml:space="preserve">Gözlemsel çalışmalar, uzun süreli esrar kullanımı ile düzelmiş bir metabolik </w:t>
            </w:r>
            <w:proofErr w:type="gramStart"/>
            <w:r w:rsidRPr="00042FAC">
              <w:rPr>
                <w:rFonts w:ascii="Times New Roman" w:eastAsia="Times New Roman" w:hAnsi="Times New Roman" w:cs="Times New Roman"/>
                <w:lang w:eastAsia="tr-TR"/>
              </w:rPr>
              <w:t>profil</w:t>
            </w:r>
            <w:proofErr w:type="gramEnd"/>
            <w:r w:rsidRPr="00042FAC">
              <w:rPr>
                <w:rFonts w:ascii="Times New Roman" w:eastAsia="Times New Roman" w:hAnsi="Times New Roman" w:cs="Times New Roman"/>
                <w:lang w:eastAsia="tr-TR"/>
              </w:rPr>
              <w:t xml:space="preserve"> arasında bir ilişki olduğunu öne sürüyor ve preklinik ve çok sınırlı klinik kanıtlar, THCV'nin glisemik kontrol (tip 2 diabetes mellituslu hastalarda) üzerindeki potansiyel yararlı etkisine işaret ediyor.</w:t>
            </w:r>
          </w:p>
        </w:tc>
      </w:tr>
      <w:tr w:rsidR="00BE36F0" w:rsidRPr="00AB7BF8" w:rsidTr="00D527BB">
        <w:tc>
          <w:tcPr>
            <w:tcW w:w="1867" w:type="dxa"/>
            <w:vMerge w:val="restart"/>
            <w:shd w:val="clear" w:color="auto" w:fill="E7E6E6" w:themeFill="background2"/>
            <w:vAlign w:val="center"/>
            <w:hideMark/>
          </w:tcPr>
          <w:p w:rsidR="00BE36F0" w:rsidRPr="00A0362B" w:rsidRDefault="00BE36F0" w:rsidP="00D527BB">
            <w:pPr>
              <w:spacing w:after="0" w:line="240" w:lineRule="auto"/>
              <w:rPr>
                <w:rFonts w:ascii="Times New Roman" w:eastAsia="Times New Roman" w:hAnsi="Times New Roman" w:cs="Times New Roman"/>
                <w:b/>
                <w:lang w:eastAsia="tr-TR"/>
              </w:rPr>
            </w:pPr>
            <w:r w:rsidRPr="00A0362B">
              <w:rPr>
                <w:rFonts w:ascii="Times New Roman" w:eastAsia="Times New Roman" w:hAnsi="Times New Roman" w:cs="Times New Roman"/>
                <w:b/>
                <w:lang w:eastAsia="tr-TR"/>
              </w:rPr>
              <w:t> </w:t>
            </w:r>
            <w:r w:rsidRPr="00A0362B">
              <w:rPr>
                <w:rFonts w:ascii="Times New Roman" w:eastAsia="Times New Roman" w:hAnsi="Times New Roman" w:cs="Times New Roman"/>
                <w:b/>
                <w:lang w:eastAsia="tr-TR"/>
              </w:rPr>
              <w:t>Parkinson hastalığı</w:t>
            </w: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 xml:space="preserve">Parkinson hastalığının </w:t>
            </w:r>
            <w:proofErr w:type="gramStart"/>
            <w:r w:rsidRPr="00042FAC">
              <w:rPr>
                <w:rFonts w:ascii="Times New Roman" w:eastAsia="Times New Roman" w:hAnsi="Times New Roman" w:cs="Times New Roman"/>
                <w:lang w:eastAsia="tr-TR"/>
              </w:rPr>
              <w:t>semptomları</w:t>
            </w:r>
            <w:proofErr w:type="gramEnd"/>
            <w:r w:rsidRPr="00042FAC">
              <w:rPr>
                <w:rFonts w:ascii="Times New Roman" w:eastAsia="Times New Roman" w:hAnsi="Times New Roman" w:cs="Times New Roman"/>
                <w:lang w:eastAsia="tr-TR"/>
              </w:rPr>
              <w:t xml:space="preserve"> için belirli kannabinoidlerin sınırlı preklinik, vaka, klinik ve gözlemsel çalışmaları karışıktır.</w:t>
            </w:r>
          </w:p>
        </w:tc>
      </w:tr>
      <w:tr w:rsidR="00BE36F0" w:rsidRPr="00AB7BF8" w:rsidTr="00D527BB">
        <w:tc>
          <w:tcPr>
            <w:tcW w:w="1867" w:type="dxa"/>
            <w:vMerge/>
            <w:shd w:val="clear" w:color="auto" w:fill="E7E6E6" w:themeFill="background2"/>
            <w:vAlign w:val="center"/>
            <w:hideMark/>
          </w:tcPr>
          <w:p w:rsidR="00BE36F0" w:rsidRPr="00A0362B" w:rsidRDefault="00BE36F0" w:rsidP="00D527BB">
            <w:pPr>
              <w:spacing w:after="0" w:line="240" w:lineRule="auto"/>
              <w:rPr>
                <w:rFonts w:ascii="Times New Roman" w:eastAsia="Times New Roman" w:hAnsi="Times New Roman" w:cs="Times New Roman"/>
                <w:b/>
                <w:lang w:eastAsia="tr-TR"/>
              </w:rPr>
            </w:pP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 xml:space="preserve">Bir gözlemsel çalışma, tütsülenmiş esrarla semptomlarda </w:t>
            </w:r>
            <w:proofErr w:type="gramStart"/>
            <w:r w:rsidRPr="00042FAC">
              <w:rPr>
                <w:rFonts w:ascii="Times New Roman" w:eastAsia="Times New Roman" w:hAnsi="Times New Roman" w:cs="Times New Roman"/>
                <w:lang w:eastAsia="tr-TR"/>
              </w:rPr>
              <w:t>düzelme  olduğunu</w:t>
            </w:r>
            <w:proofErr w:type="gramEnd"/>
            <w:r w:rsidRPr="00042FAC">
              <w:rPr>
                <w:rFonts w:ascii="Times New Roman" w:eastAsia="Times New Roman" w:hAnsi="Times New Roman" w:cs="Times New Roman"/>
                <w:lang w:eastAsia="tr-TR"/>
              </w:rPr>
              <w:t xml:space="preserve"> öne sürüyor; Oral kenevir özü (THC/CBD) ile ilgili başka bir klinik çalışma ve bir CBD klinik çalışması semptomlarda herhangi bir düzelme  olmadığını göstermektedir.</w:t>
            </w:r>
          </w:p>
        </w:tc>
      </w:tr>
      <w:tr w:rsidR="00BE36F0" w:rsidRPr="00AB7BF8" w:rsidTr="00D527BB">
        <w:tc>
          <w:tcPr>
            <w:tcW w:w="1867" w:type="dxa"/>
            <w:vMerge w:val="restart"/>
            <w:shd w:val="clear" w:color="auto" w:fill="E7E6E6" w:themeFill="background2"/>
            <w:vAlign w:val="center"/>
            <w:hideMark/>
          </w:tcPr>
          <w:p w:rsidR="00BE36F0" w:rsidRPr="00A0362B" w:rsidRDefault="00BE36F0" w:rsidP="00D527BB">
            <w:pPr>
              <w:spacing w:after="0" w:line="240" w:lineRule="auto"/>
              <w:rPr>
                <w:rFonts w:ascii="Times New Roman" w:eastAsia="Times New Roman" w:hAnsi="Times New Roman" w:cs="Times New Roman"/>
                <w:b/>
                <w:lang w:eastAsia="tr-TR"/>
              </w:rPr>
            </w:pPr>
            <w:r w:rsidRPr="00A0362B">
              <w:rPr>
                <w:rFonts w:ascii="Times New Roman" w:eastAsia="Times New Roman" w:hAnsi="Times New Roman" w:cs="Times New Roman"/>
                <w:b/>
                <w:lang w:eastAsia="tr-TR"/>
              </w:rPr>
              <w:t> </w:t>
            </w:r>
            <w:r w:rsidRPr="00A0362B">
              <w:rPr>
                <w:rFonts w:ascii="Times New Roman" w:eastAsia="Times New Roman" w:hAnsi="Times New Roman" w:cs="Times New Roman"/>
                <w:b/>
                <w:lang w:eastAsia="tr-TR"/>
              </w:rPr>
              <w:t>Uyku</w:t>
            </w: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İnsan deneysel verileri, esrar ve THC'nin uyku üzerinde doza bağımlı bir etkiye sahip olduğunu göstermektedir: Düşük dozların uykuya başlama gecikmesini azalttığı ve yavaş dalga uykusunu ve toplam uyku süresini artırdığı, oysa yüksek dozların uyku bozukluklarına neden olduğu görülmektedir.</w:t>
            </w:r>
          </w:p>
        </w:tc>
      </w:tr>
      <w:tr w:rsidR="00BE36F0" w:rsidRPr="00AB7BF8" w:rsidTr="00D527BB">
        <w:tc>
          <w:tcPr>
            <w:tcW w:w="1867" w:type="dxa"/>
            <w:vMerge/>
            <w:shd w:val="clear" w:color="auto" w:fill="E7E6E6" w:themeFill="background2"/>
            <w:vAlign w:val="center"/>
            <w:hideMark/>
          </w:tcPr>
          <w:p w:rsidR="00BE36F0" w:rsidRPr="00AB7BF8" w:rsidRDefault="00BE36F0" w:rsidP="00D527BB">
            <w:pPr>
              <w:spacing w:after="0" w:line="240" w:lineRule="auto"/>
              <w:rPr>
                <w:rFonts w:ascii="Helvetica" w:eastAsia="Times New Roman" w:hAnsi="Helvetica" w:cs="Helvetica"/>
                <w:color w:val="000000"/>
                <w:sz w:val="18"/>
                <w:szCs w:val="18"/>
                <w:lang w:eastAsia="tr-TR"/>
              </w:rPr>
            </w:pPr>
          </w:p>
        </w:tc>
        <w:tc>
          <w:tcPr>
            <w:tcW w:w="8198" w:type="dxa"/>
            <w:vAlign w:val="center"/>
            <w:hideMark/>
          </w:tcPr>
          <w:p w:rsidR="00BE36F0" w:rsidRPr="00042FAC" w:rsidRDefault="00BE36F0" w:rsidP="00D527BB">
            <w:pPr>
              <w:spacing w:after="0" w:line="240" w:lineRule="auto"/>
              <w:rPr>
                <w:rFonts w:ascii="Times New Roman" w:eastAsia="Times New Roman" w:hAnsi="Times New Roman" w:cs="Times New Roman"/>
                <w:lang w:eastAsia="tr-TR"/>
              </w:rPr>
            </w:pPr>
            <w:r w:rsidRPr="00042FAC">
              <w:rPr>
                <w:rFonts w:ascii="Times New Roman" w:eastAsia="Times New Roman" w:hAnsi="Times New Roman" w:cs="Times New Roman"/>
                <w:lang w:eastAsia="tr-TR"/>
              </w:rPr>
              <w:t>Klinik araştırmalar, esrar, nabilon ve dronabinolün, belirli kronik hastalık durumlarıyla ilişkili uyku bozuklukları olan hastalarda uykuyu düzeltebileceğini düşündürmektedir.</w:t>
            </w:r>
          </w:p>
        </w:tc>
      </w:tr>
    </w:tbl>
    <w:p w:rsidR="00BF6F7E" w:rsidRDefault="00BF6F7E" w:rsidP="00BE36F0">
      <w:pPr>
        <w:shd w:val="clear" w:color="auto" w:fill="F2F2F2" w:themeFill="background1" w:themeFillShade="F2"/>
        <w:spacing w:after="100" w:afterAutospacing="1" w:line="240" w:lineRule="auto"/>
        <w:rPr>
          <w:rFonts w:ascii="Times New Roman" w:eastAsia="Times New Roman" w:hAnsi="Times New Roman" w:cs="Times New Roman"/>
          <w:b/>
          <w:i/>
          <w:sz w:val="20"/>
          <w:szCs w:val="20"/>
          <w:lang w:eastAsia="tr-TR"/>
        </w:rPr>
      </w:pPr>
    </w:p>
    <w:p w:rsidR="00BE36F0" w:rsidRPr="00BE36F0" w:rsidRDefault="00BE36F0" w:rsidP="00BE36F0">
      <w:pPr>
        <w:shd w:val="clear" w:color="auto" w:fill="F2F2F2" w:themeFill="background1" w:themeFillShade="F2"/>
        <w:spacing w:after="100" w:afterAutospacing="1" w:line="240" w:lineRule="auto"/>
        <w:rPr>
          <w:rFonts w:ascii="Times New Roman" w:eastAsia="Times New Roman" w:hAnsi="Times New Roman" w:cs="Times New Roman"/>
          <w:sz w:val="20"/>
          <w:szCs w:val="20"/>
          <w:lang w:eastAsia="tr-TR"/>
        </w:rPr>
      </w:pPr>
      <w:r w:rsidRPr="00BE36F0">
        <w:rPr>
          <w:rFonts w:ascii="Times New Roman" w:eastAsia="Times New Roman" w:hAnsi="Times New Roman" w:cs="Times New Roman"/>
          <w:b/>
          <w:i/>
          <w:sz w:val="20"/>
          <w:szCs w:val="20"/>
          <w:lang w:eastAsia="tr-TR"/>
        </w:rPr>
        <w:t>Kısaltmalar:</w:t>
      </w:r>
      <w:r w:rsidRPr="00BE36F0">
        <w:rPr>
          <w:rFonts w:ascii="Times New Roman" w:eastAsia="Times New Roman" w:hAnsi="Times New Roman" w:cs="Times New Roman"/>
          <w:sz w:val="20"/>
          <w:szCs w:val="20"/>
          <w:lang w:eastAsia="tr-TR"/>
        </w:rPr>
        <w:t xml:space="preserve"> CB- Kannabinoid; CB</w:t>
      </w:r>
      <w:r w:rsidRPr="00BE36F0">
        <w:rPr>
          <w:rFonts w:ascii="Times New Roman" w:eastAsia="Times New Roman" w:hAnsi="Times New Roman" w:cs="Times New Roman"/>
          <w:sz w:val="20"/>
          <w:szCs w:val="20"/>
          <w:vertAlign w:val="subscript"/>
          <w:lang w:eastAsia="tr-TR"/>
        </w:rPr>
        <w:t>1</w:t>
      </w:r>
      <w:r w:rsidRPr="00BE36F0">
        <w:rPr>
          <w:rFonts w:ascii="Times New Roman" w:eastAsia="Times New Roman" w:hAnsi="Times New Roman" w:cs="Times New Roman"/>
          <w:sz w:val="20"/>
          <w:szCs w:val="20"/>
          <w:lang w:eastAsia="tr-TR"/>
        </w:rPr>
        <w:t>- Cannabinoid reseptör subtip 1; CB</w:t>
      </w:r>
      <w:r w:rsidRPr="00BE36F0">
        <w:rPr>
          <w:rFonts w:ascii="Times New Roman" w:eastAsia="Times New Roman" w:hAnsi="Times New Roman" w:cs="Times New Roman"/>
          <w:sz w:val="20"/>
          <w:szCs w:val="20"/>
          <w:vertAlign w:val="subscript"/>
          <w:lang w:eastAsia="tr-TR"/>
        </w:rPr>
        <w:t>2</w:t>
      </w:r>
      <w:r w:rsidRPr="00BE36F0">
        <w:rPr>
          <w:rFonts w:ascii="Times New Roman" w:eastAsia="Times New Roman" w:hAnsi="Times New Roman" w:cs="Times New Roman"/>
          <w:sz w:val="20"/>
          <w:szCs w:val="20"/>
          <w:lang w:eastAsia="tr-TR"/>
        </w:rPr>
        <w:t>-  Cannabinoid reseptör subtip 2; CBC- Cannabichromene; CBD- Cannabidiol; CBG- Cannabigerol; OR- Odds Ratio; RKÇ-  randomize kontrollü çalışma; THC, Δ-9-</w:t>
      </w:r>
      <w:proofErr w:type="gramStart"/>
      <w:r w:rsidRPr="00BE36F0">
        <w:rPr>
          <w:rFonts w:ascii="Times New Roman" w:eastAsia="Times New Roman" w:hAnsi="Times New Roman" w:cs="Times New Roman"/>
          <w:sz w:val="20"/>
          <w:szCs w:val="20"/>
          <w:lang w:eastAsia="tr-TR"/>
        </w:rPr>
        <w:t>tetrahydrocannabinol;</w:t>
      </w:r>
      <w:proofErr w:type="gramEnd"/>
      <w:r w:rsidRPr="00BE36F0">
        <w:rPr>
          <w:rFonts w:ascii="Times New Roman" w:eastAsia="Times New Roman" w:hAnsi="Times New Roman" w:cs="Times New Roman"/>
          <w:sz w:val="20"/>
          <w:szCs w:val="20"/>
          <w:lang w:eastAsia="tr-TR"/>
        </w:rPr>
        <w:t xml:space="preserve"> ve THCV- Tetrahydrocannabivarin.</w:t>
      </w:r>
    </w:p>
    <w:p w:rsidR="00BE36F0" w:rsidRPr="0057510A" w:rsidRDefault="00BE36F0" w:rsidP="00CA2AD4">
      <w:pPr>
        <w:pStyle w:val="NormalWeb"/>
        <w:shd w:val="clear" w:color="auto" w:fill="FFFFFF"/>
      </w:pPr>
    </w:p>
    <w:p w:rsidR="00BF6F7E" w:rsidRPr="00485C7E" w:rsidRDefault="00BE36F0" w:rsidP="000C56F9">
      <w:pPr>
        <w:pStyle w:val="NormalWeb"/>
        <w:shd w:val="clear" w:color="auto" w:fill="FFFFFF"/>
        <w:rPr>
          <w:b/>
          <w:color w:val="C00000"/>
          <w:sz w:val="32"/>
          <w:szCs w:val="32"/>
        </w:rPr>
      </w:pPr>
      <w:r>
        <w:rPr>
          <w:b/>
          <w:color w:val="C00000"/>
          <w:sz w:val="32"/>
          <w:szCs w:val="32"/>
        </w:rPr>
        <w:t>POTANSİYEL VE BİLİNEN FAYDALARI</w:t>
      </w:r>
    </w:p>
    <w:p w:rsidR="00ED7842" w:rsidRPr="00ED7842" w:rsidRDefault="00ED7842" w:rsidP="000C56F9">
      <w:pPr>
        <w:pStyle w:val="NormalWeb"/>
        <w:shd w:val="clear" w:color="auto" w:fill="FFFFFF"/>
      </w:pPr>
      <w:r w:rsidRPr="00ED7842">
        <w:rPr>
          <w:b/>
          <w:i/>
          <w:color w:val="C00000"/>
          <w:u w:val="single"/>
        </w:rPr>
        <w:t>Tablo 2</w:t>
      </w:r>
      <w:r w:rsidRPr="00ED7842">
        <w:t>, ağrı, kaşeksi, mide bulantısı/</w:t>
      </w:r>
      <w:r>
        <w:t xml:space="preserve"> </w:t>
      </w:r>
      <w:r w:rsidRPr="00ED7842">
        <w:t>kusma ve spastisite süreçlerinin modülasyonunu içeren esrar kullanımının potansiyel ve bilinen etkilerini özetlemektedir. Esrarın iyi belgelenmiş kardiyovasküler faydaları yoktur.</w:t>
      </w:r>
    </w:p>
    <w:p w:rsidR="00ED7842" w:rsidRPr="008D0211" w:rsidRDefault="00BE36F0" w:rsidP="000C56F9">
      <w:pPr>
        <w:pStyle w:val="NormalWeb"/>
        <w:shd w:val="clear" w:color="auto" w:fill="FFFFFF"/>
        <w:rPr>
          <w:b/>
          <w:color w:val="C00000"/>
          <w:sz w:val="36"/>
          <w:szCs w:val="36"/>
        </w:rPr>
      </w:pPr>
      <w:r>
        <w:rPr>
          <w:b/>
          <w:color w:val="C00000"/>
          <w:sz w:val="36"/>
          <w:szCs w:val="36"/>
        </w:rPr>
        <w:t>GÜVENLİK VE DÜŞÜNCELER</w:t>
      </w:r>
    </w:p>
    <w:p w:rsidR="001B17E2" w:rsidRPr="00485C7E" w:rsidRDefault="001B17E2" w:rsidP="000C56F9">
      <w:pPr>
        <w:pStyle w:val="NormalWeb"/>
        <w:shd w:val="clear" w:color="auto" w:fill="FFFFFF"/>
        <w:rPr>
          <w:i/>
          <w:color w:val="C00000"/>
          <w:sz w:val="32"/>
          <w:szCs w:val="32"/>
        </w:rPr>
      </w:pPr>
      <w:r w:rsidRPr="00485C7E">
        <w:rPr>
          <w:i/>
          <w:color w:val="C00000"/>
          <w:sz w:val="32"/>
          <w:szCs w:val="32"/>
        </w:rPr>
        <w:t>Akut etkiler</w:t>
      </w:r>
    </w:p>
    <w:p w:rsidR="00A31DF6" w:rsidRDefault="0072708F" w:rsidP="000C56F9">
      <w:pPr>
        <w:pStyle w:val="NormalWeb"/>
        <w:shd w:val="clear" w:color="auto" w:fill="FFFFFF"/>
      </w:pPr>
      <w:r w:rsidRPr="0072708F">
        <w:t>Kısa vadede, esra</w:t>
      </w:r>
      <w:r>
        <w:t xml:space="preserve">r tüketimi öforinin yanı sıra kardiyovasküler (KV) </w:t>
      </w:r>
      <w:r w:rsidRPr="0072708F">
        <w:t xml:space="preserve"> </w:t>
      </w:r>
      <w:proofErr w:type="gramStart"/>
      <w:r w:rsidRPr="0072708F">
        <w:t>(</w:t>
      </w:r>
      <w:proofErr w:type="gramEnd"/>
      <w:r w:rsidRPr="0072708F">
        <w:t xml:space="preserve">ör. </w:t>
      </w:r>
      <w:proofErr w:type="gramStart"/>
      <w:r w:rsidRPr="0072708F">
        <w:t>taşikardi</w:t>
      </w:r>
      <w:proofErr w:type="gramEnd"/>
      <w:r w:rsidRPr="0072708F">
        <w:t xml:space="preserve">, erken ventriküler </w:t>
      </w:r>
      <w:r>
        <w:t>vurular</w:t>
      </w:r>
      <w:r w:rsidRPr="0072708F">
        <w:t xml:space="preserve">, </w:t>
      </w:r>
      <w:r>
        <w:t>atriyal fibrilasyon</w:t>
      </w:r>
      <w:r w:rsidRPr="0072708F">
        <w:t xml:space="preserve"> ve ventriküler aritmi), bronkopulmoner (bronşit), oküler (bulanık görme), psikolojik (karar bozukluğu, di</w:t>
      </w:r>
      <w:r>
        <w:t>sfori) ile ilişkilendirilmiştir</w:t>
      </w:r>
      <w:r w:rsidRPr="0072708F">
        <w:t xml:space="preserve"> ve anksiyete; yüksek dozlarda paranoya ve psikoz) ve psikomotor (zayıf motor koordinasyon) etkiler</w:t>
      </w:r>
      <w:r w:rsidR="00A31DF6">
        <w:t>i.</w:t>
      </w:r>
    </w:p>
    <w:p w:rsidR="00ED7842" w:rsidRDefault="0072708F" w:rsidP="00F95FEF">
      <w:pPr>
        <w:pStyle w:val="NormalWeb"/>
        <w:numPr>
          <w:ilvl w:val="0"/>
          <w:numId w:val="2"/>
        </w:numPr>
        <w:pBdr>
          <w:bottom w:val="single" w:sz="4" w:space="1" w:color="auto"/>
        </w:pBdr>
        <w:shd w:val="clear" w:color="auto" w:fill="FFFFFF"/>
      </w:pPr>
      <w:r w:rsidRPr="0072708F">
        <w:t xml:space="preserve"> </w:t>
      </w:r>
      <w:r w:rsidR="00C9023B">
        <w:t>A</w:t>
      </w:r>
      <w:r w:rsidRPr="0072708F">
        <w:t>rtan sistemik absorpsiyon</w:t>
      </w:r>
      <w:r w:rsidR="00A31DF6">
        <w:t xml:space="preserve">u ile </w:t>
      </w:r>
      <w:r w:rsidR="00C9023B">
        <w:t>y</w:t>
      </w:r>
      <w:r w:rsidR="00C9023B" w:rsidRPr="00C9023B">
        <w:t>enilebilir esrar tüketimin</w:t>
      </w:r>
      <w:r w:rsidR="00C9023B">
        <w:t>in</w:t>
      </w:r>
      <w:r w:rsidR="00A31DF6">
        <w:t xml:space="preserve"> daha yavaş başlangıç süresi ve zirve etkileri </w:t>
      </w:r>
      <w:proofErr w:type="gramStart"/>
      <w:r w:rsidR="00A31DF6">
        <w:t xml:space="preserve">olan  </w:t>
      </w:r>
      <w:r w:rsidRPr="0072708F">
        <w:t xml:space="preserve"> tütsülenmiş</w:t>
      </w:r>
      <w:proofErr w:type="gramEnd"/>
      <w:r w:rsidR="00A31DF6">
        <w:t xml:space="preserve"> esrarla karşılaştırıldığında  </w:t>
      </w:r>
      <w:r w:rsidRPr="0072708F">
        <w:t xml:space="preserve"> akut tıbbi bakımı gerektiren, özellik</w:t>
      </w:r>
      <w:r w:rsidR="00A31DF6">
        <w:t xml:space="preserve">le psikiyatrik ve KV </w:t>
      </w:r>
      <w:r w:rsidRPr="0072708F">
        <w:t xml:space="preserve"> olumsuz etkilere neden olma olasılığı daha yüksektir.</w:t>
      </w:r>
    </w:p>
    <w:p w:rsidR="00F95FEF" w:rsidRPr="00F95FEF" w:rsidRDefault="00F95FEF" w:rsidP="00F95FEF">
      <w:pPr>
        <w:pStyle w:val="NormalWeb"/>
        <w:shd w:val="clear" w:color="auto" w:fill="FFFFFF"/>
        <w:rPr>
          <w:sz w:val="28"/>
          <w:szCs w:val="28"/>
        </w:rPr>
      </w:pPr>
      <w:r>
        <w:rPr>
          <w:noProof/>
          <w:sz w:val="28"/>
          <w:szCs w:val="28"/>
        </w:rPr>
        <w:lastRenderedPageBreak/>
        <w:drawing>
          <wp:inline distT="0" distB="0" distL="0" distR="0" wp14:anchorId="3C2F5AAC">
            <wp:extent cx="5244861" cy="342963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8504" cy="3438556"/>
                    </a:xfrm>
                    <a:prstGeom prst="rect">
                      <a:avLst/>
                    </a:prstGeom>
                    <a:noFill/>
                  </pic:spPr>
                </pic:pic>
              </a:graphicData>
            </a:graphic>
          </wp:inline>
        </w:drawing>
      </w:r>
    </w:p>
    <w:p w:rsidR="00F95FEF" w:rsidRDefault="009168B7" w:rsidP="00F95FEF">
      <w:pPr>
        <w:pStyle w:val="NormalWeb"/>
        <w:shd w:val="clear" w:color="auto" w:fill="FFFFFF"/>
        <w:rPr>
          <w:b/>
        </w:rPr>
      </w:pPr>
      <w:r>
        <w:rPr>
          <w:b/>
          <w:color w:val="C00000"/>
          <w:sz w:val="28"/>
          <w:szCs w:val="28"/>
          <w:u w:val="single"/>
        </w:rPr>
        <w:t>F</w:t>
      </w:r>
      <w:r w:rsidR="003A725A">
        <w:rPr>
          <w:b/>
          <w:color w:val="C00000"/>
          <w:sz w:val="28"/>
          <w:szCs w:val="28"/>
          <w:u w:val="single"/>
        </w:rPr>
        <w:t>igür 4</w:t>
      </w:r>
      <w:r w:rsidR="00F95FEF" w:rsidRPr="00F95FEF">
        <w:rPr>
          <w:b/>
          <w:color w:val="C00000"/>
          <w:sz w:val="28"/>
          <w:szCs w:val="28"/>
          <w:u w:val="single"/>
        </w:rPr>
        <w:t>.</w:t>
      </w:r>
      <w:r w:rsidR="00F95FEF" w:rsidRPr="00F95FEF">
        <w:rPr>
          <w:color w:val="C00000"/>
        </w:rPr>
        <w:t xml:space="preserve"> </w:t>
      </w:r>
      <w:r w:rsidR="00F95FEF">
        <w:rPr>
          <w:b/>
        </w:rPr>
        <w:t>Eksojen K</w:t>
      </w:r>
      <w:r w:rsidR="00F95FEF" w:rsidRPr="00F95FEF">
        <w:rPr>
          <w:b/>
        </w:rPr>
        <w:t>anabinoidlerin kardiyovasküler sistem üzerindeki etkileri.</w:t>
      </w:r>
    </w:p>
    <w:p w:rsidR="00F95FEF" w:rsidRDefault="00F95FEF" w:rsidP="00BE36F0">
      <w:pPr>
        <w:shd w:val="clear" w:color="auto" w:fill="F2F2F2" w:themeFill="background1" w:themeFillShade="F2"/>
        <w:autoSpaceDE w:val="0"/>
        <w:autoSpaceDN w:val="0"/>
        <w:adjustRightInd w:val="0"/>
        <w:spacing w:after="0" w:line="240" w:lineRule="auto"/>
      </w:pPr>
      <w:r w:rsidRPr="00F95FEF">
        <w:rPr>
          <w:rFonts w:ascii="Times New Roman" w:hAnsi="Times New Roman" w:cs="Times New Roman"/>
          <w:b/>
          <w:i/>
        </w:rPr>
        <w:t>Kısaltmalar:</w:t>
      </w:r>
      <w:r>
        <w:rPr>
          <w:rFonts w:ascii="Times New Roman" w:hAnsi="Times New Roman" w:cs="Times New Roman"/>
        </w:rPr>
        <w:t xml:space="preserve"> </w:t>
      </w:r>
      <w:r w:rsidRPr="00F95FEF">
        <w:rPr>
          <w:rFonts w:ascii="Times New Roman" w:hAnsi="Times New Roman" w:cs="Times New Roman"/>
        </w:rPr>
        <w:t>CB1R</w:t>
      </w:r>
      <w:r>
        <w:rPr>
          <w:rFonts w:ascii="Times New Roman" w:hAnsi="Times New Roman" w:cs="Times New Roman"/>
        </w:rPr>
        <w:t>-  C</w:t>
      </w:r>
      <w:r w:rsidRPr="00F95FEF">
        <w:rPr>
          <w:rFonts w:ascii="Times New Roman" w:hAnsi="Times New Roman" w:cs="Times New Roman"/>
        </w:rPr>
        <w:t>annabinoid receptor subtype 1; CB2</w:t>
      </w:r>
      <w:r>
        <w:rPr>
          <w:rFonts w:ascii="Times New Roman" w:hAnsi="Times New Roman" w:cs="Times New Roman"/>
        </w:rPr>
        <w:t>R- C</w:t>
      </w:r>
      <w:r w:rsidRPr="00F95FEF">
        <w:rPr>
          <w:rFonts w:ascii="Times New Roman" w:hAnsi="Times New Roman" w:cs="Times New Roman"/>
        </w:rPr>
        <w:t>ann</w:t>
      </w:r>
      <w:r>
        <w:rPr>
          <w:rFonts w:ascii="Times New Roman" w:hAnsi="Times New Roman" w:cs="Times New Roman"/>
        </w:rPr>
        <w:t>abinoid receptor subtype 2; CBD- Cannabinoid; ERK- E</w:t>
      </w:r>
      <w:r w:rsidRPr="00F95FEF">
        <w:rPr>
          <w:rFonts w:ascii="Times New Roman" w:hAnsi="Times New Roman" w:cs="Times New Roman"/>
        </w:rPr>
        <w:t>xtracellula</w:t>
      </w:r>
      <w:r w:rsidR="00741014">
        <w:rPr>
          <w:rFonts w:ascii="Times New Roman" w:hAnsi="Times New Roman" w:cs="Times New Roman"/>
        </w:rPr>
        <w:t>r signal-regulated kinases; JNK-</w:t>
      </w:r>
      <w:r w:rsidRPr="00F95FEF">
        <w:rPr>
          <w:rFonts w:ascii="Times New Roman" w:hAnsi="Times New Roman" w:cs="Times New Roman"/>
        </w:rPr>
        <w:t xml:space="preserve"> c-Jun N</w:t>
      </w:r>
      <w:r w:rsidR="00741014">
        <w:rPr>
          <w:rFonts w:ascii="Times New Roman" w:hAnsi="Times New Roman" w:cs="Times New Roman"/>
        </w:rPr>
        <w:t xml:space="preserve"> terminal </w:t>
      </w:r>
      <w:r w:rsidRPr="00F95FEF">
        <w:rPr>
          <w:rFonts w:ascii="Times New Roman" w:hAnsi="Times New Roman" w:cs="Times New Roman"/>
        </w:rPr>
        <w:t>kinase; MAPK, mitogen</w:t>
      </w:r>
      <w:r>
        <w:t>-activated protein kinases; THC-</w:t>
      </w:r>
      <w:r w:rsidRPr="00F95FEF">
        <w:rPr>
          <w:rFonts w:ascii="Times New Roman" w:hAnsi="Times New Roman" w:cs="Times New Roman"/>
        </w:rPr>
        <w:t xml:space="preserve"> </w:t>
      </w:r>
      <w:r w:rsidRPr="00F95FEF">
        <w:rPr>
          <w:rFonts w:ascii="Times New Roman" w:eastAsia="GandhariUnicode-Roman" w:hAnsi="Times New Roman" w:cs="Times New Roman"/>
        </w:rPr>
        <w:t>Δ</w:t>
      </w:r>
      <w:r w:rsidRPr="00F95FEF">
        <w:rPr>
          <w:rFonts w:ascii="Times New Roman" w:hAnsi="Times New Roman" w:cs="Times New Roman"/>
        </w:rPr>
        <w:t>-9-tetrahydrocannabinol; TNF</w:t>
      </w:r>
      <w:r w:rsidRPr="00F95FEF">
        <w:rPr>
          <w:rFonts w:ascii="Times New Roman" w:eastAsia="GandhariUnicode-Roman" w:hAnsi="Times New Roman" w:cs="Times New Roman"/>
        </w:rPr>
        <w:t>α</w:t>
      </w:r>
      <w:r>
        <w:t>- T</w:t>
      </w:r>
      <w:r w:rsidRPr="00F95FEF">
        <w:rPr>
          <w:rFonts w:ascii="Times New Roman" w:hAnsi="Times New Roman" w:cs="Times New Roman"/>
        </w:rPr>
        <w:t>umor necrosis factor-</w:t>
      </w:r>
      <w:r w:rsidRPr="00F95FEF">
        <w:rPr>
          <w:rFonts w:ascii="Times New Roman" w:eastAsia="GandhariUnicode-Roman" w:hAnsi="Times New Roman" w:cs="Times New Roman"/>
        </w:rPr>
        <w:t>α</w:t>
      </w:r>
      <w:r>
        <w:t xml:space="preserve">; </w:t>
      </w:r>
      <w:proofErr w:type="gramStart"/>
      <w:r>
        <w:t>ve</w:t>
      </w:r>
      <w:r w:rsidR="00741014">
        <w:t xml:space="preserve"> ?</w:t>
      </w:r>
      <w:proofErr w:type="gramEnd"/>
      <w:r w:rsidR="00741014">
        <w:t xml:space="preserve"> –</w:t>
      </w:r>
      <w:r w:rsidR="00741014" w:rsidRPr="00741014">
        <w:t xml:space="preserve"> </w:t>
      </w:r>
      <w:r w:rsidR="00741014">
        <w:t>S</w:t>
      </w:r>
      <w:r w:rsidR="00741014" w:rsidRPr="00741014">
        <w:t>orgulanabilir</w:t>
      </w:r>
      <w:r w:rsidR="00741014">
        <w:t>.</w:t>
      </w:r>
    </w:p>
    <w:p w:rsidR="00F95FEF" w:rsidRPr="00741014" w:rsidRDefault="00741014" w:rsidP="00741014">
      <w:pPr>
        <w:autoSpaceDE w:val="0"/>
        <w:autoSpaceDN w:val="0"/>
        <w:adjustRightInd w:val="0"/>
        <w:spacing w:after="0" w:line="240" w:lineRule="auto"/>
        <w:rPr>
          <w:rFonts w:ascii="Times New Roman" w:hAnsi="Times New Roman" w:cs="Times New Roman"/>
        </w:rPr>
      </w:pPr>
      <w:r>
        <w:t>__________________________________________________________________________________</w:t>
      </w:r>
    </w:p>
    <w:p w:rsidR="00ED7842" w:rsidRPr="008D0211" w:rsidRDefault="00C9023B" w:rsidP="000C56F9">
      <w:pPr>
        <w:pStyle w:val="NormalWeb"/>
        <w:shd w:val="clear" w:color="auto" w:fill="FFFFFF"/>
        <w:rPr>
          <w:b/>
          <w:color w:val="C00000"/>
          <w:sz w:val="32"/>
          <w:szCs w:val="32"/>
        </w:rPr>
      </w:pPr>
      <w:r w:rsidRPr="008D0211">
        <w:rPr>
          <w:b/>
          <w:color w:val="C00000"/>
          <w:sz w:val="32"/>
          <w:szCs w:val="32"/>
        </w:rPr>
        <w:t xml:space="preserve">Kardiyak ve Vasküler- Spesifik Etkiler </w:t>
      </w:r>
    </w:p>
    <w:p w:rsidR="00E50B96" w:rsidRDefault="00E50B96" w:rsidP="003160D7">
      <w:pPr>
        <w:pStyle w:val="NormalWeb"/>
        <w:shd w:val="clear" w:color="auto" w:fill="FFFFFF"/>
        <w:spacing w:before="0" w:beforeAutospacing="0"/>
      </w:pPr>
      <w:r w:rsidRPr="00E50B96">
        <w:t>Esrarın kardiyovasküler sistem üzerinde birçok etkisi vardır(</w:t>
      </w:r>
      <w:r w:rsidRPr="009168B7">
        <w:rPr>
          <w:b/>
          <w:color w:val="C00000"/>
          <w:u w:val="single"/>
        </w:rPr>
        <w:t>Figür</w:t>
      </w:r>
      <w:r w:rsidR="003A725A">
        <w:rPr>
          <w:b/>
          <w:i/>
          <w:color w:val="C00000"/>
          <w:u w:val="single"/>
        </w:rPr>
        <w:t xml:space="preserve"> 4</w:t>
      </w:r>
      <w:r w:rsidRPr="009168B7">
        <w:t>).</w:t>
      </w:r>
    </w:p>
    <w:p w:rsidR="00E50B96" w:rsidRDefault="00E50B96" w:rsidP="00E50B96">
      <w:pPr>
        <w:pStyle w:val="NormalWeb"/>
        <w:numPr>
          <w:ilvl w:val="0"/>
          <w:numId w:val="2"/>
        </w:numPr>
        <w:shd w:val="clear" w:color="auto" w:fill="FFFFFF"/>
        <w:spacing w:before="0" w:beforeAutospacing="0"/>
      </w:pPr>
      <w:r w:rsidRPr="00E50B96">
        <w:t xml:space="preserve">Tetrahidrokanabinol, parasempatik sinir sistemini inhibe ederken sempatik sinir sistemini uyarır; kalp atış hızını, miyokardiyal oksijen talebini, sırtüstü kan basıncını ve trombosit aktivasyonunu </w:t>
      </w:r>
      <w:proofErr w:type="gramStart"/>
      <w:r w:rsidRPr="00E50B96">
        <w:t>artırır;</w:t>
      </w:r>
      <w:proofErr w:type="gramEnd"/>
      <w:r w:rsidRPr="00E50B96">
        <w:t xml:space="preserve"> ve endotel disfonksiyonu ve oksidatif stres ile ilişkilidir. Buna karşılık, CBD kalp atış hızını ve kan basıncını azaltabilir, endotel disfonksiyonu modellerinde vazodilatasyonu iyileştirir ve diyabetik modellerde inflamasyonu ve vasküler hiperpermeabiliteyi azaltır.</w:t>
      </w:r>
    </w:p>
    <w:p w:rsidR="003160D7" w:rsidRDefault="00397096" w:rsidP="00397096">
      <w:pPr>
        <w:pStyle w:val="NormalWeb"/>
        <w:numPr>
          <w:ilvl w:val="0"/>
          <w:numId w:val="2"/>
        </w:numPr>
        <w:shd w:val="clear" w:color="auto" w:fill="FFFFFF"/>
        <w:spacing w:before="0" w:beforeAutospacing="0"/>
      </w:pPr>
      <w:r w:rsidRPr="00397096">
        <w:t xml:space="preserve">Tütün içmeye kıyasla, THC içeriğinden bağımsız olarak esrar içmenin ve teneffüs etmenin kan karboksihemoglobin </w:t>
      </w:r>
      <w:proofErr w:type="gramStart"/>
      <w:r w:rsidRPr="00397096">
        <w:t>konsantrasyonlarını</w:t>
      </w:r>
      <w:proofErr w:type="gramEnd"/>
      <w:r w:rsidRPr="00397096">
        <w:t xml:space="preserve"> katranda 3 kat artışla 5 kat arttırdığı gösterilmiştir.</w:t>
      </w:r>
    </w:p>
    <w:p w:rsidR="00E82D37" w:rsidRDefault="00397096" w:rsidP="003160D7">
      <w:pPr>
        <w:pStyle w:val="NormalWeb"/>
        <w:shd w:val="clear" w:color="auto" w:fill="FFFFFF"/>
        <w:spacing w:before="0" w:beforeAutospacing="0"/>
        <w:ind w:left="360"/>
      </w:pPr>
      <w:r w:rsidRPr="00397096">
        <w:t xml:space="preserve">Uygulama şekli, inspirasyon derinliği ve nefes tutma süresine bağlı olarak değişen karbon monoksit zehirlenmesi, endotel disfonksiyonu, lipoproteinlerin artan oksidasyonu ve bozulmuş oksijen bağlanmasının yanı sıra </w:t>
      </w:r>
      <w:proofErr w:type="gramStart"/>
      <w:r w:rsidRPr="00397096">
        <w:t>kardiyomiyopati , angina</w:t>
      </w:r>
      <w:proofErr w:type="gramEnd"/>
      <w:r w:rsidRPr="00397096">
        <w:t>, AMI, aritmi, KY, pulmoner ödem, kardiyojenik şok ve ani ölüm gibi çeşitli kardiyak klinik tablolarla</w:t>
      </w:r>
      <w:r w:rsidR="00BD1976">
        <w:t xml:space="preserve"> ili</w:t>
      </w:r>
      <w:r w:rsidRPr="00397096">
        <w:t>şkilendirilmiştir.</w:t>
      </w:r>
    </w:p>
    <w:p w:rsidR="00E82D37" w:rsidRDefault="00E82D37" w:rsidP="002100EA">
      <w:pPr>
        <w:pStyle w:val="NormalWeb"/>
        <w:shd w:val="clear" w:color="auto" w:fill="FFFFFF"/>
      </w:pPr>
      <w:r w:rsidRPr="00E82D37">
        <w:lastRenderedPageBreak/>
        <w:t xml:space="preserve">Önemli bir endişe, esrarın AMI ve aritmiler gibi önemli olumsuz KV olaylarını ve ayrıca kardiyovasküler risk faktörleri üzerindeki etkisini tetikleyip güçlendirmediğidir. Ne yazık ki, mevcut verilerin çoğu kısa vadeli, gözlemsel ve doğası gereği </w:t>
      </w:r>
      <w:r>
        <w:t>retrospektiftir</w:t>
      </w:r>
      <w:r w:rsidRPr="00E82D37">
        <w:t>; maruz kalma</w:t>
      </w:r>
      <w:r>
        <w:t>yı</w:t>
      </w:r>
      <w:r w:rsidRPr="00E82D37">
        <w:t xml:space="preserve"> belirleme eksikliği; hatırlama </w:t>
      </w:r>
      <w:r>
        <w:t>önyargısı</w:t>
      </w:r>
      <w:r w:rsidRPr="00E82D37">
        <w:t xml:space="preserve"> sergiler; doz veya ürün standardizasyonu olmadan minimum esrar maruziyetini </w:t>
      </w:r>
      <w:proofErr w:type="gramStart"/>
      <w:r w:rsidRPr="00E82D37">
        <w:t>içerir;</w:t>
      </w:r>
      <w:proofErr w:type="gramEnd"/>
      <w:r w:rsidRPr="00E82D37">
        <w:t xml:space="preserve"> ve tipik olarak düşük riskli kohortları değerlendirir</w:t>
      </w:r>
      <w:r>
        <w:t>.</w:t>
      </w:r>
      <w:r w:rsidR="00936F4F" w:rsidRPr="00936F4F">
        <w:t xml:space="preserve"> Ek olarak, birçok epidemiyolojik çalışma, sağlık hizmetlerine erişim ve tütün kullanımı gibi diğer olumsuz sağlık davranışlarıyla ilişkili faktörlerle karıştırılabilir.</w:t>
      </w:r>
      <w:r w:rsidR="009F3FE8" w:rsidRPr="009F3FE8">
        <w:t xml:space="preserve"> Son olarak, esrardaki THC </w:t>
      </w:r>
      <w:proofErr w:type="gramStart"/>
      <w:r w:rsidR="009F3FE8" w:rsidRPr="009F3FE8">
        <w:t>konsantrasyonu</w:t>
      </w:r>
      <w:proofErr w:type="gramEnd"/>
      <w:r w:rsidR="009F3FE8" w:rsidRPr="009F3FE8">
        <w:t xml:space="preserve"> son birkaç yılda arttığından, daha önceki çalışmalar mevcut deneyimle ilgili olmayabilir. </w:t>
      </w:r>
      <w:proofErr w:type="gramStart"/>
      <w:r w:rsidR="005F3A6E">
        <w:t>(</w:t>
      </w:r>
      <w:proofErr w:type="gramEnd"/>
      <w:r w:rsidR="005F3A6E" w:rsidRPr="005F3A6E">
        <w:rPr>
          <w:i/>
        </w:rPr>
        <w:t xml:space="preserve">Circulation. 2020;142:e131–e152. </w:t>
      </w:r>
      <w:r w:rsidR="005F3A6E" w:rsidRPr="005F3A6E">
        <w:rPr>
          <w:i/>
          <w:color w:val="0070C0"/>
        </w:rPr>
        <w:t xml:space="preserve">DOI: </w:t>
      </w:r>
      <w:proofErr w:type="gramStart"/>
      <w:r w:rsidR="005F3A6E" w:rsidRPr="005F3A6E">
        <w:rPr>
          <w:i/>
          <w:color w:val="0070C0"/>
        </w:rPr>
        <w:t>10.1161</w:t>
      </w:r>
      <w:proofErr w:type="gramEnd"/>
      <w:r w:rsidR="005F3A6E" w:rsidRPr="005F3A6E">
        <w:rPr>
          <w:i/>
          <w:color w:val="0070C0"/>
        </w:rPr>
        <w:t>/CIR.</w:t>
      </w:r>
      <w:r w:rsidR="005F3A6E" w:rsidRPr="009168B7">
        <w:rPr>
          <w:i/>
        </w:rPr>
        <w:t>0000000000000883</w:t>
      </w:r>
      <w:r w:rsidR="009168B7">
        <w:rPr>
          <w:i/>
        </w:rPr>
        <w:t xml:space="preserve"> </w:t>
      </w:r>
      <w:r w:rsidR="009F3FE8" w:rsidRPr="009168B7">
        <w:rPr>
          <w:i/>
        </w:rPr>
        <w:t>Tablo 3</w:t>
      </w:r>
      <w:r w:rsidR="005F3A6E" w:rsidRPr="009168B7">
        <w:rPr>
          <w:i/>
        </w:rPr>
        <w:t>)</w:t>
      </w:r>
      <w:r w:rsidR="009F3FE8" w:rsidRPr="009F3FE8">
        <w:t>'te özetlenen mevcut literatürde, titiz prospektif kohort çalışmalarından elde edilen çok az veri yayınlanmıştır.</w:t>
      </w:r>
      <w:r w:rsidR="002100EA" w:rsidRPr="002100EA">
        <w:t xml:space="preserve"> &gt;25 yıl izlenen 18 ila 30 yaş arası yetişkinleri içeren CARDIA </w:t>
      </w:r>
      <w:r w:rsidR="002100EA">
        <w:t>(</w:t>
      </w:r>
      <w:r w:rsidR="002100EA">
        <w:rPr>
          <w:i/>
        </w:rPr>
        <w:t xml:space="preserve">Coronary </w:t>
      </w:r>
      <w:r w:rsidR="002100EA" w:rsidRPr="002100EA">
        <w:rPr>
          <w:i/>
        </w:rPr>
        <w:t xml:space="preserve">Risk Development in Young Adults </w:t>
      </w:r>
      <w:r w:rsidR="002100EA">
        <w:t xml:space="preserve">) </w:t>
      </w:r>
      <w:r w:rsidR="002100EA" w:rsidRPr="002100EA">
        <w:t>çalışmasında, %84'ü esrar kullanım öyküsü bildirdi</w:t>
      </w:r>
      <w:r w:rsidR="002100EA">
        <w:t>.</w:t>
      </w:r>
      <w:r w:rsidR="002100EA" w:rsidRPr="002100EA">
        <w:t xml:space="preserve"> Kümülatif yaşam süresi ve yakın zamanda esrar kullanımı, kardiyovasküler hastalık, koroner kalp hastalığı veya kardiyak mortalite insidansı ile bir ilişki göstermedi</w:t>
      </w:r>
      <w:r w:rsidR="002100EA">
        <w:t>.</w:t>
      </w:r>
      <w:r w:rsidR="00991CB0" w:rsidRPr="00991CB0">
        <w:t xml:space="preserve"> Bununla birlikte, birçok çalışma, çoğunlukla kalıtsal seçim yanlılığı olan hastanede yatan hastalarda, olumsuz kardiyak sonuçlar için sinyaller göstermiştir.</w:t>
      </w:r>
      <w:r w:rsidR="00711995" w:rsidRPr="00711995">
        <w:t xml:space="preserve"> Yalnızca hastaneye kaldırılan katılımcıları içeren çalışmalarda, genel </w:t>
      </w:r>
      <w:proofErr w:type="gramStart"/>
      <w:r w:rsidR="00711995" w:rsidRPr="00711995">
        <w:t>popülasyonun</w:t>
      </w:r>
      <w:proofErr w:type="gramEnd"/>
      <w:r w:rsidR="00711995" w:rsidRPr="00711995">
        <w:t xml:space="preserve"> yalnızca bir sağlık sonucu yaşayan kısmı analiz edildi. Unutulmamalıdır ki, esrar kullanan hastanede yatan hastalar vaka, esrar kullanmayanlar ise kontrol grubu olduğunda, seçim yanlılığı olasılığı yüksektir. Bu nedenle, hastaneye yatış nedeni olarak esrar kullanımına ilişkin belirsizlik mevcuttur.</w:t>
      </w:r>
    </w:p>
    <w:p w:rsidR="00711995" w:rsidRDefault="00711995" w:rsidP="002100EA">
      <w:pPr>
        <w:pStyle w:val="NormalWeb"/>
        <w:shd w:val="clear" w:color="auto" w:fill="FFFFFF"/>
      </w:pPr>
      <w:r w:rsidRPr="00711995">
        <w:t>Esrarın yasallaştırıldığı eyaletlerde, AMI ve esrarla ilişkili yan etkiler nedeniyle hastaneye yatışlarda ve acil servis ziyaretlerinde artış gözlemlendi.</w:t>
      </w:r>
      <w:r w:rsidR="00E7722F" w:rsidRPr="00E7722F">
        <w:t xml:space="preserve"> Vaka raporları ve gözlemsel çalışmalar, esrar kullanımı ile atriyal fibrilasyon arasındaki zamansal ilişkiyi, çelişkili olsa da ve çoğunlukla iskemik hastalığı olmayan genç erkeklerde ortaya çıkan AMI'yi destekler.</w:t>
      </w:r>
      <w:r w:rsidR="0025644F" w:rsidRPr="0025644F">
        <w:t xml:space="preserve"> 2010'dan 2014'e kadar Ulusal Yatan Hasta Örneği veri tabanının yakın tarihli bir ana</w:t>
      </w:r>
      <w:r w:rsidR="0025644F">
        <w:t xml:space="preserve">lizinde, Desai ve </w:t>
      </w:r>
      <w:proofErr w:type="gramStart"/>
      <w:r w:rsidR="0025644F">
        <w:t xml:space="preserve">arkadaşları </w:t>
      </w:r>
      <w:r w:rsidR="0025644F" w:rsidRPr="0025644F">
        <w:t xml:space="preserve"> hastanede</w:t>
      </w:r>
      <w:proofErr w:type="gramEnd"/>
      <w:r w:rsidR="0025644F" w:rsidRPr="0025644F">
        <w:t xml:space="preserve"> yatan 2.459.856 esrar kullanıcısı tespit etti ve bunların 66.179'unda (%2,7) aritmiler, çoğunlukla atriyal fibrilasyon görüldü.</w:t>
      </w:r>
    </w:p>
    <w:p w:rsidR="00B263FD" w:rsidRDefault="00490E6C" w:rsidP="002100EA">
      <w:pPr>
        <w:pStyle w:val="NormalWeb"/>
        <w:shd w:val="clear" w:color="auto" w:fill="FFFFFF"/>
      </w:pPr>
      <w:proofErr w:type="gramStart"/>
      <w:r>
        <w:t xml:space="preserve">Marihuana </w:t>
      </w:r>
      <w:r w:rsidRPr="00490E6C">
        <w:t xml:space="preserve"> kullanıcıları</w:t>
      </w:r>
      <w:proofErr w:type="gramEnd"/>
      <w:r w:rsidRPr="00490E6C">
        <w:t xml:space="preserve"> arasında tütün veya diğer uyuşturucuların eş zamanlı kullanımı konusu da vardır ve bu durum, veri toplama ve istatistiksel düzeltmede yeterince açıklanmamıştır. </w:t>
      </w:r>
    </w:p>
    <w:p w:rsidR="00490E6C" w:rsidRDefault="00490E6C" w:rsidP="00B263FD">
      <w:pPr>
        <w:pStyle w:val="NormalWeb"/>
        <w:numPr>
          <w:ilvl w:val="0"/>
          <w:numId w:val="2"/>
        </w:numPr>
        <w:shd w:val="clear" w:color="auto" w:fill="FFFFFF"/>
      </w:pPr>
      <w:r w:rsidRPr="00490E6C">
        <w:t>Şimdiye kadar tütün kullananlar arasında esrar kullanımı, abdominal ve koroner arter kalsifikasyonunda bir artışla ilişkilendirilmiştir.</w:t>
      </w:r>
    </w:p>
    <w:p w:rsidR="00B263FD" w:rsidRDefault="00B263FD" w:rsidP="00B263FD">
      <w:pPr>
        <w:pStyle w:val="NormalWeb"/>
        <w:numPr>
          <w:ilvl w:val="0"/>
          <w:numId w:val="2"/>
        </w:numPr>
        <w:shd w:val="clear" w:color="auto" w:fill="FFFFFF"/>
      </w:pPr>
      <w:r w:rsidRPr="00B263FD">
        <w:t>Esrar mar</w:t>
      </w:r>
      <w:r>
        <w:t>uziyeti, serebrovasküler olaylar</w:t>
      </w:r>
      <w:r w:rsidRPr="00B263FD">
        <w:t xml:space="preserve"> için artan bir risk ile ilişkilendirilmiştir.</w:t>
      </w:r>
    </w:p>
    <w:p w:rsidR="00113D99" w:rsidRDefault="00113D99" w:rsidP="00113D99">
      <w:pPr>
        <w:pStyle w:val="NormalWeb"/>
        <w:shd w:val="clear" w:color="auto" w:fill="FFFFFF"/>
      </w:pPr>
      <w:r w:rsidRPr="00113D99">
        <w:t xml:space="preserve">1999 yılında 20-24 yaş arası (n=2404), 40-44 yaş arası (n=2530) ve 60-64 yaş arası (n=2551) katılımcıları içeren PTHTL </w:t>
      </w:r>
      <w:r>
        <w:t>(</w:t>
      </w:r>
      <w:r w:rsidRPr="00113D99">
        <w:rPr>
          <w:i/>
        </w:rPr>
        <w:t>Personality and Total Health Through Life</w:t>
      </w:r>
      <w:r>
        <w:t xml:space="preserve">) </w:t>
      </w:r>
      <w:r w:rsidRPr="00113D99">
        <w:t xml:space="preserve">çalışmasının </w:t>
      </w:r>
      <w:proofErr w:type="gramStart"/>
      <w:r w:rsidRPr="00113D99">
        <w:t>retrospektif</w:t>
      </w:r>
      <w:proofErr w:type="gramEnd"/>
      <w:r w:rsidRPr="00113D99">
        <w:t xml:space="preserve"> değerlendirmesinde sırasıyla 2000'e, 2000'den 2001'e ve 2001'den 2002'ye, Hemachandra ve arkadaşları, geçen yıl içinde esrar kullanıcılarında 3,3 kat inme/geçici iskemik atak riski buldu.</w:t>
      </w:r>
      <w:r w:rsidR="00B253AF" w:rsidRPr="00B253AF">
        <w:t xml:space="preserve"> Ancak bu yüksek risk, esrarı daha az kullananlara değil, yalnızca haftada bir veya daha sık esrar kullanan katılımcılara özeldi.</w:t>
      </w:r>
    </w:p>
    <w:p w:rsidR="00BF13D8" w:rsidRDefault="00B253AF" w:rsidP="00BF13D8">
      <w:pPr>
        <w:pStyle w:val="NormalWeb"/>
        <w:shd w:val="clear" w:color="auto" w:fill="FFFFFF"/>
      </w:pPr>
      <w:r w:rsidRPr="00B253AF">
        <w:t>Tartışmalı olmasına rağmen, esrar içmek ayrıca periferik arteriyopati veya tromboangiitis obliterans'a benzeyen kannabis arteriti (örn</w:t>
      </w:r>
      <w:proofErr w:type="gramStart"/>
      <w:r w:rsidRPr="00B253AF">
        <w:t>.,</w:t>
      </w:r>
      <w:proofErr w:type="gramEnd"/>
      <w:r w:rsidRPr="00B253AF">
        <w:t xml:space="preserve"> Buerger hastalığı) ile ilişkilendirilmiştir. Genç erişkinlerde alt ekstremite arteriyopatisinin %20'den fazlasına bu tür vaskülitler neden olabilir; ancak bu tahminler yanıltıcı olabilir çünkü esrar içenlerin %97'si aynı zamanda tütün de içmektedir.</w:t>
      </w:r>
      <w:r w:rsidR="00D82025" w:rsidRPr="00D82025">
        <w:t xml:space="preserve"> Patogenezi tam olarak anlaşılamamış olsa da, tütün dumanı ve esrar arasında </w:t>
      </w:r>
      <w:r w:rsidR="00D82025" w:rsidRPr="00D82025">
        <w:lastRenderedPageBreak/>
        <w:t>sinerjistik bir etkileşim olabilir ve bu da bazı hastalarda periferik nonateromatöz arteriyopati geliştirmesine katkıda bulunur.</w:t>
      </w:r>
      <w:r w:rsidR="000A79AA" w:rsidRPr="000A79AA">
        <w:t xml:space="preserve"> </w:t>
      </w:r>
    </w:p>
    <w:p w:rsidR="00B253AF" w:rsidRDefault="000A79AA" w:rsidP="000A79AA">
      <w:pPr>
        <w:pStyle w:val="NormalWeb"/>
        <w:numPr>
          <w:ilvl w:val="0"/>
          <w:numId w:val="2"/>
        </w:numPr>
        <w:shd w:val="clear" w:color="auto" w:fill="FFFFFF"/>
      </w:pPr>
      <w:r w:rsidRPr="000A79AA">
        <w:t>Bununla birlikte, periferik vasküler hastalığı olan 50 yaşın altındaki genç erişkinlerde cannabis arteriti düşünülmelidir.</w:t>
      </w:r>
    </w:p>
    <w:p w:rsidR="00BB0951" w:rsidRDefault="00BB0951" w:rsidP="00BB0951">
      <w:pPr>
        <w:pStyle w:val="NormalWeb"/>
        <w:shd w:val="clear" w:color="auto" w:fill="FFFFFF"/>
      </w:pPr>
      <w:r w:rsidRPr="00BB0951">
        <w:t>Genel olarak, kannabis kullanımı ve olumsuz kardiyovasküler sonuçlara ilişkin kanıtlar hâlâ kesin değildir ve bu da dikkatli bir şekilde tasarlanmış, prospektif kısa ve uzun vadeli çalışmalara acil ihtiyaç duyulmasına neden olur.</w:t>
      </w:r>
      <w:r w:rsidR="00BD30FD" w:rsidRPr="00BD30FD">
        <w:t xml:space="preserve"> İdeal olarak, çeşitli uygulama formları ve yollarının kontrollü </w:t>
      </w:r>
      <w:r w:rsidR="00BD30FD">
        <w:t>çalışmaları</w:t>
      </w:r>
      <w:r w:rsidR="00BD30FD" w:rsidRPr="00BD30FD">
        <w:t xml:space="preserve"> test edilecektir, ancak eğlence amaçlı uyuşturucuların titiz bir şekilde incelenmesi bir zorluk olmaya devam etmektedir.</w:t>
      </w:r>
    </w:p>
    <w:p w:rsidR="00485C7E" w:rsidRDefault="00485C7E" w:rsidP="00BB0951">
      <w:pPr>
        <w:pStyle w:val="NormalWeb"/>
        <w:shd w:val="clear" w:color="auto" w:fill="FFFFFF"/>
      </w:pPr>
    </w:p>
    <w:p w:rsidR="00485C7E" w:rsidRPr="00827A5D" w:rsidRDefault="00827A5D" w:rsidP="00BB0951">
      <w:pPr>
        <w:pStyle w:val="NormalWeb"/>
        <w:shd w:val="clear" w:color="auto" w:fill="FFFFFF"/>
        <w:rPr>
          <w:b/>
          <w:color w:val="C00000"/>
          <w:sz w:val="32"/>
          <w:szCs w:val="32"/>
        </w:rPr>
      </w:pPr>
      <w:r w:rsidRPr="00827A5D">
        <w:rPr>
          <w:b/>
          <w:color w:val="C00000"/>
          <w:sz w:val="32"/>
          <w:szCs w:val="32"/>
        </w:rPr>
        <w:t xml:space="preserve">Sigara içme içme </w:t>
      </w:r>
      <w:r>
        <w:rPr>
          <w:b/>
          <w:color w:val="C00000"/>
          <w:sz w:val="32"/>
          <w:szCs w:val="32"/>
        </w:rPr>
        <w:t xml:space="preserve">ve </w:t>
      </w:r>
      <w:proofErr w:type="gramStart"/>
      <w:r>
        <w:rPr>
          <w:b/>
          <w:color w:val="C00000"/>
          <w:sz w:val="32"/>
          <w:szCs w:val="32"/>
        </w:rPr>
        <w:t>Buhar  soluma</w:t>
      </w:r>
      <w:proofErr w:type="gramEnd"/>
      <w:r>
        <w:rPr>
          <w:b/>
          <w:color w:val="C00000"/>
          <w:sz w:val="32"/>
          <w:szCs w:val="32"/>
        </w:rPr>
        <w:t>(</w:t>
      </w:r>
      <w:r w:rsidRPr="00827A5D">
        <w:rPr>
          <w:i/>
          <w:color w:val="C00000"/>
          <w:sz w:val="32"/>
          <w:szCs w:val="32"/>
        </w:rPr>
        <w:t>vapping</w:t>
      </w:r>
      <w:r>
        <w:rPr>
          <w:b/>
          <w:color w:val="C00000"/>
          <w:sz w:val="32"/>
          <w:szCs w:val="32"/>
        </w:rPr>
        <w:t xml:space="preserve">) </w:t>
      </w:r>
      <w:r w:rsidR="00485C7E" w:rsidRPr="00827A5D">
        <w:rPr>
          <w:b/>
          <w:color w:val="C00000"/>
          <w:sz w:val="32"/>
          <w:szCs w:val="32"/>
        </w:rPr>
        <w:t>endişeleri</w:t>
      </w:r>
    </w:p>
    <w:p w:rsidR="00BA7FD9" w:rsidRDefault="00F0160E" w:rsidP="00397096">
      <w:pPr>
        <w:pStyle w:val="NormalWeb"/>
        <w:shd w:val="clear" w:color="auto" w:fill="FFFFFF"/>
        <w:spacing w:before="0" w:beforeAutospacing="0"/>
      </w:pPr>
      <w:r w:rsidRPr="00F0160E">
        <w:t xml:space="preserve">Esrar dumanı, tütün dumanı ile aynı kanserojen ve mutajenlerin çoğunu içerir. Ek olarak, esrar içimi, tütün içenlerdekine benzer şekilde, solunum dokularında çeşitli histopatolojik değişikliklerle ilişkilidir. Bununla birlikte, epidemiyolojik çalışmalardan elde edilen sınırlı ve çelişkili kanıtlar, esrar kullanımı ile çeşitli kanser türleri arasında sağlam ve tutarlı bir ilişki göstermemiştir. Düşük güçlü kanıtlar, uzun süreli esrar içmenin testis kanseri gelişimi ile ilişkili olabileceğini düşündürmektedir. </w:t>
      </w:r>
    </w:p>
    <w:p w:rsidR="00BD1976" w:rsidRDefault="00F0160E" w:rsidP="00397096">
      <w:pPr>
        <w:pStyle w:val="NormalWeb"/>
        <w:shd w:val="clear" w:color="auto" w:fill="FFFFFF"/>
        <w:spacing w:before="0" w:beforeAutospacing="0"/>
      </w:pPr>
      <w:r w:rsidRPr="00F0160E">
        <w:t>Akciğer kanseri bulguları, sadece marihuana içen birkaç kişi, kötü maruz kalma değerlendirmesi ve çalışmalarda yetersiz ayarlama nedeniyle karışık ve kafa karıştırıcı</w:t>
      </w:r>
      <w:r>
        <w:t>dır</w:t>
      </w:r>
      <w:r w:rsidRPr="00F0160E">
        <w:t>.</w:t>
      </w:r>
      <w:r w:rsidR="00BA7FD9" w:rsidRPr="00BA7FD9">
        <w:t xml:space="preserve"> Uzun süreli yoğun esrar içimi (tütün olmadan) ile kronik obstrüktif akciğer hastalığı arasındaki ilişki belirsizliğini koruyor ancak kronik bronşit bildirilmiştir</w:t>
      </w:r>
      <w:r w:rsidR="00BA7FD9">
        <w:t>.</w:t>
      </w:r>
    </w:p>
    <w:p w:rsidR="00BA7FD9" w:rsidRDefault="00BA7FD9" w:rsidP="00BA7FD9">
      <w:pPr>
        <w:pStyle w:val="NormalWeb"/>
        <w:shd w:val="clear" w:color="auto" w:fill="FFFFFF"/>
      </w:pPr>
      <w:r>
        <w:t xml:space="preserve">Son olarak, yeni koronavirüs şiddetli akut solunum sendromu koronavirüs 2(SaRS-2)'nin neden olduğu dünya çapında COVID-19 salgını </w:t>
      </w:r>
      <w:proofErr w:type="gramStart"/>
      <w:r>
        <w:t>ile,</w:t>
      </w:r>
      <w:proofErr w:type="gramEnd"/>
      <w:r>
        <w:t xml:space="preserve"> tütün içenlerin sigara içmeyenlere göre şiddetli COVID-19 semptomlarına sahip olma olasılığı  (göreceli risk,1,4 [%95 GA,0,98–2,00]) ve yoğun bakım ünitesine kabul edilme, mekanik ventilasyona ihtiyaç duyma veya ölme olasılığı çok daha yüksek görünmektedir (göreceli risk, 2,4 [%95 GA,1,43–4,04]). Bu ri</w:t>
      </w:r>
      <w:r w:rsidR="008D0211">
        <w:t xml:space="preserve">skin sigara içmeyi veya </w:t>
      </w:r>
      <w:proofErr w:type="gramStart"/>
      <w:r w:rsidR="008D0211">
        <w:t xml:space="preserve">esrar </w:t>
      </w:r>
      <w:r>
        <w:t xml:space="preserve"> buharlaştırmayı</w:t>
      </w:r>
      <w:proofErr w:type="gramEnd"/>
      <w:r>
        <w:t xml:space="preserve"> da kapsayıp kapsamadığı bilinmemektedir.</w:t>
      </w:r>
    </w:p>
    <w:p w:rsidR="00BD1976" w:rsidRPr="00B019B1" w:rsidRDefault="008D0211" w:rsidP="00397096">
      <w:pPr>
        <w:pStyle w:val="NormalWeb"/>
        <w:shd w:val="clear" w:color="auto" w:fill="FFFFFF"/>
        <w:spacing w:before="0" w:beforeAutospacing="0"/>
        <w:rPr>
          <w:b/>
          <w:color w:val="C00000"/>
          <w:sz w:val="32"/>
          <w:szCs w:val="32"/>
        </w:rPr>
      </w:pPr>
      <w:r w:rsidRPr="00B019B1">
        <w:rPr>
          <w:b/>
          <w:color w:val="C00000"/>
          <w:sz w:val="32"/>
          <w:szCs w:val="32"/>
        </w:rPr>
        <w:t>Safsızlıklar</w:t>
      </w:r>
    </w:p>
    <w:p w:rsidR="00E50B96" w:rsidRDefault="00B019B1" w:rsidP="00D104B9">
      <w:pPr>
        <w:pStyle w:val="NormalWeb"/>
        <w:shd w:val="clear" w:color="auto" w:fill="FFFFFF"/>
        <w:spacing w:before="0" w:beforeAutospacing="0"/>
      </w:pPr>
      <w:r w:rsidRPr="00B019B1">
        <w:t>Haziran 2018'de ABD FDA, sıçan zehirinde bulunan pıhtılaş</w:t>
      </w:r>
      <w:r w:rsidR="00A418CE">
        <w:t>mayı önleyici bir bileşik olan B</w:t>
      </w:r>
      <w:r w:rsidRPr="00B019B1">
        <w:t>rodifacoum ile bağlanmış sentetik yasadışı ürünlerin tüketimiyle ilişkili sağlık acil durumları hakkında bir uyarı yayınladı.</w:t>
      </w:r>
    </w:p>
    <w:p w:rsidR="005E6678" w:rsidRDefault="00A418CE" w:rsidP="00D104B9">
      <w:pPr>
        <w:pStyle w:val="NormalWeb"/>
        <w:shd w:val="clear" w:color="auto" w:fill="FFFFFF"/>
      </w:pPr>
      <w:r w:rsidRPr="00A418CE">
        <w:t>18 Şubat 2020 itibariyle, 50 eyaletin tamamından, Columbia Bölgesi'nden ve 2 ABD bölgesinden (Po</w:t>
      </w:r>
      <w:r>
        <w:t>rto Riko ve ABD Virgin Adaları)</w:t>
      </w:r>
      <w:r w:rsidRPr="00A418CE">
        <w:t xml:space="preserve"> Hastalık Kontrol ve Önleme Merkezlerine e-sigara veya elektronik sigara kullanımıyla ilişkili akciğer yaralanmaları veya ölümleri nedeniyle toplam 2807 hastanede yatan hasta bildirilmiştir. 29 eyalette ve Columbia Bölgesi'nde altmış sekiz ölüm doğrulandı</w:t>
      </w:r>
      <w:r w:rsidR="005E6678">
        <w:t xml:space="preserve">. </w:t>
      </w:r>
      <w:r w:rsidR="005E6678" w:rsidRPr="005E6678">
        <w:t xml:space="preserve">Çoğu hasta, THC içeren ürünleri kullanma öyküsünü onaylar. </w:t>
      </w:r>
      <w:r w:rsidR="005E6678">
        <w:t>Ulusal ve eyalet bulguları temelinde,</w:t>
      </w:r>
    </w:p>
    <w:p w:rsidR="00EA7F96" w:rsidRDefault="005E6678" w:rsidP="00D104B9">
      <w:pPr>
        <w:pStyle w:val="NormalWeb"/>
        <w:shd w:val="clear" w:color="auto" w:fill="FFFFFF"/>
      </w:pPr>
      <w:r>
        <w:lastRenderedPageBreak/>
        <w:t>Hastalık Kontrol ve Önleme (</w:t>
      </w:r>
      <w:r w:rsidRPr="005E6678">
        <w:rPr>
          <w:i/>
        </w:rPr>
        <w:t>Centers for Disease Control and Prevention</w:t>
      </w:r>
      <w:r>
        <w:t xml:space="preserve">):  THC içeren ürünlerin, özellikle karaborsada veya diğer resmi olmayan kaynaklardan </w:t>
      </w:r>
      <w:proofErr w:type="gramStart"/>
      <w:r>
        <w:t>(</w:t>
      </w:r>
      <w:proofErr w:type="gramEnd"/>
      <w:r>
        <w:t xml:space="preserve">ör. </w:t>
      </w:r>
      <w:proofErr w:type="gramStart"/>
      <w:r>
        <w:t>arkadaşlar</w:t>
      </w:r>
      <w:proofErr w:type="gramEnd"/>
      <w:r>
        <w:t>, aile üyeleri, yasadışı satıcılar) alınan ürünlerin, vakaların çoğuyla bağlantılı olduğunu ve önemli bir rol oynadığını ileri sürer; ancak nikotin içeren ürünlerin rolü göz ardı edilemez.</w:t>
      </w:r>
      <w:r w:rsidR="00D30C68" w:rsidRPr="00D30C68">
        <w:t xml:space="preserve"> Son zamanlarda, Hastalık Kontrol ve Önleme Merkezleri, genellikle THC ve diğer elektronik sigara ürünlerinde yağ </w:t>
      </w:r>
      <w:proofErr w:type="gramStart"/>
      <w:r w:rsidR="00D30C68" w:rsidRPr="00D30C68">
        <w:t>bazlı</w:t>
      </w:r>
      <w:proofErr w:type="gramEnd"/>
      <w:r w:rsidR="00D30C68" w:rsidRPr="00D30C68">
        <w:t xml:space="preserve"> bir çözücü olarak kullanılan E vitamini asetatını, e-sigara veya elektronik sigara, ürün kullanımıyla ilişkili akciğer hasarı için olası bir neden olarak tanımladı.</w:t>
      </w:r>
      <w:r w:rsidR="00966CD8" w:rsidRPr="00966CD8">
        <w:t xml:space="preserve"> Bununla birlikte, bu bulgular nispeten az sayıda doku örneğine dayanmaktadır.</w:t>
      </w:r>
      <w:r w:rsidR="00EA7F96" w:rsidRPr="00EA7F96">
        <w:t xml:space="preserve"> </w:t>
      </w:r>
    </w:p>
    <w:p w:rsidR="00A418CE" w:rsidRDefault="00EA7F96" w:rsidP="00EA7F96">
      <w:pPr>
        <w:pStyle w:val="NormalWeb"/>
        <w:numPr>
          <w:ilvl w:val="0"/>
          <w:numId w:val="2"/>
        </w:numPr>
        <w:shd w:val="clear" w:color="auto" w:fill="FFFFFF"/>
      </w:pPr>
      <w:r>
        <w:t xml:space="preserve">Dolayısı </w:t>
      </w:r>
      <w:proofErr w:type="gramStart"/>
      <w:r>
        <w:t>ile</w:t>
      </w:r>
      <w:r w:rsidRPr="00EA7F96">
        <w:t>,</w:t>
      </w:r>
      <w:proofErr w:type="gramEnd"/>
      <w:r w:rsidRPr="00EA7F96">
        <w:t xml:space="preserve"> bu bulgulara dayanarak esrar elektronik sigara kullanımından kaçınılmalıdır.</w:t>
      </w:r>
    </w:p>
    <w:p w:rsidR="003160D7" w:rsidRDefault="00D104B9" w:rsidP="003160D7">
      <w:pPr>
        <w:pStyle w:val="NormalWeb"/>
        <w:shd w:val="clear" w:color="auto" w:fill="FFFFFF"/>
      </w:pPr>
      <w:r w:rsidRPr="00D104B9">
        <w:t>Ek olarak, eczanelerde satılan reçetesiz topikal CBD</w:t>
      </w:r>
      <w:r>
        <w:t xml:space="preserve"> (</w:t>
      </w:r>
      <w:r w:rsidRPr="00D104B9">
        <w:rPr>
          <w:i/>
        </w:rPr>
        <w:t>Cannabidiol</w:t>
      </w:r>
      <w:r>
        <w:t>)</w:t>
      </w:r>
      <w:r w:rsidRPr="00D104B9">
        <w:t xml:space="preserve"> ürünleri, ABD FDA düzenleyici gözetim rehberliği, incelemesi ve teftişi ve bunların kapsamındaki İyi Üretim Uygulamaları düzenlemeleri kapsamına girmez.</w:t>
      </w:r>
      <w:r w:rsidR="00415EEB" w:rsidRPr="00415EEB">
        <w:t xml:space="preserve"> Bu nedenle, bu ürünlerin ağır metaller, herbisitler, pestisitler ve fungisitler gibi safsızlıklar içerme potansiyeli mevcuttur.</w:t>
      </w:r>
    </w:p>
    <w:p w:rsidR="00243633" w:rsidRDefault="00243633" w:rsidP="003160D7">
      <w:pPr>
        <w:pStyle w:val="NormalWeb"/>
        <w:shd w:val="clear" w:color="auto" w:fill="FFFFFF"/>
      </w:pPr>
    </w:p>
    <w:p w:rsidR="00243633" w:rsidRPr="003160D7" w:rsidRDefault="00243633" w:rsidP="003160D7">
      <w:pPr>
        <w:pStyle w:val="NormalWeb"/>
        <w:shd w:val="clear" w:color="auto" w:fill="FFFFFF"/>
      </w:pPr>
    </w:p>
    <w:p w:rsidR="00D30C68" w:rsidRPr="003160D7" w:rsidRDefault="003160D7" w:rsidP="005E6678">
      <w:pPr>
        <w:pStyle w:val="NormalWeb"/>
        <w:shd w:val="clear" w:color="auto" w:fill="FFFFFF"/>
        <w:ind w:left="567"/>
        <w:rPr>
          <w:b/>
          <w:color w:val="C00000"/>
          <w:sz w:val="32"/>
          <w:szCs w:val="32"/>
        </w:rPr>
      </w:pPr>
      <w:r w:rsidRPr="003160D7">
        <w:rPr>
          <w:b/>
          <w:color w:val="C00000"/>
          <w:sz w:val="32"/>
          <w:szCs w:val="32"/>
        </w:rPr>
        <w:t>Kronik Yan etkiler</w:t>
      </w:r>
    </w:p>
    <w:p w:rsidR="00B019B1" w:rsidRDefault="003160D7" w:rsidP="00B019B1">
      <w:pPr>
        <w:pStyle w:val="NormalWeb"/>
        <w:shd w:val="clear" w:color="auto" w:fill="FFFFFF"/>
        <w:spacing w:before="0" w:beforeAutospacing="0"/>
        <w:ind w:left="567"/>
      </w:pPr>
      <w:r w:rsidRPr="003160D7">
        <w:t>Devam eden uzun süreli kullanımla, başta CB1 reseptörü olmak üzere kanabinoid reseptörlerinin azalan mevcudiyetinin bir sonucu olarak tolerans gelişecektir.</w:t>
      </w:r>
      <w:r w:rsidR="00B82090" w:rsidRPr="00B82090">
        <w:t xml:space="preserve"> Uzun süreli kullanıcılar, esrar aniden kesildiğinde, doz azaltıldığında veya formülasyon değiştirildiğinde yoksunluk </w:t>
      </w:r>
      <w:proofErr w:type="gramStart"/>
      <w:r w:rsidR="00B82090" w:rsidRPr="00B82090">
        <w:t>sendromu</w:t>
      </w:r>
      <w:proofErr w:type="gramEnd"/>
      <w:r w:rsidR="00B82090" w:rsidRPr="00B82090">
        <w:t xml:space="preserve"> yaşayabilir.</w:t>
      </w:r>
    </w:p>
    <w:p w:rsidR="00027A25" w:rsidRDefault="00027A25" w:rsidP="00027A25">
      <w:pPr>
        <w:pStyle w:val="NormalWeb"/>
        <w:numPr>
          <w:ilvl w:val="0"/>
          <w:numId w:val="2"/>
        </w:numPr>
        <w:shd w:val="clear" w:color="auto" w:fill="FFFFFF"/>
        <w:spacing w:before="0" w:beforeAutospacing="0"/>
      </w:pPr>
      <w:r w:rsidRPr="00027A25">
        <w:t xml:space="preserve">Belirti ve </w:t>
      </w:r>
      <w:proofErr w:type="gramStart"/>
      <w:r w:rsidRPr="00027A25">
        <w:t>semptomlar</w:t>
      </w:r>
      <w:proofErr w:type="gramEnd"/>
      <w:r w:rsidRPr="00027A25">
        <w:t xml:space="preserve"> öfke, kaygı, huzursuzluk, sinirlilik, depresif ruh hali, rahatsız uyku, garip rüyalar, iştah azalması, kilo kaybı, baş ağrısı ve gece terlemelerini içerir. Bu </w:t>
      </w:r>
      <w:proofErr w:type="gramStart"/>
      <w:r w:rsidRPr="00027A25">
        <w:t>semptomlar</w:t>
      </w:r>
      <w:proofErr w:type="gramEnd"/>
      <w:r w:rsidRPr="00027A25">
        <w:t xml:space="preserve"> tipik olarak esrarın bırakılmasından veya kullanım veya dozun azaltılmasından birkaç gün sonra başlar, semptomlar ≈10 gün sonra zirveye ulaşır ve 30 gün sonra sona erer. Uzun süreli, ağır (THC ağırlıklı) esrar kullanımı, karın rahatsızlığı ve mide bulantısının inatçı kusmaya yol açan prodromal </w:t>
      </w:r>
      <w:proofErr w:type="gramStart"/>
      <w:r w:rsidRPr="00027A25">
        <w:t>semptomları</w:t>
      </w:r>
      <w:proofErr w:type="gramEnd"/>
      <w:r w:rsidRPr="00027A25">
        <w:t xml:space="preserve"> ile karakterize edilen hiperemezis sendromu riskinde artış ile ilişkilidir.</w:t>
      </w:r>
    </w:p>
    <w:p w:rsidR="004457FD" w:rsidRDefault="004457FD" w:rsidP="004457FD">
      <w:pPr>
        <w:pStyle w:val="NormalWeb"/>
        <w:shd w:val="clear" w:color="auto" w:fill="FFFFFF"/>
        <w:spacing w:before="0" w:beforeAutospacing="0"/>
        <w:ind w:left="360"/>
      </w:pPr>
      <w:r w:rsidRPr="004457FD">
        <w:t>Klinik öncesi, klinik ve epidemiyolojik çalışmalardan elde edilen önemli kanıtlar, esrar (özellikle THC-baskın esrar) ile psikoz ve şizofreni riskinin artması arasında, özellikle bu tür bozukluklara yatkınlığı olan ve ilk kez ergenlik döneminde kullanan kişilerde bir ilişkiyi desteklemektedir.</w:t>
      </w:r>
    </w:p>
    <w:p w:rsidR="00B82090" w:rsidRPr="000A4175" w:rsidRDefault="000A4175" w:rsidP="00B019B1">
      <w:pPr>
        <w:pStyle w:val="NormalWeb"/>
        <w:shd w:val="clear" w:color="auto" w:fill="FFFFFF"/>
        <w:spacing w:before="0" w:beforeAutospacing="0"/>
        <w:ind w:left="567"/>
        <w:rPr>
          <w:b/>
          <w:color w:val="C00000"/>
          <w:sz w:val="28"/>
          <w:szCs w:val="28"/>
        </w:rPr>
      </w:pPr>
      <w:r w:rsidRPr="000A4175">
        <w:rPr>
          <w:b/>
          <w:color w:val="C00000"/>
          <w:sz w:val="28"/>
          <w:szCs w:val="28"/>
        </w:rPr>
        <w:t>Bağımlılık Hususları</w:t>
      </w:r>
    </w:p>
    <w:p w:rsidR="00B019B1" w:rsidRDefault="003E5E82" w:rsidP="00B019B1">
      <w:pPr>
        <w:pStyle w:val="NormalWeb"/>
        <w:shd w:val="clear" w:color="auto" w:fill="FFFFFF"/>
        <w:spacing w:before="0" w:beforeAutospacing="0"/>
        <w:ind w:left="567"/>
      </w:pPr>
      <w:r w:rsidRPr="003E5E82">
        <w:t>Esrar kullanımı bağımlılık yapma potansiyeline sahiptir ve esrar kullanım bozukluğunun (CUD</w:t>
      </w:r>
      <w:r>
        <w:t xml:space="preserve"> [</w:t>
      </w:r>
      <w:r w:rsidRPr="003E5E82">
        <w:rPr>
          <w:i/>
        </w:rPr>
        <w:t>cannabis use disorder</w:t>
      </w:r>
      <w:r>
        <w:t xml:space="preserve">] </w:t>
      </w:r>
      <w:r w:rsidRPr="003E5E82">
        <w:t>) gelişimi ile ilişkilidir.</w:t>
      </w:r>
    </w:p>
    <w:p w:rsidR="003E5E82" w:rsidRDefault="003E5E82" w:rsidP="003E5E82">
      <w:pPr>
        <w:pStyle w:val="NormalWeb"/>
        <w:numPr>
          <w:ilvl w:val="0"/>
          <w:numId w:val="2"/>
        </w:numPr>
        <w:shd w:val="clear" w:color="auto" w:fill="FFFFFF"/>
        <w:spacing w:before="0" w:beforeAutospacing="0"/>
      </w:pPr>
      <w:r w:rsidRPr="003E5E82">
        <w:t>Kullanıcıların ≈ %9'unda, ergenlikte kullanmaya başlayanların %17'sinde ve günlük kullananların %25 ila %50'sinde esrar bağımlılığı bildirilmiştir.</w:t>
      </w:r>
    </w:p>
    <w:p w:rsidR="003E5E82" w:rsidRDefault="003E5E82" w:rsidP="0088194E">
      <w:pPr>
        <w:pStyle w:val="NormalWeb"/>
        <w:shd w:val="clear" w:color="auto" w:fill="FFFFFF"/>
        <w:ind w:left="360"/>
      </w:pPr>
      <w:r w:rsidRPr="003E5E82">
        <w:lastRenderedPageBreak/>
        <w:t xml:space="preserve">Diğer madde kullanım bozukluklarına benzer şekilde, CUD'lu bireyler, tüketim ve fiziksel bağımlılık üzerinde kontrol bozukluğu ile ilgili </w:t>
      </w:r>
      <w:proofErr w:type="gramStart"/>
      <w:r w:rsidRPr="003E5E82">
        <w:t>semptomlar</w:t>
      </w:r>
      <w:proofErr w:type="gramEnd"/>
      <w:r w:rsidRPr="003E5E82">
        <w:t xml:space="preserve"> gösterirler. Alkol ve İlgili Durumlar Ulusal Epidemiyolojik Araştırması verilerini kullanan Hasin ve arkadaşları, geçmiş yıl esrar kullanan 10 kişiden 3'ünün CUD </w:t>
      </w:r>
      <w:proofErr w:type="gramStart"/>
      <w:r w:rsidRPr="003E5E82">
        <w:t>kriterlerini</w:t>
      </w:r>
      <w:proofErr w:type="gramEnd"/>
      <w:r w:rsidRPr="003E5E82">
        <w:t xml:space="preserve"> karşıladığını ve %30 CUD prevalansının alkol kullanım bozukluğu prevalansından (%17,5) daha yüksek olduğunu bildirmiştir.</w:t>
      </w:r>
      <w:r w:rsidR="000238D1" w:rsidRPr="000238D1">
        <w:t xml:space="preserve"> Epidemiyolojik araştırmalara göre, CUD için risk faktörleri arasında daha yüksek yenilebilir tüketim ve buharlaşma oranları, daha yüksek THC gücü ve daha düşük CBD içeriği ve başlangıçta daha genç yaş yer alır.</w:t>
      </w:r>
      <w:r w:rsidR="0088194E" w:rsidRPr="0088194E">
        <w:t xml:space="preserve"> Bununla birlikte, CUD prevalansı daha yüksek olabilir, çünkü mevcut tahminler kişinin kendi bildirdiği anket ve görüşme verilerine dayanmaktadır ve daha eski Mental Bozuklukların Teşhis ve İstatistik El Kitabı, Dördüncü Baskı </w:t>
      </w:r>
      <w:r w:rsidR="0088194E">
        <w:t>(</w:t>
      </w:r>
      <w:r w:rsidR="0088194E" w:rsidRPr="0088194E">
        <w:rPr>
          <w:i/>
        </w:rPr>
        <w:t>Diagnostic and Statistical Manual of Mental Disorders, Fourth Edition</w:t>
      </w:r>
      <w:r w:rsidR="0088194E">
        <w:t xml:space="preserve">) </w:t>
      </w:r>
      <w:proofErr w:type="gramStart"/>
      <w:r w:rsidR="0088194E" w:rsidRPr="0088194E">
        <w:t>kriterlerini</w:t>
      </w:r>
      <w:proofErr w:type="gramEnd"/>
      <w:r w:rsidR="0088194E" w:rsidRPr="0088194E">
        <w:t xml:space="preserve"> kullanabilir.</w:t>
      </w:r>
      <w:r w:rsidR="00F02AF2" w:rsidRPr="00F02AF2">
        <w:t xml:space="preserve"> Bu nedenle, kullanılan CUD tanımı, istek duyma veya esrarın geri çekilmesini içermeyebilir.</w:t>
      </w:r>
    </w:p>
    <w:p w:rsidR="000921FD" w:rsidRDefault="000921FD" w:rsidP="000921FD">
      <w:pPr>
        <w:pStyle w:val="NormalWeb"/>
        <w:numPr>
          <w:ilvl w:val="0"/>
          <w:numId w:val="2"/>
        </w:numPr>
        <w:shd w:val="clear" w:color="auto" w:fill="FFFFFF"/>
      </w:pPr>
      <w:r w:rsidRPr="000921FD">
        <w:t>Sınırlı veri olmasına rağmen, özellikle ergenlikte düzenli esrar kullanımı, genç yetişkinlikte yasa dışı uyuşturucu kullanımına, zararlı alkol tüketimine ve nikotin bağımlılığına bir geçit görevi görebilir. Ayrıca, bu ilişki özellikle ergenlerde ve genç erişkinlerde çift yönlü olabilir.</w:t>
      </w:r>
    </w:p>
    <w:p w:rsidR="00A851C0" w:rsidRDefault="00A851C0" w:rsidP="00A851C0">
      <w:pPr>
        <w:pStyle w:val="NormalWeb"/>
        <w:shd w:val="clear" w:color="auto" w:fill="FFFFFF"/>
        <w:rPr>
          <w:b/>
          <w:color w:val="C00000"/>
          <w:sz w:val="32"/>
          <w:szCs w:val="32"/>
        </w:rPr>
      </w:pPr>
      <w:r w:rsidRPr="00A851C0">
        <w:rPr>
          <w:b/>
          <w:color w:val="C00000"/>
          <w:sz w:val="32"/>
          <w:szCs w:val="32"/>
        </w:rPr>
        <w:t xml:space="preserve">İlaç- İlaç </w:t>
      </w:r>
      <w:r>
        <w:rPr>
          <w:b/>
          <w:color w:val="C00000"/>
          <w:sz w:val="32"/>
          <w:szCs w:val="32"/>
        </w:rPr>
        <w:t>etkileşimleri</w:t>
      </w:r>
    </w:p>
    <w:p w:rsidR="00A851C0" w:rsidRDefault="00A851C0" w:rsidP="00A851C0">
      <w:pPr>
        <w:pStyle w:val="NormalWeb"/>
        <w:shd w:val="clear" w:color="auto" w:fill="FFFFFF"/>
      </w:pPr>
      <w:r w:rsidRPr="00A851C0">
        <w:t xml:space="preserve">Ürünler, </w:t>
      </w:r>
      <w:r w:rsidR="00C36600">
        <w:t>etkileri</w:t>
      </w:r>
      <w:r w:rsidRPr="00A851C0">
        <w:t>, THC ve CBD oranları, dozlar, uygulama yolları ve kanabinoid kullanan popülasyonlardaki geniş değişkenlik göz önüne alındığında, esrar ile ilaç etkileşimlerinin</w:t>
      </w:r>
      <w:r>
        <w:t xml:space="preserve"> klinik öneme </w:t>
      </w:r>
      <w:proofErr w:type="gramStart"/>
      <w:r>
        <w:t xml:space="preserve">göre </w:t>
      </w:r>
      <w:r w:rsidRPr="00A851C0">
        <w:t xml:space="preserve"> </w:t>
      </w:r>
      <w:r>
        <w:t>anlamlı</w:t>
      </w:r>
      <w:proofErr w:type="gramEnd"/>
      <w:r>
        <w:t xml:space="preserve"> </w:t>
      </w:r>
      <w:r w:rsidRPr="00A851C0">
        <w:t>farklılık göstermesi beklenebilir.</w:t>
      </w:r>
      <w:r w:rsidR="00C36600" w:rsidRPr="00C36600">
        <w:t xml:space="preserve"> Bununla birlikte, birçok etkileşim, kanabinoidin ve olası eş zamanlı ilacın farmakokinetiği tarafından tahmin edilebilir (</w:t>
      </w:r>
      <w:r w:rsidR="00C36600" w:rsidRPr="00C36600">
        <w:rPr>
          <w:b/>
          <w:i/>
          <w:color w:val="C00000"/>
          <w:u w:val="single"/>
        </w:rPr>
        <w:t>Tablo 1</w:t>
      </w:r>
      <w:r w:rsidR="00C36600" w:rsidRPr="00C36600">
        <w:t>)</w:t>
      </w:r>
      <w:r w:rsidR="00C36600">
        <w:t>.</w:t>
      </w:r>
    </w:p>
    <w:p w:rsidR="00C36600" w:rsidRDefault="00C36600" w:rsidP="00A851C0">
      <w:pPr>
        <w:pStyle w:val="NormalWeb"/>
        <w:shd w:val="clear" w:color="auto" w:fill="FFFFFF"/>
      </w:pPr>
      <w:r w:rsidRPr="00C36600">
        <w:t>İn vitro deneyler, THC'nin CYP (sitokrom P450) 3A4/4, CYP2C9, CYP2C19 ve CYP2D6'yı inhibe etme potansiyeline sahip olduğ</w:t>
      </w:r>
      <w:r>
        <w:t xml:space="preserve">unu düşündürmektedir; oysa </w:t>
      </w:r>
      <w:r w:rsidRPr="00C36600">
        <w:t>CBD ayrıca CYP3A4/5, CYP2C19, CP2D6 ve CYP1A2'yi inhibe etme potansiyeline sahiptir.</w:t>
      </w:r>
      <w:r w:rsidR="00DA203D" w:rsidRPr="00DA203D">
        <w:t xml:space="preserve"> tetrahidrokanabinol, özellikle tütsülenmiş esrar ile CYP1A2'yi indükleyebilir</w:t>
      </w:r>
      <w:r w:rsidR="00DA203D">
        <w:t>.</w:t>
      </w:r>
    </w:p>
    <w:p w:rsidR="00DA203D" w:rsidRPr="00A851C0" w:rsidRDefault="00DA203D" w:rsidP="00A851C0">
      <w:pPr>
        <w:pStyle w:val="NormalWeb"/>
        <w:shd w:val="clear" w:color="auto" w:fill="FFFFFF"/>
      </w:pPr>
      <w:r w:rsidRPr="00DA203D">
        <w:t>Klinik öncesi ve hayvan verileri, kannabinoidlerin BCRP (göğüs kanserine dirençli protein) ve p-glikoprotein aktivitesi gibi sistemik taşıma proteinlerini inhibe edebildiğini, protein ekspresyonunu azaltabildiğini göstermektedir. P-glikoproteinin ve BCRP'nin protein ekspresyonunu arttırır</w:t>
      </w:r>
      <w:r>
        <w:t>.</w:t>
      </w:r>
      <w:r w:rsidR="00D3064F" w:rsidRPr="00D3064F">
        <w:t xml:space="preserve"> Bununla birlikte, kullanılan </w:t>
      </w:r>
      <w:proofErr w:type="gramStart"/>
      <w:r w:rsidR="00D3064F" w:rsidRPr="00D3064F">
        <w:t>konsantrasyonlar</w:t>
      </w:r>
      <w:proofErr w:type="gramEnd"/>
      <w:r w:rsidR="00D3064F" w:rsidRPr="00D3064F">
        <w:t>, muhtemelen insanlarda gözlemlenen sistemik konsantrasyonları büyük ölçüde aşmıştır; bu da, kannabinoidlerle sistemik taşıyıcı aracılı</w:t>
      </w:r>
      <w:r w:rsidR="00D3064F">
        <w:t xml:space="preserve"> ilaç (</w:t>
      </w:r>
      <w:r w:rsidR="00D3064F" w:rsidRPr="00D3064F">
        <w:rPr>
          <w:i/>
        </w:rPr>
        <w:t>transporter-mediated drug</w:t>
      </w:r>
      <w:r w:rsidR="00D3064F">
        <w:t xml:space="preserve">) </w:t>
      </w:r>
      <w:r w:rsidR="00D3064F" w:rsidRPr="00D3064F">
        <w:t xml:space="preserve"> etkileşiminin olası olmadığını düşündürmektedir.</w:t>
      </w:r>
      <w:r w:rsidR="00EF13C4" w:rsidRPr="00EF13C4">
        <w:t xml:space="preserve"> Epidiolex ile yapılan farmakokinetik çalışmalar, CBD'nin P-glikoprotein veya OATP1B1 veya OATP1B2 gibi OATP'lerin bir substratı veya inhibitörü olmadığını, ancak UDP-glukuronosiltransferaz1A9 ve 2B7'nin bir inhibitörü olduğunu göstermektedir.</w:t>
      </w:r>
      <w:r w:rsidR="00A002CE" w:rsidRPr="00A002CE">
        <w:t xml:space="preserve"> </w:t>
      </w:r>
      <w:r w:rsidR="00A002CE" w:rsidRPr="00A002CE">
        <w:rPr>
          <w:b/>
          <w:i/>
          <w:color w:val="C00000"/>
          <w:u w:val="single"/>
        </w:rPr>
        <w:t>Tablo 4</w:t>
      </w:r>
      <w:r w:rsidR="00A002CE" w:rsidRPr="00A002CE">
        <w:t>, hem fitokanabinoidler hem de sentetik kanabinoidler ile bilinen ve potansiyel ilaç-ilaç etkileşimlerini özetlemektedir.</w:t>
      </w:r>
    </w:p>
    <w:p w:rsidR="00BF3DA1" w:rsidRPr="00243633" w:rsidRDefault="0004388A" w:rsidP="00A851C0">
      <w:pPr>
        <w:pStyle w:val="NormalWeb"/>
        <w:shd w:val="clear" w:color="auto" w:fill="FFFFFF"/>
        <w:rPr>
          <w:b/>
          <w:color w:val="C00000"/>
          <w:sz w:val="32"/>
          <w:szCs w:val="32"/>
        </w:rPr>
      </w:pPr>
      <w:r w:rsidRPr="00243633">
        <w:rPr>
          <w:b/>
          <w:color w:val="C00000"/>
          <w:sz w:val="32"/>
          <w:szCs w:val="32"/>
        </w:rPr>
        <w:t xml:space="preserve">ÖZEL POPULASYONLARDA </w:t>
      </w:r>
    </w:p>
    <w:p w:rsidR="00BF3DA1" w:rsidRPr="00243633" w:rsidRDefault="00BF3DA1" w:rsidP="00A851C0">
      <w:pPr>
        <w:pStyle w:val="NormalWeb"/>
        <w:shd w:val="clear" w:color="auto" w:fill="FFFFFF"/>
        <w:rPr>
          <w:b/>
          <w:color w:val="C00000"/>
          <w:sz w:val="32"/>
          <w:szCs w:val="32"/>
        </w:rPr>
      </w:pPr>
      <w:r w:rsidRPr="00243633">
        <w:rPr>
          <w:b/>
          <w:color w:val="C00000"/>
          <w:sz w:val="32"/>
          <w:szCs w:val="32"/>
        </w:rPr>
        <w:t>DİKKAT EDİLMESİ GEREKENLER</w:t>
      </w:r>
    </w:p>
    <w:p w:rsidR="0004388A" w:rsidRDefault="0004388A" w:rsidP="00A851C0">
      <w:pPr>
        <w:pStyle w:val="NormalWeb"/>
        <w:shd w:val="clear" w:color="auto" w:fill="FFFFFF"/>
        <w:rPr>
          <w:b/>
          <w:color w:val="C00000"/>
          <w:sz w:val="32"/>
          <w:szCs w:val="32"/>
        </w:rPr>
      </w:pPr>
      <w:r>
        <w:rPr>
          <w:b/>
          <w:color w:val="C00000"/>
          <w:sz w:val="32"/>
          <w:szCs w:val="32"/>
        </w:rPr>
        <w:t>Genç Erişkinler</w:t>
      </w:r>
    </w:p>
    <w:p w:rsidR="0004388A" w:rsidRDefault="0004388A" w:rsidP="00A851C0">
      <w:pPr>
        <w:pStyle w:val="NormalWeb"/>
        <w:shd w:val="clear" w:color="auto" w:fill="FFFFFF"/>
      </w:pPr>
      <w:r w:rsidRPr="0004388A">
        <w:lastRenderedPageBreak/>
        <w:t xml:space="preserve">Esrar, nikotin dışında, dünya çapında ergenler tarafından en sık kullanılan </w:t>
      </w:r>
      <w:r>
        <w:t>suiistimal (‘</w:t>
      </w:r>
      <w:r w:rsidRPr="0004388A">
        <w:rPr>
          <w:i/>
        </w:rPr>
        <w:t>abuse</w:t>
      </w:r>
      <w:r>
        <w:t>’- müptela olma)</w:t>
      </w:r>
      <w:r w:rsidRPr="0004388A">
        <w:t xml:space="preserve"> maddesidir.</w:t>
      </w:r>
    </w:p>
    <w:p w:rsidR="0004388A" w:rsidRDefault="0004388A" w:rsidP="00A851C0">
      <w:pPr>
        <w:pStyle w:val="NormalWeb"/>
        <w:shd w:val="clear" w:color="auto" w:fill="FFFFFF"/>
      </w:pPr>
      <w:r w:rsidRPr="0004388A">
        <w:t xml:space="preserve">Tipik olarak 16 ila 18 yaşından önce başlayan kullanım olarak tanımlanan </w:t>
      </w:r>
      <w:r>
        <w:t>“</w:t>
      </w:r>
      <w:r w:rsidRPr="0004388A">
        <w:t>erken başlangıçlı kullanım</w:t>
      </w:r>
      <w:r>
        <w:t>”</w:t>
      </w:r>
      <w:r w:rsidRPr="0004388A">
        <w:t xml:space="preserve">, daha zayıf sürekli dikkat, azalmış genel veya sözel </w:t>
      </w:r>
      <w:proofErr w:type="gramStart"/>
      <w:r w:rsidRPr="0004388A">
        <w:t>zeka</w:t>
      </w:r>
      <w:proofErr w:type="gramEnd"/>
      <w:r w:rsidRPr="0004388A">
        <w:t xml:space="preserve"> bölümü ve daha kötü yönetici işlev raporları ile ilişkilendirilmiştir.</w:t>
      </w:r>
    </w:p>
    <w:p w:rsidR="0004388A" w:rsidRDefault="0004388A" w:rsidP="0004388A">
      <w:pPr>
        <w:pStyle w:val="NormalWeb"/>
        <w:numPr>
          <w:ilvl w:val="0"/>
          <w:numId w:val="2"/>
        </w:numPr>
        <w:shd w:val="clear" w:color="auto" w:fill="FFFFFF"/>
      </w:pPr>
      <w:r w:rsidRPr="0004388A">
        <w:t>Nörogörüntüleme kullanan çok sayıda çalışma, ergenlik döneminde düzenli esrar kullanımının kortikal gri cevher gelişiminde değişiklik ve beyaz cevher miyelinasyonunda azalma gibi yapısal değişikliklere yol açabileceğini düşündürmektedir.</w:t>
      </w:r>
    </w:p>
    <w:p w:rsidR="0033492B" w:rsidRDefault="0033492B" w:rsidP="0033492B">
      <w:pPr>
        <w:pStyle w:val="NormalWeb"/>
        <w:shd w:val="clear" w:color="auto" w:fill="FFFFFF"/>
      </w:pPr>
      <w:r w:rsidRPr="0033492B">
        <w:t xml:space="preserve">Yaşlı yetişkinlerde yapılan küçük gözlemsel çalışmalar, esrar kullanımıyla depresyon ve anksiyete gibi afektif </w:t>
      </w:r>
      <w:proofErr w:type="gramStart"/>
      <w:r w:rsidRPr="0033492B">
        <w:t>semptomlarda</w:t>
      </w:r>
      <w:proofErr w:type="gramEnd"/>
      <w:r w:rsidRPr="0033492B">
        <w:t xml:space="preserve"> iyileşme bildirmiş olsa da, ergenler ve genç yetişkinlerdeki etkiler daha az nettir.</w:t>
      </w:r>
    </w:p>
    <w:p w:rsidR="00587B65" w:rsidRDefault="00587B65" w:rsidP="0033492B">
      <w:pPr>
        <w:pStyle w:val="NormalWeb"/>
        <w:shd w:val="clear" w:color="auto" w:fill="FFFFFF"/>
      </w:pPr>
      <w:r w:rsidRPr="00587B65">
        <w:t>23.317 kişiyi içeren 11 çalışmanın yakın tarihli bir meta-analizi, ergenlikten genç yetişkinliğe kadar farklı zaman noktalarında esrar kullanımı ve depresyonu değerlendirdi.</w:t>
      </w:r>
    </w:p>
    <w:p w:rsidR="00587B65" w:rsidRDefault="00587B65" w:rsidP="00587B65">
      <w:pPr>
        <w:pStyle w:val="NormalWeb"/>
        <w:numPr>
          <w:ilvl w:val="0"/>
          <w:numId w:val="2"/>
        </w:numPr>
        <w:shd w:val="clear" w:color="auto" w:fill="FFFFFF"/>
      </w:pPr>
      <w:r w:rsidRPr="00587B65">
        <w:t>Depresyon (olasılık oranı [OR], 1,37 [%95 GA, 1,16–1,62]), intihar düşüncesi (OR, 1,5 [%95 GA, 1,11–2,03]) ve intihar girişimi (OR, 3,46 [95]) geliştirme olasılığı %CI, 1,53–7,84]</w:t>
      </w:r>
      <w:proofErr w:type="gramStart"/>
      <w:r w:rsidRPr="00587B65">
        <w:t>)</w:t>
      </w:r>
      <w:proofErr w:type="gramEnd"/>
      <w:r w:rsidRPr="00587B65">
        <w:t xml:space="preserve"> esrar kullanıcıları için kullanmayanlara kıyasla daha yüksekti</w:t>
      </w:r>
      <w:r>
        <w:t>.</w:t>
      </w:r>
    </w:p>
    <w:p w:rsidR="00FD71A0" w:rsidRDefault="00FD71A0" w:rsidP="00FD71A0">
      <w:pPr>
        <w:pStyle w:val="NormalWeb"/>
        <w:shd w:val="clear" w:color="auto" w:fill="FFFFFF"/>
      </w:pPr>
      <w:r w:rsidRPr="00FD71A0">
        <w:t xml:space="preserve">Avrupa'da yapılan bir vaka kontrol çalışmasında, günlük esrar kullanımı, hiç kullanmayanlara kıyasla artan psikotik bozukluk olasılığıyla ilişkilendirilmiştir (düzeltilmiş OR, 3,2 [%95 GA, düşük etkili esrar (THC &lt;%10; düzeltilmiş OR, 3,2 [%95 GA, 3,0–16,1]) ile karşılaştırıldığında, yüksek etkili esrar türlerinin (THC ≥%10) günlük kullanımı için yaklaşık 5 </w:t>
      </w:r>
      <w:proofErr w:type="gramStart"/>
      <w:r w:rsidRPr="00FD71A0">
        <w:t>kat</w:t>
      </w:r>
      <w:r>
        <w:t>a  kadar</w:t>
      </w:r>
      <w:proofErr w:type="gramEnd"/>
      <w:r w:rsidRPr="00FD71A0">
        <w:t xml:space="preserve"> artan OR'ler</w:t>
      </w:r>
      <w:r>
        <w:t>2,2–4,1]).</w:t>
      </w:r>
      <w:r w:rsidRPr="00FD71A0">
        <w:t xml:space="preserve"> Ancak, bu çalışma genetik ve çevresel faktörleri hesaba katmamıştır.</w:t>
      </w:r>
    </w:p>
    <w:p w:rsidR="0004388A" w:rsidRPr="006C0795" w:rsidRDefault="003660C7" w:rsidP="00A851C0">
      <w:pPr>
        <w:pStyle w:val="NormalWeb"/>
        <w:shd w:val="clear" w:color="auto" w:fill="FFFFFF"/>
      </w:pPr>
      <w:proofErr w:type="gramStart"/>
      <w:r>
        <w:t xml:space="preserve">Son olarak, </w:t>
      </w:r>
      <w:r w:rsidRPr="003660C7">
        <w:t>Davranışsal Ri</w:t>
      </w:r>
      <w:r>
        <w:t xml:space="preserve">sk Faktörü Gözetim Sistemi ( </w:t>
      </w:r>
      <w:r w:rsidRPr="003660C7">
        <w:rPr>
          <w:i/>
        </w:rPr>
        <w:t>Behavioral Risk Factor Surveillance System</w:t>
      </w:r>
      <w:r>
        <w:rPr>
          <w:i/>
        </w:rPr>
        <w:t>)</w:t>
      </w:r>
      <w:r>
        <w:t>’den</w:t>
      </w:r>
      <w:r>
        <w:rPr>
          <w:i/>
        </w:rPr>
        <w:t xml:space="preserve"> </w:t>
      </w:r>
      <w:r w:rsidRPr="003660C7">
        <w:t>yapılan bir analizde Parekh ve arkadaşları, kullanmayanlarla karşılaştırıldığında,</w:t>
      </w:r>
      <w:r>
        <w:t xml:space="preserve"> </w:t>
      </w:r>
      <w:r w:rsidRPr="003660C7">
        <w:t xml:space="preserve">genç esrar kullanıcılarında (yaş, 18-44; düzeltilmiş OR,1,82[%95CI, 1,08–3,10]) </w:t>
      </w:r>
      <w:r>
        <w:t xml:space="preserve">, </w:t>
      </w:r>
      <w:r w:rsidRPr="003660C7">
        <w:t>sık kullanıcılar arası</w:t>
      </w:r>
      <w:r>
        <w:t>nda daha da yüksek OR ile (&gt;10 gün</w:t>
      </w:r>
      <w:r w:rsidRPr="003660C7">
        <w:t>/ay; düzeltilmi</w:t>
      </w:r>
      <w:r>
        <w:t xml:space="preserve">ş OR, 2,45 [%95 GA, 1,31–4,60]) </w:t>
      </w:r>
      <w:r w:rsidRPr="003660C7">
        <w:t>önemli ölçüde daha yüksek inme olasılığı buldu.</w:t>
      </w:r>
      <w:proofErr w:type="gramEnd"/>
    </w:p>
    <w:p w:rsidR="00A851C0" w:rsidRPr="00E05167" w:rsidRDefault="00E05167" w:rsidP="00A851C0">
      <w:pPr>
        <w:pStyle w:val="NormalWeb"/>
        <w:shd w:val="clear" w:color="auto" w:fill="FFFFFF"/>
        <w:rPr>
          <w:b/>
          <w:color w:val="C00000"/>
          <w:sz w:val="32"/>
          <w:szCs w:val="32"/>
        </w:rPr>
      </w:pPr>
      <w:r w:rsidRPr="00E05167">
        <w:rPr>
          <w:b/>
          <w:color w:val="C00000"/>
          <w:sz w:val="32"/>
          <w:szCs w:val="32"/>
        </w:rPr>
        <w:t>Hamile Kadınlar</w:t>
      </w:r>
    </w:p>
    <w:p w:rsidR="00A851C0" w:rsidRDefault="006C0795" w:rsidP="00A851C0">
      <w:pPr>
        <w:pStyle w:val="NormalWeb"/>
        <w:shd w:val="clear" w:color="auto" w:fill="FFFFFF"/>
      </w:pPr>
      <w:r w:rsidRPr="006C0795">
        <w:t>Tetrahidrokanabinol, anne kan akışı yoluyla cenin beynine girerek hem fetüste hem de annede endojen endokannabinoid sistemde bozulmaya yol açabilir.</w:t>
      </w:r>
      <w:r w:rsidR="009909A1" w:rsidRPr="009909A1">
        <w:t xml:space="preserve"> T</w:t>
      </w:r>
      <w:r w:rsidR="009909A1">
        <w:t xml:space="preserve">ıbbi ve eğlence </w:t>
      </w:r>
      <w:proofErr w:type="gramStart"/>
      <w:r w:rsidR="009909A1">
        <w:t xml:space="preserve">amaçlı </w:t>
      </w:r>
      <w:r w:rsidR="009909A1" w:rsidRPr="009909A1">
        <w:t xml:space="preserve"> </w:t>
      </w:r>
      <w:r w:rsidR="009909A1">
        <w:t>cannabis’in</w:t>
      </w:r>
      <w:proofErr w:type="gramEnd"/>
      <w:r w:rsidR="009909A1">
        <w:t xml:space="preserve"> </w:t>
      </w:r>
      <w:r w:rsidR="009909A1" w:rsidRPr="009909A1">
        <w:t>yasal olduğu bir eyalette doğum öncesi</w:t>
      </w:r>
      <w:r w:rsidR="009909A1">
        <w:t xml:space="preserve"> (prenatal)</w:t>
      </w:r>
      <w:r w:rsidR="009909A1" w:rsidRPr="009909A1">
        <w:t xml:space="preserve"> ve doğum sonrası</w:t>
      </w:r>
      <w:r w:rsidR="009909A1">
        <w:t xml:space="preserve"> (postnatal)</w:t>
      </w:r>
      <w:r w:rsidR="009909A1" w:rsidRPr="009909A1">
        <w:t xml:space="preserve"> erken dönem esrar kullanımına ilişkin eyalet düzeyindeki yaygınlık tahminlerini değerlendiren bir çalışma, hamilelik sırasında herhangi bir zamanda esrar kullanımına ilişkin kendileri tarafından bildirilen yaygınlığın %5,7±0,5 olduğunu ve erken </w:t>
      </w:r>
      <w:r w:rsidR="009909A1">
        <w:t xml:space="preserve">doğum sonrası </w:t>
      </w:r>
      <w:r w:rsidR="009909A1" w:rsidRPr="009909A1">
        <w:t>emziren kadınlar a</w:t>
      </w:r>
      <w:r w:rsidR="009909A1">
        <w:t xml:space="preserve">rasında </w:t>
      </w:r>
      <w:r w:rsidR="009909A1" w:rsidRPr="009909A1">
        <w:t xml:space="preserve"> esrar kullanımı </w:t>
      </w:r>
      <w:r w:rsidR="009909A1">
        <w:t>%5,0 idi</w:t>
      </w:r>
      <w:r w:rsidR="009909A1" w:rsidRPr="009909A1">
        <w:t xml:space="preserve"> (%95 GA, 4,1–6,2)</w:t>
      </w:r>
      <w:r w:rsidR="009909A1">
        <w:t>.</w:t>
      </w:r>
    </w:p>
    <w:p w:rsidR="009909A1" w:rsidRDefault="009909A1" w:rsidP="009909A1">
      <w:pPr>
        <w:pStyle w:val="NormalWeb"/>
        <w:numPr>
          <w:ilvl w:val="0"/>
          <w:numId w:val="2"/>
        </w:numPr>
        <w:shd w:val="clear" w:color="auto" w:fill="FFFFFF"/>
      </w:pPr>
      <w:r w:rsidRPr="009909A1">
        <w:t xml:space="preserve">Doğum öncesi esrar kullanımı, anne yaşı, ırk/etnik köken, eğitim düzeyi ve gebelik sırasında tütün kullanımından bağımsız olarak %50 oranında artan düşük doğum ağırlığı olasılığı ile ilişkilendirilmiştir (OR, </w:t>
      </w:r>
      <w:proofErr w:type="gramStart"/>
      <w:r w:rsidRPr="009909A1">
        <w:t>1.5</w:t>
      </w:r>
      <w:proofErr w:type="gramEnd"/>
      <w:r w:rsidRPr="009909A1">
        <w:t xml:space="preserve"> [%95 GA, 1.1–2.1]; P=0.02)</w:t>
      </w:r>
      <w:r w:rsidR="00B066E8">
        <w:t>.</w:t>
      </w:r>
    </w:p>
    <w:p w:rsidR="00B066E8" w:rsidRDefault="00B066E8" w:rsidP="00B066E8">
      <w:pPr>
        <w:pStyle w:val="NormalWeb"/>
        <w:shd w:val="clear" w:color="auto" w:fill="FFFFFF"/>
      </w:pPr>
      <w:r w:rsidRPr="00B066E8">
        <w:lastRenderedPageBreak/>
        <w:t>Doğum öncesi esrar maruziyeti ile anne ve çocuk sağlığı sonuçlarına ilişkin sistematik bir gözden geçirme ve meta-analiz, gebelik sırasında esrar kullanan kadınlarda anemi olasılığının (OR, 1,36 [%95 GA,1,10–1,69]) hamilelik sıra</w:t>
      </w:r>
      <w:r>
        <w:t xml:space="preserve">sında esrar </w:t>
      </w:r>
      <w:proofErr w:type="gramStart"/>
      <w:r>
        <w:t xml:space="preserve">kullanmayan  </w:t>
      </w:r>
      <w:r w:rsidRPr="00B066E8">
        <w:t>diğer</w:t>
      </w:r>
      <w:proofErr w:type="gramEnd"/>
      <w:r w:rsidRPr="00B066E8">
        <w:t xml:space="preserve"> kadınlara kıyasla daha yüksek olduğunu göstermiştir. Benzer şekilde, anneleri hamilelik sırasında esrar kullanmayan bebeklerle karşılaştırıldığında, rahimde esrara maruz kalan bebeklerde düşük doğum ağırlığı riski daha yüksekti (OR,1,77 [%95 GA, 1,04–3,01]; doğum ağırlığı için birleştirilmiş ortalama fark,109,42) g [sırasıyla %95 GA, 38,72–180,12]</w:t>
      </w:r>
      <w:proofErr w:type="gramStart"/>
      <w:r w:rsidRPr="00B066E8">
        <w:t>)</w:t>
      </w:r>
      <w:proofErr w:type="gramEnd"/>
      <w:r>
        <w:t>.</w:t>
      </w:r>
    </w:p>
    <w:p w:rsidR="0061346F" w:rsidRDefault="0061346F" w:rsidP="0061346F">
      <w:pPr>
        <w:pStyle w:val="NormalWeb"/>
        <w:numPr>
          <w:ilvl w:val="0"/>
          <w:numId w:val="2"/>
        </w:numPr>
        <w:shd w:val="clear" w:color="auto" w:fill="FFFFFF"/>
      </w:pPr>
      <w:r w:rsidRPr="0061346F">
        <w:t>Tetrahidrokanabinol ayrıca anne sütünde son kaydedilen kullanımdan sonra 6 güne kadar bulunmuştur, potansiyel olarak yenidoğanın beyin gelişimini etkiler ve hiperaktivite, zayıf bilişsel işlev ve diğer uzun vadeli sonuçlara neden olur.</w:t>
      </w:r>
    </w:p>
    <w:p w:rsidR="0061346F" w:rsidRDefault="0061346F" w:rsidP="0061346F">
      <w:pPr>
        <w:pStyle w:val="NormalWeb"/>
        <w:shd w:val="clear" w:color="auto" w:fill="FFFFFF"/>
      </w:pPr>
      <w:r w:rsidRPr="0061346F">
        <w:t>Ulusal</w:t>
      </w:r>
      <w:r w:rsidR="00273C61">
        <w:t xml:space="preserve"> Bilim Akademileri raporu</w:t>
      </w:r>
      <w:r w:rsidRPr="0061346F">
        <w:t xml:space="preserve"> kesin kanıt eksikliği</w:t>
      </w:r>
      <w:r w:rsidR="00273C61">
        <w:t>ne göre</w:t>
      </w:r>
      <w:r w:rsidRPr="0061346F">
        <w:t>, özellikle</w:t>
      </w:r>
      <w:r w:rsidR="00273C61">
        <w:t xml:space="preserve"> hamile kadınlar gibi hassas (vulnerable)</w:t>
      </w:r>
      <w:r w:rsidRPr="0061346F">
        <w:t xml:space="preserve"> </w:t>
      </w:r>
      <w:proofErr w:type="gramStart"/>
      <w:r w:rsidRPr="0061346F">
        <w:t>popülasyonlarda</w:t>
      </w:r>
      <w:proofErr w:type="gramEnd"/>
      <w:r w:rsidRPr="0061346F">
        <w:t xml:space="preserve"> esrar kullanımının sağlık üzerindeki etkileri hakkında yetersiz bilgi ile sonuçlanmıştır.</w:t>
      </w:r>
    </w:p>
    <w:p w:rsidR="00807A79" w:rsidRDefault="00807A79" w:rsidP="00807A79">
      <w:pPr>
        <w:pStyle w:val="NormalWeb"/>
        <w:numPr>
          <w:ilvl w:val="0"/>
          <w:numId w:val="2"/>
        </w:numPr>
        <w:shd w:val="clear" w:color="auto" w:fill="FFFFFF"/>
      </w:pPr>
      <w:r w:rsidRPr="00807A79">
        <w:t>American College of Obstetricians and Gynecologists, hamile olan veya hamileliği düşüne</w:t>
      </w:r>
      <w:r>
        <w:t>n kadınların Marihuana</w:t>
      </w:r>
      <w:r w:rsidRPr="00807A79">
        <w:t xml:space="preserve"> kullanımını bırakmaya teşvik edilmesi gerektiğini savunuyor.</w:t>
      </w:r>
    </w:p>
    <w:p w:rsidR="0011626A" w:rsidRDefault="0011626A" w:rsidP="0011626A">
      <w:pPr>
        <w:pStyle w:val="NormalWeb"/>
        <w:shd w:val="clear" w:color="auto" w:fill="FFFFFF"/>
      </w:pPr>
      <w:r w:rsidRPr="0011626A">
        <w:t>Esrar kullandığını bildiren kadınlara, hamilelik sırasında sürekli kullanımın potansiyel olumsuz sağlık sonuçlarıyla ilgili endişeleri konusunda danışılmalıdır.</w:t>
      </w:r>
    </w:p>
    <w:p w:rsidR="006A4A6B" w:rsidRDefault="006A4A6B" w:rsidP="006A4A6B">
      <w:pPr>
        <w:pStyle w:val="NormalWeb"/>
        <w:numPr>
          <w:ilvl w:val="0"/>
          <w:numId w:val="2"/>
        </w:numPr>
        <w:shd w:val="clear" w:color="auto" w:fill="FFFFFF"/>
      </w:pPr>
      <w:r w:rsidRPr="006A4A6B">
        <w:t>2018'de Amerikan Pediatri Akademisi, tüm ergenlere ve genç kadınlara hamile kalmaları halinde hamilelik sırasında esrar kullanılmaması tavsiyesinde bulunulmasını tavsiye etti.</w:t>
      </w:r>
    </w:p>
    <w:p w:rsidR="00243633" w:rsidRDefault="003A67A4" w:rsidP="00243633">
      <w:pPr>
        <w:pStyle w:val="NormalWeb"/>
        <w:numPr>
          <w:ilvl w:val="0"/>
          <w:numId w:val="2"/>
        </w:numPr>
        <w:shd w:val="clear" w:color="auto" w:fill="FFFFFF"/>
      </w:pPr>
      <w:r w:rsidRPr="003A67A4">
        <w:t>Ek olarak, bebeklerin emzirme sırasında annenin esrar kullanımına maruz kalmasının etkilerini değerlendirmek için veriler yetersiz olduğundan, emzirme döneminde annenin esrar kullanması önerilmez.</w:t>
      </w:r>
    </w:p>
    <w:tbl>
      <w:tblPr>
        <w:tblW w:w="8540" w:type="dxa"/>
        <w:tblCellMar>
          <w:top w:w="15" w:type="dxa"/>
          <w:left w:w="15" w:type="dxa"/>
          <w:bottom w:w="15" w:type="dxa"/>
          <w:right w:w="15" w:type="dxa"/>
        </w:tblCellMar>
        <w:tblLook w:val="04A0" w:firstRow="1" w:lastRow="0" w:firstColumn="1" w:lastColumn="0" w:noHBand="0" w:noVBand="1"/>
      </w:tblPr>
      <w:tblGrid>
        <w:gridCol w:w="1118"/>
        <w:gridCol w:w="1543"/>
        <w:gridCol w:w="1574"/>
        <w:gridCol w:w="1611"/>
        <w:gridCol w:w="2622"/>
        <w:gridCol w:w="36"/>
        <w:gridCol w:w="36"/>
      </w:tblGrid>
      <w:tr w:rsidR="00243633" w:rsidRPr="00A31B67" w:rsidTr="00D527BB">
        <w:trPr>
          <w:gridAfter w:val="2"/>
          <w:tblHeader/>
        </w:trPr>
        <w:tc>
          <w:tcPr>
            <w:tcW w:w="0" w:type="auto"/>
            <w:gridSpan w:val="5"/>
            <w:tcBorders>
              <w:top w:val="nil"/>
              <w:left w:val="nil"/>
              <w:bottom w:val="nil"/>
              <w:right w:val="nil"/>
            </w:tcBorders>
            <w:shd w:val="clear" w:color="auto" w:fill="E2EFD9" w:themeFill="accent6" w:themeFillTint="33"/>
            <w:vAlign w:val="center"/>
            <w:hideMark/>
          </w:tcPr>
          <w:p w:rsidR="00243633" w:rsidRDefault="005F3A6E" w:rsidP="00D527BB">
            <w:pPr>
              <w:spacing w:after="100" w:afterAutospacing="1"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C00000"/>
                <w:sz w:val="32"/>
                <w:szCs w:val="32"/>
                <w:lang w:eastAsia="tr-TR"/>
              </w:rPr>
              <w:t>Table 3</w:t>
            </w:r>
            <w:r w:rsidR="00243633" w:rsidRPr="00243633">
              <w:rPr>
                <w:rFonts w:ascii="Times New Roman" w:eastAsia="Times New Roman" w:hAnsi="Times New Roman" w:cs="Times New Roman"/>
                <w:b/>
                <w:bCs/>
                <w:color w:val="C00000"/>
                <w:sz w:val="32"/>
                <w:szCs w:val="32"/>
                <w:lang w:eastAsia="tr-TR"/>
              </w:rPr>
              <w:t>.</w:t>
            </w:r>
            <w:r w:rsidR="00243633" w:rsidRPr="00D47F8B">
              <w:rPr>
                <w:rFonts w:ascii="Times New Roman" w:eastAsia="Times New Roman" w:hAnsi="Times New Roman" w:cs="Times New Roman"/>
                <w:b/>
                <w:bCs/>
                <w:color w:val="C00000"/>
                <w:sz w:val="24"/>
                <w:szCs w:val="24"/>
                <w:lang w:eastAsia="tr-TR"/>
              </w:rPr>
              <w:t> </w:t>
            </w:r>
            <w:r w:rsidR="00243633" w:rsidRPr="004D01DD">
              <w:rPr>
                <w:rFonts w:ascii="Times New Roman" w:eastAsia="Times New Roman" w:hAnsi="Times New Roman" w:cs="Times New Roman"/>
                <w:b/>
                <w:bCs/>
                <w:color w:val="000000"/>
                <w:sz w:val="24"/>
                <w:szCs w:val="24"/>
                <w:lang w:eastAsia="tr-TR"/>
              </w:rPr>
              <w:t>Kannabis İle Potansiyel İlaç-İlaç Etkileşimlerinin Özeti</w:t>
            </w:r>
          </w:p>
          <w:p w:rsidR="00243633" w:rsidRPr="004D01DD" w:rsidRDefault="00243633" w:rsidP="00D527BB">
            <w:pPr>
              <w:spacing w:after="100" w:afterAutospacing="1" w:line="240" w:lineRule="auto"/>
              <w:jc w:val="center"/>
              <w:rPr>
                <w:rFonts w:ascii="Times New Roman" w:eastAsia="Times New Roman" w:hAnsi="Times New Roman" w:cs="Times New Roman"/>
                <w:b/>
                <w:bCs/>
                <w:color w:val="000000"/>
                <w:sz w:val="24"/>
                <w:szCs w:val="24"/>
                <w:lang w:eastAsia="tr-TR"/>
              </w:rPr>
            </w:pPr>
          </w:p>
        </w:tc>
      </w:tr>
      <w:tr w:rsidR="00243633" w:rsidRPr="00A31B67" w:rsidTr="00D527BB">
        <w:trPr>
          <w:gridAfter w:val="2"/>
          <w:tblHeader/>
        </w:trPr>
        <w:tc>
          <w:tcPr>
            <w:tcW w:w="1118" w:type="dxa"/>
            <w:tcBorders>
              <w:top w:val="nil"/>
              <w:left w:val="nil"/>
              <w:bottom w:val="nil"/>
              <w:right w:val="nil"/>
            </w:tcBorders>
            <w:shd w:val="clear" w:color="auto" w:fill="E7E6E6" w:themeFill="background2"/>
            <w:vAlign w:val="center"/>
            <w:hideMark/>
          </w:tcPr>
          <w:p w:rsidR="00243633" w:rsidRPr="004D01DD" w:rsidRDefault="00243633" w:rsidP="00D527BB">
            <w:pPr>
              <w:spacing w:after="0" w:line="240" w:lineRule="auto"/>
              <w:rPr>
                <w:rFonts w:ascii="Times New Roman" w:eastAsia="Times New Roman" w:hAnsi="Times New Roman" w:cs="Times New Roman"/>
                <w:b/>
                <w:bCs/>
                <w:color w:val="000000"/>
                <w:sz w:val="24"/>
                <w:szCs w:val="24"/>
                <w:lang w:eastAsia="tr-TR"/>
              </w:rPr>
            </w:pPr>
          </w:p>
        </w:tc>
        <w:tc>
          <w:tcPr>
            <w:tcW w:w="1543" w:type="dxa"/>
            <w:tcBorders>
              <w:top w:val="nil"/>
              <w:left w:val="nil"/>
              <w:bottom w:val="nil"/>
              <w:right w:val="nil"/>
            </w:tcBorders>
            <w:shd w:val="clear" w:color="auto" w:fill="E7E6E6" w:themeFill="background2"/>
            <w:vAlign w:val="center"/>
            <w:hideMark/>
          </w:tcPr>
          <w:p w:rsidR="00243633" w:rsidRPr="004D01DD" w:rsidRDefault="00243633" w:rsidP="00D527BB">
            <w:pPr>
              <w:spacing w:after="0" w:line="240" w:lineRule="auto"/>
              <w:jc w:val="center"/>
              <w:rPr>
                <w:rFonts w:ascii="Times New Roman" w:eastAsia="Times New Roman" w:hAnsi="Times New Roman" w:cs="Times New Roman"/>
                <w:b/>
                <w:bCs/>
                <w:color w:val="000000"/>
                <w:sz w:val="24"/>
                <w:szCs w:val="24"/>
                <w:lang w:eastAsia="tr-TR"/>
              </w:rPr>
            </w:pPr>
            <w:r w:rsidRPr="004D01DD">
              <w:rPr>
                <w:rFonts w:ascii="Times New Roman" w:eastAsia="Times New Roman" w:hAnsi="Times New Roman" w:cs="Times New Roman"/>
                <w:b/>
                <w:bCs/>
                <w:color w:val="000000"/>
                <w:sz w:val="24"/>
                <w:szCs w:val="24"/>
                <w:lang w:eastAsia="tr-TR"/>
              </w:rPr>
              <w:t>CBD Etkileri</w:t>
            </w:r>
          </w:p>
        </w:tc>
        <w:tc>
          <w:tcPr>
            <w:tcW w:w="1574" w:type="dxa"/>
            <w:tcBorders>
              <w:top w:val="nil"/>
              <w:left w:val="nil"/>
              <w:bottom w:val="nil"/>
              <w:right w:val="nil"/>
            </w:tcBorders>
            <w:shd w:val="clear" w:color="auto" w:fill="E7E6E6" w:themeFill="background2"/>
            <w:vAlign w:val="center"/>
            <w:hideMark/>
          </w:tcPr>
          <w:p w:rsidR="00243633" w:rsidRPr="004D01DD" w:rsidRDefault="00243633" w:rsidP="00D527BB">
            <w:pPr>
              <w:spacing w:after="0" w:line="240" w:lineRule="auto"/>
              <w:jc w:val="center"/>
              <w:rPr>
                <w:rFonts w:ascii="Times New Roman" w:eastAsia="Times New Roman" w:hAnsi="Times New Roman" w:cs="Times New Roman"/>
                <w:b/>
                <w:bCs/>
                <w:color w:val="000000"/>
                <w:sz w:val="24"/>
                <w:szCs w:val="24"/>
                <w:lang w:eastAsia="tr-TR"/>
              </w:rPr>
            </w:pPr>
            <w:r w:rsidRPr="004D01DD">
              <w:rPr>
                <w:rFonts w:ascii="Times New Roman" w:eastAsia="Times New Roman" w:hAnsi="Times New Roman" w:cs="Times New Roman"/>
                <w:b/>
                <w:bCs/>
                <w:color w:val="000000"/>
                <w:sz w:val="24"/>
                <w:szCs w:val="24"/>
                <w:lang w:eastAsia="tr-TR"/>
              </w:rPr>
              <w:t>THC Etkileri</w:t>
            </w:r>
          </w:p>
        </w:tc>
        <w:tc>
          <w:tcPr>
            <w:tcW w:w="0" w:type="auto"/>
            <w:tcBorders>
              <w:top w:val="nil"/>
              <w:left w:val="nil"/>
              <w:bottom w:val="nil"/>
              <w:right w:val="nil"/>
            </w:tcBorders>
            <w:shd w:val="clear" w:color="auto" w:fill="E7E6E6" w:themeFill="background2"/>
            <w:vAlign w:val="center"/>
            <w:hideMark/>
          </w:tcPr>
          <w:p w:rsidR="00243633" w:rsidRPr="004D01DD" w:rsidRDefault="00243633" w:rsidP="00D527BB">
            <w:pPr>
              <w:spacing w:after="0" w:line="240" w:lineRule="auto"/>
              <w:jc w:val="center"/>
              <w:rPr>
                <w:rFonts w:ascii="Times New Roman" w:eastAsia="Times New Roman" w:hAnsi="Times New Roman" w:cs="Times New Roman"/>
                <w:b/>
                <w:bCs/>
                <w:color w:val="000000"/>
                <w:sz w:val="24"/>
                <w:szCs w:val="24"/>
                <w:lang w:eastAsia="tr-TR"/>
              </w:rPr>
            </w:pPr>
            <w:r w:rsidRPr="004D01DD">
              <w:rPr>
                <w:rFonts w:ascii="Times New Roman" w:eastAsia="Times New Roman" w:hAnsi="Times New Roman" w:cs="Times New Roman"/>
                <w:b/>
                <w:bCs/>
                <w:color w:val="000000"/>
                <w:sz w:val="24"/>
                <w:szCs w:val="24"/>
                <w:lang w:eastAsia="tr-TR"/>
              </w:rPr>
              <w:t>Klinik Müdahale</w:t>
            </w:r>
          </w:p>
        </w:tc>
        <w:tc>
          <w:tcPr>
            <w:tcW w:w="0" w:type="auto"/>
            <w:tcBorders>
              <w:top w:val="nil"/>
              <w:left w:val="nil"/>
              <w:bottom w:val="nil"/>
              <w:right w:val="nil"/>
            </w:tcBorders>
            <w:shd w:val="clear" w:color="auto" w:fill="E7E6E6" w:themeFill="background2"/>
            <w:vAlign w:val="center"/>
            <w:hideMark/>
          </w:tcPr>
          <w:p w:rsidR="00243633" w:rsidRPr="004D01DD" w:rsidRDefault="00243633" w:rsidP="00D527BB">
            <w:pPr>
              <w:spacing w:after="0" w:line="240" w:lineRule="auto"/>
              <w:jc w:val="center"/>
              <w:rPr>
                <w:rFonts w:ascii="Times New Roman" w:eastAsia="Times New Roman" w:hAnsi="Times New Roman" w:cs="Times New Roman"/>
                <w:b/>
                <w:bCs/>
                <w:color w:val="000000"/>
                <w:sz w:val="24"/>
                <w:szCs w:val="24"/>
                <w:lang w:eastAsia="tr-TR"/>
              </w:rPr>
            </w:pPr>
            <w:r w:rsidRPr="004D01DD">
              <w:rPr>
                <w:rFonts w:ascii="Times New Roman" w:eastAsia="Times New Roman" w:hAnsi="Times New Roman" w:cs="Times New Roman"/>
                <w:b/>
                <w:bCs/>
                <w:color w:val="000000"/>
                <w:sz w:val="24"/>
                <w:szCs w:val="24"/>
                <w:lang w:eastAsia="tr-TR"/>
              </w:rPr>
              <w:t>Potansiyel Olarak Etkileşime Giren İlaçlara/Substratlara Örnekler</w:t>
            </w:r>
          </w:p>
        </w:tc>
      </w:tr>
      <w:tr w:rsidR="00243633" w:rsidRPr="00A31B67" w:rsidTr="00D527BB">
        <w:trPr>
          <w:gridAfter w:val="1"/>
        </w:trPr>
        <w:tc>
          <w:tcPr>
            <w:tcW w:w="0" w:type="auto"/>
            <w:gridSpan w:val="6"/>
            <w:shd w:val="clear" w:color="auto" w:fill="F2F2F2" w:themeFill="background1" w:themeFillShade="F2"/>
            <w:vAlign w:val="center"/>
            <w:hideMark/>
          </w:tcPr>
          <w:p w:rsidR="00243633" w:rsidRPr="00D47F8B" w:rsidRDefault="00243633" w:rsidP="00D527BB">
            <w:pPr>
              <w:spacing w:after="0" w:line="240" w:lineRule="auto"/>
              <w:rPr>
                <w:rFonts w:ascii="Times New Roman" w:eastAsia="Times New Roman" w:hAnsi="Times New Roman" w:cs="Times New Roman"/>
                <w:b/>
                <w:color w:val="000000"/>
                <w:sz w:val="28"/>
                <w:szCs w:val="28"/>
                <w:lang w:eastAsia="tr-TR"/>
              </w:rPr>
            </w:pPr>
            <w:r w:rsidRPr="00D47F8B">
              <w:rPr>
                <w:rFonts w:ascii="Times New Roman" w:eastAsia="Times New Roman" w:hAnsi="Times New Roman" w:cs="Times New Roman"/>
                <w:b/>
                <w:color w:val="C00000"/>
                <w:sz w:val="28"/>
                <w:szCs w:val="28"/>
                <w:lang w:eastAsia="tr-TR"/>
              </w:rPr>
              <w:t>Faz 1 metabolizma</w:t>
            </w:r>
          </w:p>
        </w:tc>
      </w:tr>
      <w:tr w:rsidR="00243633" w:rsidRPr="00A31B67" w:rsidTr="00D527BB">
        <w:trPr>
          <w:gridAfter w:val="1"/>
        </w:trPr>
        <w:tc>
          <w:tcPr>
            <w:tcW w:w="0" w:type="auto"/>
            <w:gridSpan w:val="6"/>
            <w:shd w:val="clear" w:color="auto" w:fill="D5DCE4" w:themeFill="text2" w:themeFillTint="33"/>
            <w:vAlign w:val="center"/>
            <w:hideMark/>
          </w:tcPr>
          <w:p w:rsidR="00243633" w:rsidRPr="00C454CD" w:rsidRDefault="00243633" w:rsidP="00D527BB">
            <w:pPr>
              <w:spacing w:after="0" w:line="240" w:lineRule="auto"/>
              <w:rPr>
                <w:rFonts w:ascii="Arial Black" w:eastAsia="Times New Roman" w:hAnsi="Arial Black" w:cs="Helvetica"/>
                <w:color w:val="000000"/>
                <w:lang w:eastAsia="tr-TR"/>
              </w:rPr>
            </w:pPr>
            <w:r w:rsidRPr="00C454CD">
              <w:rPr>
                <w:rFonts w:ascii="Arial Black" w:eastAsia="Times New Roman" w:hAnsi="Arial Black" w:cs="Helvetica"/>
                <w:lang w:eastAsia="tr-TR"/>
              </w:rPr>
              <w:t> </w:t>
            </w:r>
            <w:r w:rsidRPr="00C454CD">
              <w:rPr>
                <w:rFonts w:ascii="Arial Black" w:eastAsia="Times New Roman" w:hAnsi="Arial Black" w:cs="Helvetica"/>
                <w:lang w:eastAsia="tr-TR"/>
              </w:rPr>
              <w:t>CYP1A2</w:t>
            </w:r>
          </w:p>
        </w:tc>
      </w:tr>
      <w:tr w:rsidR="00243633" w:rsidRPr="00A31B67" w:rsidTr="00D527BB">
        <w:trPr>
          <w:gridAfter w:val="1"/>
        </w:trPr>
        <w:tc>
          <w:tcPr>
            <w:tcW w:w="1118" w:type="dxa"/>
            <w:shd w:val="clear" w:color="auto" w:fill="FFF2CC" w:themeFill="accent4" w:themeFillTint="33"/>
            <w:vAlign w:val="center"/>
            <w:hideMark/>
          </w:tcPr>
          <w:p w:rsidR="00243633" w:rsidRPr="00C454CD" w:rsidRDefault="00243633" w:rsidP="00D527BB">
            <w:pPr>
              <w:spacing w:after="0" w:line="240" w:lineRule="auto"/>
              <w:rPr>
                <w:rFonts w:ascii="Times New Roman" w:eastAsia="Times New Roman" w:hAnsi="Times New Roman" w:cs="Times New Roman"/>
                <w:lang w:eastAsia="tr-TR"/>
              </w:rPr>
            </w:pPr>
            <w:r w:rsidRPr="00C454CD">
              <w:rPr>
                <w:rFonts w:ascii="Times New Roman" w:eastAsia="Times New Roman" w:hAnsi="Times New Roman" w:cs="Times New Roman"/>
                <w:lang w:eastAsia="tr-TR"/>
              </w:rPr>
              <w:t> </w:t>
            </w:r>
            <w:r w:rsidRPr="00C454CD">
              <w:rPr>
                <w:rFonts w:ascii="Times New Roman" w:eastAsia="Times New Roman" w:hAnsi="Times New Roman" w:cs="Times New Roman"/>
                <w:lang w:eastAsia="tr-TR"/>
              </w:rPr>
              <w:t> </w:t>
            </w:r>
            <w:r w:rsidRPr="00C454CD">
              <w:rPr>
                <w:rFonts w:ascii="Times New Roman" w:eastAsia="Times New Roman" w:hAnsi="Times New Roman" w:cs="Times New Roman"/>
                <w:lang w:eastAsia="tr-TR"/>
              </w:rPr>
              <w:t>Substrat</w:t>
            </w:r>
          </w:p>
        </w:tc>
        <w:tc>
          <w:tcPr>
            <w:tcW w:w="1543" w:type="dxa"/>
            <w:vAlign w:val="center"/>
            <w:hideMark/>
          </w:tcPr>
          <w:p w:rsidR="00243633" w:rsidRPr="00C454CD" w:rsidRDefault="00243633" w:rsidP="00D527BB">
            <w:pPr>
              <w:spacing w:after="0" w:line="240" w:lineRule="auto"/>
              <w:rPr>
                <w:rFonts w:ascii="Times New Roman" w:eastAsia="Times New Roman" w:hAnsi="Times New Roman" w:cs="Times New Roman"/>
                <w:lang w:eastAsia="tr-TR"/>
              </w:rPr>
            </w:pPr>
            <w:r w:rsidRPr="00C454CD">
              <w:rPr>
                <w:rFonts w:eastAsia="Times New Roman" w:cstheme="minorHAnsi"/>
                <w:lang w:eastAsia="tr-TR"/>
              </w:rPr>
              <w:t>↑</w:t>
            </w:r>
            <w:r w:rsidRPr="00C454CD">
              <w:rPr>
                <w:rFonts w:ascii="Times New Roman" w:eastAsia="Times New Roman" w:hAnsi="Times New Roman" w:cs="Times New Roman"/>
                <w:lang w:eastAsia="tr-TR"/>
              </w:rPr>
              <w:t xml:space="preserve"> Substrat konsentrasyon</w:t>
            </w:r>
          </w:p>
        </w:tc>
        <w:tc>
          <w:tcPr>
            <w:tcW w:w="1574" w:type="dxa"/>
            <w:vAlign w:val="center"/>
            <w:hideMark/>
          </w:tcPr>
          <w:p w:rsidR="00243633" w:rsidRPr="00C454CD" w:rsidRDefault="00243633" w:rsidP="00D527BB">
            <w:pPr>
              <w:spacing w:after="0" w:line="240" w:lineRule="auto"/>
              <w:rPr>
                <w:rFonts w:ascii="Times New Roman" w:eastAsia="Times New Roman" w:hAnsi="Times New Roman" w:cs="Times New Roman"/>
                <w:lang w:eastAsia="tr-TR"/>
              </w:rPr>
            </w:pPr>
            <w:r w:rsidRPr="00C454CD">
              <w:rPr>
                <w:rFonts w:eastAsia="Times New Roman" w:cstheme="minorHAnsi"/>
                <w:b/>
                <w:lang w:eastAsia="tr-TR"/>
              </w:rPr>
              <w:t>↓</w:t>
            </w:r>
            <w:r w:rsidRPr="00C454CD">
              <w:rPr>
                <w:rFonts w:ascii="Times New Roman" w:eastAsia="Times New Roman" w:hAnsi="Times New Roman" w:cs="Times New Roman"/>
                <w:lang w:eastAsia="tr-TR"/>
              </w:rPr>
              <w:t xml:space="preserve"> Substrat </w:t>
            </w:r>
            <w:proofErr w:type="gramStart"/>
            <w:r w:rsidRPr="00C454CD">
              <w:rPr>
                <w:rFonts w:ascii="Times New Roman" w:eastAsia="Times New Roman" w:hAnsi="Times New Roman" w:cs="Times New Roman"/>
                <w:lang w:eastAsia="tr-TR"/>
              </w:rPr>
              <w:t>konsantrasyonu</w:t>
            </w:r>
            <w:proofErr w:type="gramEnd"/>
          </w:p>
        </w:tc>
        <w:tc>
          <w:tcPr>
            <w:tcW w:w="0" w:type="auto"/>
            <w:vAlign w:val="center"/>
            <w:hideMark/>
          </w:tcPr>
          <w:p w:rsidR="00243633" w:rsidRPr="00C454CD" w:rsidRDefault="00243633" w:rsidP="00D527BB">
            <w:pPr>
              <w:spacing w:after="0" w:line="240" w:lineRule="auto"/>
              <w:rPr>
                <w:rFonts w:ascii="Times New Roman" w:eastAsia="Times New Roman" w:hAnsi="Times New Roman" w:cs="Times New Roman"/>
                <w:lang w:eastAsia="tr-TR"/>
              </w:rPr>
            </w:pPr>
            <w:r w:rsidRPr="00C454CD">
              <w:rPr>
                <w:rFonts w:ascii="Times New Roman" w:eastAsia="Times New Roman" w:hAnsi="Times New Roman" w:cs="Times New Roman"/>
                <w:lang w:eastAsia="tr-TR"/>
              </w:rPr>
              <w:t>Terapötik başarısızlık veya yan etki belirtilerini izleyin; esrar hazırlığına göre substrat dozunu değiştirmeyi düşünün</w:t>
            </w:r>
          </w:p>
        </w:tc>
        <w:tc>
          <w:tcPr>
            <w:tcW w:w="0" w:type="auto"/>
            <w:vAlign w:val="center"/>
            <w:hideMark/>
          </w:tcPr>
          <w:p w:rsidR="00243633" w:rsidRPr="00C454CD" w:rsidRDefault="00243633" w:rsidP="00D527BB">
            <w:pPr>
              <w:spacing w:after="0" w:line="240" w:lineRule="auto"/>
              <w:rPr>
                <w:rFonts w:ascii="Times New Roman" w:eastAsia="Times New Roman" w:hAnsi="Times New Roman" w:cs="Times New Roman"/>
                <w:color w:val="000000"/>
                <w:lang w:eastAsia="tr-TR"/>
              </w:rPr>
            </w:pPr>
            <w:r w:rsidRPr="00C454CD">
              <w:rPr>
                <w:rFonts w:ascii="Times New Roman" w:eastAsia="Times New Roman" w:hAnsi="Times New Roman" w:cs="Times New Roman"/>
                <w:color w:val="0070C0"/>
                <w:lang w:eastAsia="tr-TR"/>
              </w:rPr>
              <w:t>Klorpromazin, klozapin, siklobenzaprin, duloksetin, haloperidol naproksen, olanzapin, propafenon,</w:t>
            </w:r>
            <w:r w:rsidRPr="00C454CD">
              <w:rPr>
                <w:rFonts w:ascii="Times New Roman" w:eastAsia="Times New Roman" w:hAnsi="Times New Roman" w:cs="Times New Roman"/>
                <w:b/>
                <w:color w:val="C00000"/>
                <w:lang w:eastAsia="tr-TR"/>
              </w:rPr>
              <w:t>*</w:t>
            </w:r>
            <w:r w:rsidRPr="00C454CD">
              <w:rPr>
                <w:rFonts w:ascii="Times New Roman" w:eastAsia="Times New Roman" w:hAnsi="Times New Roman" w:cs="Times New Roman"/>
                <w:color w:val="0070C0"/>
                <w:lang w:eastAsia="tr-TR"/>
              </w:rPr>
              <w:t xml:space="preserve"> teofilin, trisiklik antidepresanlar</w:t>
            </w:r>
          </w:p>
        </w:tc>
        <w:tc>
          <w:tcPr>
            <w:tcW w:w="0" w:type="auto"/>
            <w:vAlign w:val="center"/>
            <w:hideMark/>
          </w:tcPr>
          <w:p w:rsidR="00243633" w:rsidRPr="00A31B67" w:rsidRDefault="00243633" w:rsidP="00D527BB">
            <w:pPr>
              <w:spacing w:after="0" w:line="240" w:lineRule="auto"/>
              <w:rPr>
                <w:rFonts w:ascii="Times New Roman" w:eastAsia="Times New Roman" w:hAnsi="Times New Roman" w:cs="Times New Roman"/>
                <w:sz w:val="20"/>
                <w:szCs w:val="20"/>
                <w:lang w:eastAsia="tr-TR"/>
              </w:rPr>
            </w:pPr>
          </w:p>
        </w:tc>
      </w:tr>
      <w:tr w:rsidR="00243633" w:rsidRPr="00A31B67" w:rsidTr="00D527BB">
        <w:tc>
          <w:tcPr>
            <w:tcW w:w="0" w:type="auto"/>
            <w:gridSpan w:val="7"/>
            <w:shd w:val="clear" w:color="auto" w:fill="D5DCE4" w:themeFill="text2" w:themeFillTint="33"/>
            <w:vAlign w:val="center"/>
            <w:hideMark/>
          </w:tcPr>
          <w:p w:rsidR="00243633" w:rsidRPr="00C454CD" w:rsidRDefault="00243633" w:rsidP="00D527BB">
            <w:pPr>
              <w:spacing w:after="0" w:line="240" w:lineRule="auto"/>
              <w:rPr>
                <w:rFonts w:ascii="Helvetica" w:eastAsia="Times New Roman" w:hAnsi="Helvetica" w:cs="Helvetica"/>
                <w:color w:val="000000"/>
                <w:lang w:eastAsia="tr-TR"/>
              </w:rPr>
            </w:pPr>
            <w:r w:rsidRPr="00C454CD">
              <w:rPr>
                <w:rFonts w:ascii="Helvetica" w:eastAsia="Times New Roman" w:hAnsi="Helvetica" w:cs="Helvetica"/>
                <w:color w:val="000000"/>
                <w:lang w:eastAsia="tr-TR"/>
              </w:rPr>
              <w:t> </w:t>
            </w:r>
            <w:r w:rsidRPr="00C454CD">
              <w:rPr>
                <w:rFonts w:ascii="Arial Black" w:eastAsia="Times New Roman" w:hAnsi="Arial Black" w:cs="Helvetica"/>
                <w:shd w:val="clear" w:color="auto" w:fill="D9E2F3" w:themeFill="accent5" w:themeFillTint="33"/>
                <w:lang w:eastAsia="tr-TR"/>
              </w:rPr>
              <w:t>CYP2C9</w:t>
            </w:r>
          </w:p>
        </w:tc>
      </w:tr>
      <w:tr w:rsidR="00243633" w:rsidRPr="00A31B67" w:rsidTr="00D527BB">
        <w:tc>
          <w:tcPr>
            <w:tcW w:w="1118" w:type="dxa"/>
            <w:shd w:val="clear" w:color="auto" w:fill="FFF2CC" w:themeFill="accent4" w:themeFillTint="33"/>
            <w:vAlign w:val="center"/>
            <w:hideMark/>
          </w:tcPr>
          <w:p w:rsidR="00243633" w:rsidRPr="00C454CD" w:rsidRDefault="00243633" w:rsidP="00D527BB">
            <w:pPr>
              <w:spacing w:after="0" w:line="240" w:lineRule="auto"/>
              <w:rPr>
                <w:rFonts w:ascii="Times New Roman" w:eastAsia="Times New Roman" w:hAnsi="Times New Roman" w:cs="Times New Roman"/>
                <w:lang w:eastAsia="tr-TR"/>
              </w:rPr>
            </w:pPr>
            <w:r w:rsidRPr="00C454CD">
              <w:rPr>
                <w:rFonts w:ascii="Times New Roman" w:eastAsia="Times New Roman" w:hAnsi="Times New Roman" w:cs="Times New Roman"/>
                <w:lang w:eastAsia="tr-TR"/>
              </w:rPr>
              <w:lastRenderedPageBreak/>
              <w:t> </w:t>
            </w:r>
            <w:r w:rsidRPr="00C454CD">
              <w:rPr>
                <w:rFonts w:ascii="Times New Roman" w:eastAsia="Times New Roman" w:hAnsi="Times New Roman" w:cs="Times New Roman"/>
                <w:lang w:eastAsia="tr-TR"/>
              </w:rPr>
              <w:t> </w:t>
            </w:r>
            <w:r w:rsidRPr="00C454CD">
              <w:rPr>
                <w:rFonts w:ascii="Times New Roman" w:eastAsia="Times New Roman" w:hAnsi="Times New Roman" w:cs="Times New Roman"/>
                <w:lang w:eastAsia="tr-TR"/>
              </w:rPr>
              <w:t>Substratlar</w:t>
            </w:r>
          </w:p>
        </w:tc>
        <w:tc>
          <w:tcPr>
            <w:tcW w:w="1543" w:type="dxa"/>
            <w:vAlign w:val="center"/>
            <w:hideMark/>
          </w:tcPr>
          <w:p w:rsidR="00243633" w:rsidRPr="00C454CD" w:rsidRDefault="00243633" w:rsidP="00D527BB">
            <w:pPr>
              <w:spacing w:after="0" w:line="240" w:lineRule="auto"/>
              <w:rPr>
                <w:rFonts w:ascii="Times New Roman" w:eastAsia="Times New Roman" w:hAnsi="Times New Roman" w:cs="Times New Roman"/>
                <w:lang w:eastAsia="tr-TR"/>
              </w:rPr>
            </w:pPr>
            <w:r w:rsidRPr="00C454CD">
              <w:rPr>
                <w:rFonts w:eastAsia="Times New Roman" w:cstheme="minorHAnsi"/>
                <w:b/>
                <w:lang w:eastAsia="tr-TR"/>
              </w:rPr>
              <w:t>↑</w:t>
            </w:r>
            <w:r w:rsidRPr="00C454CD">
              <w:rPr>
                <w:rFonts w:ascii="Times New Roman" w:eastAsia="Times New Roman" w:hAnsi="Times New Roman" w:cs="Times New Roman"/>
                <w:lang w:eastAsia="tr-TR"/>
              </w:rPr>
              <w:t xml:space="preserve"> Substrat konsentrasyonu</w:t>
            </w:r>
          </w:p>
        </w:tc>
        <w:tc>
          <w:tcPr>
            <w:tcW w:w="1574" w:type="dxa"/>
            <w:vAlign w:val="center"/>
            <w:hideMark/>
          </w:tcPr>
          <w:p w:rsidR="00243633" w:rsidRPr="00C454CD" w:rsidRDefault="00243633" w:rsidP="00D527BB">
            <w:pPr>
              <w:spacing w:after="0" w:line="240" w:lineRule="auto"/>
              <w:rPr>
                <w:rFonts w:ascii="Times New Roman" w:eastAsia="Times New Roman" w:hAnsi="Times New Roman" w:cs="Times New Roman"/>
                <w:lang w:eastAsia="tr-TR"/>
              </w:rPr>
            </w:pPr>
            <w:r w:rsidRPr="00C454CD">
              <w:rPr>
                <w:rFonts w:ascii="Times New Roman" w:eastAsia="Times New Roman" w:hAnsi="Times New Roman" w:cs="Times New Roman"/>
                <w:lang w:eastAsia="tr-TR"/>
              </w:rPr>
              <w:t>Çelişkili veriler (</w:t>
            </w:r>
            <w:r w:rsidRPr="00C454CD">
              <w:rPr>
                <w:rFonts w:eastAsia="Times New Roman" w:cstheme="minorHAnsi"/>
                <w:b/>
                <w:lang w:eastAsia="tr-TR"/>
              </w:rPr>
              <w:t>↕</w:t>
            </w:r>
            <w:r w:rsidRPr="00C454CD">
              <w:rPr>
                <w:rFonts w:ascii="Times New Roman" w:eastAsia="Times New Roman" w:hAnsi="Times New Roman" w:cs="Times New Roman"/>
                <w:lang w:eastAsia="tr-TR"/>
              </w:rPr>
              <w:t xml:space="preserve"> Substrat </w:t>
            </w:r>
            <w:proofErr w:type="gramStart"/>
            <w:r w:rsidRPr="00C454CD">
              <w:rPr>
                <w:rFonts w:ascii="Times New Roman" w:eastAsia="Times New Roman" w:hAnsi="Times New Roman" w:cs="Times New Roman"/>
                <w:lang w:eastAsia="tr-TR"/>
              </w:rPr>
              <w:t>konsantrasyonu</w:t>
            </w:r>
            <w:proofErr w:type="gramEnd"/>
            <w:r w:rsidRPr="00C454CD">
              <w:rPr>
                <w:rFonts w:ascii="Times New Roman" w:eastAsia="Times New Roman" w:hAnsi="Times New Roman" w:cs="Times New Roman"/>
                <w:lang w:eastAsia="tr-TR"/>
              </w:rPr>
              <w:t>)</w:t>
            </w:r>
          </w:p>
        </w:tc>
        <w:tc>
          <w:tcPr>
            <w:tcW w:w="0" w:type="auto"/>
            <w:vAlign w:val="center"/>
            <w:hideMark/>
          </w:tcPr>
          <w:p w:rsidR="00243633" w:rsidRPr="00C454CD" w:rsidRDefault="00243633" w:rsidP="00D527BB">
            <w:pPr>
              <w:spacing w:after="0" w:line="240" w:lineRule="auto"/>
              <w:rPr>
                <w:rFonts w:ascii="Times New Roman" w:eastAsia="Times New Roman" w:hAnsi="Times New Roman" w:cs="Times New Roman"/>
                <w:lang w:eastAsia="tr-TR"/>
              </w:rPr>
            </w:pPr>
            <w:r w:rsidRPr="00C454CD">
              <w:rPr>
                <w:rFonts w:ascii="Times New Roman" w:eastAsia="Times New Roman" w:hAnsi="Times New Roman" w:cs="Times New Roman"/>
                <w:lang w:eastAsia="tr-TR"/>
              </w:rPr>
              <w:t>Substrat dozunu azaltmayı düşünün; 3 gün içinde warfarin için INR'yi izleyin; serbest fenitoin düzeylerini izlemek</w:t>
            </w:r>
          </w:p>
        </w:tc>
        <w:tc>
          <w:tcPr>
            <w:tcW w:w="0" w:type="auto"/>
            <w:vAlign w:val="center"/>
            <w:hideMark/>
          </w:tcPr>
          <w:p w:rsidR="00243633" w:rsidRPr="00C454CD" w:rsidRDefault="00243633" w:rsidP="00D527BB">
            <w:pPr>
              <w:spacing w:after="0" w:line="240" w:lineRule="auto"/>
              <w:rPr>
                <w:rFonts w:ascii="Times New Roman" w:eastAsia="Times New Roman" w:hAnsi="Times New Roman" w:cs="Times New Roman"/>
                <w:color w:val="000000"/>
                <w:lang w:eastAsia="tr-TR"/>
              </w:rPr>
            </w:pPr>
            <w:r w:rsidRPr="00C454CD">
              <w:rPr>
                <w:rFonts w:ascii="Times New Roman" w:eastAsia="Times New Roman" w:hAnsi="Times New Roman" w:cs="Times New Roman"/>
                <w:color w:val="0070C0"/>
                <w:lang w:eastAsia="tr-TR"/>
              </w:rPr>
              <w:t>Buprenorfin, fluvastatin,</w:t>
            </w:r>
            <w:r w:rsidRPr="00C454CD">
              <w:rPr>
                <w:rFonts w:ascii="Times New Roman" w:eastAsia="Times New Roman" w:hAnsi="Times New Roman" w:cs="Times New Roman"/>
                <w:b/>
                <w:color w:val="C00000"/>
                <w:lang w:eastAsia="tr-TR"/>
              </w:rPr>
              <w:t xml:space="preserve">* </w:t>
            </w:r>
            <w:r w:rsidRPr="00C454CD">
              <w:rPr>
                <w:rFonts w:ascii="Times New Roman" w:eastAsia="Times New Roman" w:hAnsi="Times New Roman" w:cs="Times New Roman"/>
                <w:color w:val="0070C0"/>
                <w:lang w:eastAsia="tr-TR"/>
              </w:rPr>
              <w:t>selekoksib, losartan,</w:t>
            </w:r>
            <w:r w:rsidRPr="00C454CD">
              <w:rPr>
                <w:rFonts w:ascii="Times New Roman" w:eastAsia="Times New Roman" w:hAnsi="Times New Roman" w:cs="Times New Roman"/>
                <w:b/>
                <w:color w:val="C00000"/>
                <w:lang w:eastAsia="tr-TR"/>
              </w:rPr>
              <w:t xml:space="preserve">* </w:t>
            </w:r>
            <w:r w:rsidRPr="00C454CD">
              <w:rPr>
                <w:rFonts w:ascii="Times New Roman" w:eastAsia="Times New Roman" w:hAnsi="Times New Roman" w:cs="Times New Roman"/>
                <w:color w:val="0070C0"/>
                <w:lang w:eastAsia="tr-TR"/>
              </w:rPr>
              <w:t>naproksen, fenobarbital, montelukast, fenitoin, rosiglitazon, rosuvastatin,</w:t>
            </w:r>
            <w:r w:rsidRPr="00C454CD">
              <w:rPr>
                <w:rFonts w:ascii="Times New Roman" w:eastAsia="Times New Roman" w:hAnsi="Times New Roman" w:cs="Times New Roman"/>
                <w:b/>
                <w:color w:val="C00000"/>
                <w:lang w:eastAsia="tr-TR"/>
              </w:rPr>
              <w:t>*</w:t>
            </w:r>
            <w:r w:rsidRPr="00C454CD">
              <w:rPr>
                <w:rFonts w:ascii="Times New Roman" w:eastAsia="Times New Roman" w:hAnsi="Times New Roman" w:cs="Times New Roman"/>
                <w:color w:val="0070C0"/>
                <w:lang w:eastAsia="tr-TR"/>
              </w:rPr>
              <w:t xml:space="preserve"> sülfonilüreler, valsartan,</w:t>
            </w:r>
            <w:r w:rsidRPr="00C454CD">
              <w:rPr>
                <w:rFonts w:ascii="Times New Roman" w:eastAsia="Times New Roman" w:hAnsi="Times New Roman" w:cs="Times New Roman"/>
                <w:b/>
                <w:color w:val="C00000"/>
                <w:lang w:eastAsia="tr-TR"/>
              </w:rPr>
              <w:t>*</w:t>
            </w:r>
            <w:r w:rsidRPr="00C454CD">
              <w:rPr>
                <w:rFonts w:ascii="Times New Roman" w:eastAsia="Times New Roman" w:hAnsi="Times New Roman" w:cs="Times New Roman"/>
                <w:color w:val="0070C0"/>
                <w:lang w:eastAsia="tr-TR"/>
              </w:rPr>
              <w:t xml:space="preserve"> varfarin</w:t>
            </w:r>
            <w:r w:rsidRPr="00C454CD">
              <w:rPr>
                <w:rFonts w:ascii="Times New Roman" w:eastAsia="Times New Roman" w:hAnsi="Times New Roman" w:cs="Times New Roman"/>
                <w:b/>
                <w:color w:val="C00000"/>
                <w:lang w:eastAsia="tr-TR"/>
              </w:rPr>
              <w:t>*</w:t>
            </w:r>
          </w:p>
        </w:tc>
        <w:tc>
          <w:tcPr>
            <w:tcW w:w="0" w:type="auto"/>
            <w:vAlign w:val="center"/>
            <w:hideMark/>
          </w:tcPr>
          <w:p w:rsidR="00243633" w:rsidRPr="00A31B67" w:rsidRDefault="00243633" w:rsidP="00D527BB">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243633" w:rsidRPr="00A31B67" w:rsidRDefault="00243633" w:rsidP="00D527BB">
            <w:pPr>
              <w:spacing w:after="0" w:line="240" w:lineRule="auto"/>
              <w:rPr>
                <w:rFonts w:ascii="Times New Roman" w:eastAsia="Times New Roman" w:hAnsi="Times New Roman" w:cs="Times New Roman"/>
                <w:sz w:val="20"/>
                <w:szCs w:val="20"/>
                <w:lang w:eastAsia="tr-TR"/>
              </w:rPr>
            </w:pPr>
          </w:p>
        </w:tc>
      </w:tr>
      <w:tr w:rsidR="00243633" w:rsidRPr="00A31B67" w:rsidTr="00D527BB">
        <w:tc>
          <w:tcPr>
            <w:tcW w:w="0" w:type="auto"/>
            <w:gridSpan w:val="7"/>
            <w:shd w:val="clear" w:color="auto" w:fill="D5DCE4" w:themeFill="text2" w:themeFillTint="33"/>
            <w:vAlign w:val="center"/>
            <w:hideMark/>
          </w:tcPr>
          <w:p w:rsidR="00243633" w:rsidRPr="00C454CD" w:rsidRDefault="00243633" w:rsidP="00D527BB">
            <w:pPr>
              <w:spacing w:after="0" w:line="240" w:lineRule="auto"/>
              <w:rPr>
                <w:rFonts w:ascii="Arial Black" w:eastAsia="Times New Roman" w:hAnsi="Arial Black" w:cs="Helvetica"/>
                <w:color w:val="000000"/>
                <w:sz w:val="24"/>
                <w:szCs w:val="24"/>
                <w:lang w:eastAsia="tr-TR"/>
              </w:rPr>
            </w:pPr>
            <w:r w:rsidRPr="00C454CD">
              <w:rPr>
                <w:rFonts w:ascii="Arial Black" w:eastAsia="Times New Roman" w:hAnsi="Arial Black" w:cs="Helvetica"/>
                <w:color w:val="000000"/>
                <w:sz w:val="24"/>
                <w:szCs w:val="24"/>
                <w:lang w:eastAsia="tr-TR"/>
              </w:rPr>
              <w:t> </w:t>
            </w:r>
            <w:r w:rsidRPr="00C454CD">
              <w:rPr>
                <w:rFonts w:ascii="Arial Black" w:eastAsia="Times New Roman" w:hAnsi="Arial Black" w:cs="Helvetica"/>
                <w:b/>
                <w:shd w:val="clear" w:color="auto" w:fill="D9E2F3" w:themeFill="accent5" w:themeFillTint="33"/>
                <w:lang w:eastAsia="tr-TR"/>
              </w:rPr>
              <w:t>CYP2D6</w:t>
            </w:r>
          </w:p>
        </w:tc>
      </w:tr>
      <w:tr w:rsidR="00243633" w:rsidRPr="00A31B67" w:rsidTr="00D527BB">
        <w:tc>
          <w:tcPr>
            <w:tcW w:w="1118" w:type="dxa"/>
            <w:shd w:val="clear" w:color="auto" w:fill="FFF2CC" w:themeFill="accent4" w:themeFillTint="33"/>
            <w:vAlign w:val="center"/>
            <w:hideMark/>
          </w:tcPr>
          <w:p w:rsidR="00243633" w:rsidRPr="00C454CD" w:rsidRDefault="00243633" w:rsidP="00D527BB">
            <w:pPr>
              <w:spacing w:after="0" w:line="240" w:lineRule="auto"/>
              <w:rPr>
                <w:rFonts w:ascii="Times New Roman" w:eastAsia="Times New Roman" w:hAnsi="Times New Roman" w:cs="Times New Roman"/>
                <w:color w:val="000000"/>
                <w:lang w:eastAsia="tr-TR"/>
              </w:rPr>
            </w:pPr>
            <w:r w:rsidRPr="00C454CD">
              <w:rPr>
                <w:rFonts w:ascii="Times New Roman" w:eastAsia="Times New Roman" w:hAnsi="Times New Roman" w:cs="Times New Roman"/>
                <w:color w:val="000000"/>
                <w:lang w:eastAsia="tr-TR"/>
              </w:rPr>
              <w:t> </w:t>
            </w:r>
            <w:r w:rsidRPr="00C454CD">
              <w:rPr>
                <w:rFonts w:ascii="Times New Roman" w:eastAsia="Times New Roman" w:hAnsi="Times New Roman" w:cs="Times New Roman"/>
                <w:color w:val="000000"/>
                <w:lang w:eastAsia="tr-TR"/>
              </w:rPr>
              <w:t> </w:t>
            </w:r>
            <w:r w:rsidRPr="00C454CD">
              <w:rPr>
                <w:rFonts w:ascii="Times New Roman" w:eastAsia="Times New Roman" w:hAnsi="Times New Roman" w:cs="Times New Roman"/>
                <w:color w:val="000000"/>
                <w:lang w:eastAsia="tr-TR"/>
              </w:rPr>
              <w:t>Substratlar</w:t>
            </w:r>
          </w:p>
        </w:tc>
        <w:tc>
          <w:tcPr>
            <w:tcW w:w="1543" w:type="dxa"/>
            <w:vAlign w:val="center"/>
            <w:hideMark/>
          </w:tcPr>
          <w:p w:rsidR="00243633" w:rsidRPr="00C454CD" w:rsidRDefault="00243633" w:rsidP="00D527BB">
            <w:pPr>
              <w:spacing w:after="0" w:line="240" w:lineRule="auto"/>
              <w:rPr>
                <w:rFonts w:ascii="Times New Roman" w:eastAsia="Times New Roman" w:hAnsi="Times New Roman" w:cs="Times New Roman"/>
                <w:color w:val="000000"/>
                <w:lang w:eastAsia="tr-TR"/>
              </w:rPr>
            </w:pPr>
            <w:r w:rsidRPr="00C454CD">
              <w:rPr>
                <w:rFonts w:eastAsia="Times New Roman" w:cstheme="minorHAnsi"/>
                <w:b/>
                <w:color w:val="000000"/>
                <w:lang w:eastAsia="tr-TR"/>
              </w:rPr>
              <w:t xml:space="preserve">↑ </w:t>
            </w:r>
            <w:r w:rsidRPr="00C454CD">
              <w:rPr>
                <w:rFonts w:ascii="Times New Roman" w:eastAsia="Times New Roman" w:hAnsi="Times New Roman" w:cs="Times New Roman"/>
                <w:color w:val="000000"/>
                <w:lang w:eastAsia="tr-TR"/>
              </w:rPr>
              <w:t>Substrat konsentration</w:t>
            </w:r>
          </w:p>
        </w:tc>
        <w:tc>
          <w:tcPr>
            <w:tcW w:w="1574" w:type="dxa"/>
            <w:vAlign w:val="center"/>
            <w:hideMark/>
          </w:tcPr>
          <w:p w:rsidR="00243633" w:rsidRPr="00C454CD" w:rsidRDefault="00243633" w:rsidP="00D527BB">
            <w:pPr>
              <w:spacing w:after="0" w:line="240" w:lineRule="auto"/>
              <w:rPr>
                <w:rFonts w:ascii="Times New Roman" w:eastAsia="Times New Roman" w:hAnsi="Times New Roman" w:cs="Times New Roman"/>
                <w:color w:val="000000"/>
                <w:lang w:eastAsia="tr-TR"/>
              </w:rPr>
            </w:pPr>
            <w:r w:rsidRPr="00C454CD">
              <w:rPr>
                <w:rFonts w:eastAsia="Times New Roman" w:cstheme="minorHAnsi"/>
                <w:b/>
                <w:color w:val="000000"/>
                <w:lang w:eastAsia="tr-TR"/>
              </w:rPr>
              <w:t xml:space="preserve">↑ </w:t>
            </w:r>
            <w:r w:rsidRPr="00C454CD">
              <w:rPr>
                <w:rFonts w:ascii="Times New Roman" w:eastAsia="Times New Roman" w:hAnsi="Times New Roman" w:cs="Times New Roman"/>
                <w:color w:val="000000"/>
                <w:lang w:eastAsia="tr-TR"/>
              </w:rPr>
              <w:t>Substrat consentrasyon</w:t>
            </w:r>
          </w:p>
        </w:tc>
        <w:tc>
          <w:tcPr>
            <w:tcW w:w="0" w:type="auto"/>
            <w:vAlign w:val="center"/>
          </w:tcPr>
          <w:p w:rsidR="00243633" w:rsidRPr="00C454CD" w:rsidRDefault="00243633" w:rsidP="00D527BB">
            <w:pPr>
              <w:spacing w:after="0" w:line="240" w:lineRule="auto"/>
              <w:rPr>
                <w:rFonts w:ascii="Times New Roman" w:eastAsia="Times New Roman" w:hAnsi="Times New Roman" w:cs="Times New Roman"/>
                <w:color w:val="000000"/>
                <w:lang w:eastAsia="tr-TR"/>
              </w:rPr>
            </w:pPr>
            <w:r w:rsidRPr="00C454CD">
              <w:rPr>
                <w:rFonts w:ascii="Times New Roman" w:eastAsia="Times New Roman" w:hAnsi="Times New Roman" w:cs="Times New Roman"/>
                <w:lang w:eastAsia="tr-TR"/>
              </w:rPr>
              <w:t>Substrat dozunu azaltmayı düşünün; advers reaksiyonları izlemek; antidepresanlar ve antiaritmikler için QTc'yi izleyin; serbest valproat düzeylerini izleyin Esrar ürününün dozunu azaltmayı düşünün</w:t>
            </w:r>
          </w:p>
        </w:tc>
        <w:tc>
          <w:tcPr>
            <w:tcW w:w="0" w:type="auto"/>
            <w:vAlign w:val="center"/>
            <w:hideMark/>
          </w:tcPr>
          <w:p w:rsidR="00243633" w:rsidRPr="00D47F8B" w:rsidRDefault="00243633" w:rsidP="00D527BB">
            <w:pPr>
              <w:spacing w:after="0" w:line="240" w:lineRule="auto"/>
              <w:rPr>
                <w:rFonts w:ascii="Times New Roman" w:eastAsia="Times New Roman" w:hAnsi="Times New Roman" w:cs="Times New Roman"/>
                <w:color w:val="000000"/>
                <w:sz w:val="24"/>
                <w:szCs w:val="24"/>
                <w:lang w:eastAsia="tr-TR"/>
              </w:rPr>
            </w:pPr>
            <w:r w:rsidRPr="00D47F8B">
              <w:rPr>
                <w:rFonts w:ascii="Times New Roman" w:eastAsia="Times New Roman" w:hAnsi="Times New Roman" w:cs="Times New Roman"/>
                <w:color w:val="0070C0"/>
                <w:sz w:val="24"/>
                <w:szCs w:val="24"/>
                <w:lang w:eastAsia="tr-TR"/>
              </w:rPr>
              <w:t>Antidepresanlar (örn. amitriptilin, sitalopram, nortriptilin), antipsikotikler (örn. klozapin, haloperidol, risperidon), antiaritmik</w:t>
            </w:r>
            <w:r w:rsidRPr="00D47F8B">
              <w:rPr>
                <w:rFonts w:ascii="Times New Roman" w:eastAsia="Times New Roman" w:hAnsi="Times New Roman" w:cs="Times New Roman"/>
                <w:b/>
                <w:color w:val="C00000"/>
                <w:sz w:val="24"/>
                <w:szCs w:val="24"/>
                <w:lang w:eastAsia="tr-TR"/>
              </w:rPr>
              <w:t>*</w:t>
            </w:r>
            <w:r w:rsidRPr="00D47F8B">
              <w:rPr>
                <w:rFonts w:ascii="Times New Roman" w:eastAsia="Times New Roman" w:hAnsi="Times New Roman" w:cs="Times New Roman"/>
                <w:color w:val="0070C0"/>
                <w:sz w:val="24"/>
                <w:szCs w:val="24"/>
                <w:lang w:eastAsia="tr-TR"/>
              </w:rPr>
              <w:t xml:space="preserve"> (örn. amiodaron,</w:t>
            </w:r>
            <w:r w:rsidRPr="00D47F8B">
              <w:rPr>
                <w:rFonts w:ascii="Times New Roman" w:eastAsia="Times New Roman" w:hAnsi="Times New Roman" w:cs="Times New Roman"/>
                <w:b/>
                <w:color w:val="C00000"/>
                <w:sz w:val="24"/>
                <w:szCs w:val="24"/>
                <w:lang w:eastAsia="tr-TR"/>
              </w:rPr>
              <w:t>*</w:t>
            </w:r>
            <w:r w:rsidRPr="00D47F8B">
              <w:rPr>
                <w:rFonts w:ascii="Times New Roman" w:eastAsia="Times New Roman" w:hAnsi="Times New Roman" w:cs="Times New Roman"/>
                <w:color w:val="0070C0"/>
                <w:sz w:val="24"/>
                <w:szCs w:val="24"/>
                <w:lang w:eastAsia="tr-TR"/>
              </w:rPr>
              <w:t xml:space="preserve"> dronedaron,</w:t>
            </w:r>
            <w:r w:rsidRPr="00D47F8B">
              <w:rPr>
                <w:rFonts w:ascii="Times New Roman" w:eastAsia="Times New Roman" w:hAnsi="Times New Roman" w:cs="Times New Roman"/>
                <w:b/>
                <w:color w:val="C00000"/>
                <w:sz w:val="24"/>
                <w:szCs w:val="24"/>
                <w:lang w:eastAsia="tr-TR"/>
              </w:rPr>
              <w:t>*</w:t>
            </w:r>
            <w:r w:rsidRPr="00D47F8B">
              <w:rPr>
                <w:rFonts w:ascii="Times New Roman" w:eastAsia="Times New Roman" w:hAnsi="Times New Roman" w:cs="Times New Roman"/>
                <w:color w:val="0070C0"/>
                <w:sz w:val="24"/>
                <w:szCs w:val="24"/>
                <w:lang w:eastAsia="tr-TR"/>
              </w:rPr>
              <w:t xml:space="preserve"> flekainid,</w:t>
            </w:r>
            <w:r w:rsidRPr="00D47F8B">
              <w:rPr>
                <w:rFonts w:ascii="Times New Roman" w:eastAsia="Times New Roman" w:hAnsi="Times New Roman" w:cs="Times New Roman"/>
                <w:b/>
                <w:color w:val="C00000"/>
                <w:sz w:val="24"/>
                <w:szCs w:val="24"/>
                <w:lang w:eastAsia="tr-TR"/>
              </w:rPr>
              <w:t>*</w:t>
            </w:r>
            <w:r w:rsidRPr="00D47F8B">
              <w:rPr>
                <w:rFonts w:ascii="Times New Roman" w:eastAsia="Times New Roman" w:hAnsi="Times New Roman" w:cs="Times New Roman"/>
                <w:color w:val="0070C0"/>
                <w:sz w:val="24"/>
                <w:szCs w:val="24"/>
                <w:lang w:eastAsia="tr-TR"/>
              </w:rPr>
              <w:t xml:space="preserve"> propafenon</w:t>
            </w:r>
            <w:r w:rsidRPr="00D47F8B">
              <w:rPr>
                <w:rFonts w:ascii="Times New Roman" w:eastAsia="Times New Roman" w:hAnsi="Times New Roman" w:cs="Times New Roman"/>
                <w:b/>
                <w:color w:val="C00000"/>
                <w:sz w:val="24"/>
                <w:szCs w:val="24"/>
                <w:lang w:eastAsia="tr-TR"/>
              </w:rPr>
              <w:t>*</w:t>
            </w:r>
            <w:r w:rsidRPr="00D47F8B">
              <w:rPr>
                <w:rFonts w:ascii="Times New Roman" w:eastAsia="Times New Roman" w:hAnsi="Times New Roman" w:cs="Times New Roman"/>
                <w:color w:val="0070C0"/>
                <w:sz w:val="24"/>
                <w:szCs w:val="24"/>
                <w:lang w:eastAsia="tr-TR"/>
              </w:rPr>
              <w:t>), β-blokerler</w:t>
            </w:r>
            <w:r w:rsidRPr="00D47F8B">
              <w:rPr>
                <w:rFonts w:ascii="Times New Roman" w:eastAsia="Times New Roman" w:hAnsi="Times New Roman" w:cs="Times New Roman"/>
                <w:b/>
                <w:color w:val="C00000"/>
                <w:sz w:val="24"/>
                <w:szCs w:val="24"/>
                <w:lang w:eastAsia="tr-TR"/>
              </w:rPr>
              <w:t xml:space="preserve">* </w:t>
            </w:r>
            <w:r w:rsidRPr="00D47F8B">
              <w:rPr>
                <w:rFonts w:ascii="Times New Roman" w:eastAsia="Times New Roman" w:hAnsi="Times New Roman" w:cs="Times New Roman"/>
                <w:color w:val="0070C0"/>
                <w:sz w:val="24"/>
                <w:szCs w:val="24"/>
                <w:lang w:eastAsia="tr-TR"/>
              </w:rPr>
              <w:t>(örn. karvedilol,</w:t>
            </w:r>
            <w:r w:rsidRPr="00D47F8B">
              <w:rPr>
                <w:rFonts w:ascii="Times New Roman" w:eastAsia="Times New Roman" w:hAnsi="Times New Roman" w:cs="Times New Roman"/>
                <w:b/>
                <w:color w:val="C00000"/>
                <w:sz w:val="24"/>
                <w:szCs w:val="24"/>
                <w:lang w:eastAsia="tr-TR"/>
              </w:rPr>
              <w:t xml:space="preserve">* </w:t>
            </w:r>
            <w:r w:rsidRPr="00D47F8B">
              <w:rPr>
                <w:rFonts w:ascii="Times New Roman" w:eastAsia="Times New Roman" w:hAnsi="Times New Roman" w:cs="Times New Roman"/>
                <w:color w:val="0070C0"/>
                <w:sz w:val="24"/>
                <w:szCs w:val="24"/>
                <w:lang w:eastAsia="tr-TR"/>
              </w:rPr>
              <w:t>metoprolol</w:t>
            </w:r>
            <w:r w:rsidRPr="00D47F8B">
              <w:rPr>
                <w:rFonts w:ascii="Times New Roman" w:eastAsia="Times New Roman" w:hAnsi="Times New Roman" w:cs="Times New Roman"/>
                <w:b/>
                <w:color w:val="C00000"/>
                <w:sz w:val="24"/>
                <w:szCs w:val="24"/>
                <w:lang w:eastAsia="tr-TR"/>
              </w:rPr>
              <w:t>*</w:t>
            </w:r>
            <w:r w:rsidRPr="00D47F8B">
              <w:rPr>
                <w:rFonts w:ascii="Times New Roman" w:eastAsia="Times New Roman" w:hAnsi="Times New Roman" w:cs="Times New Roman"/>
                <w:color w:val="0070C0"/>
                <w:sz w:val="24"/>
                <w:szCs w:val="24"/>
                <w:lang w:eastAsia="tr-TR"/>
              </w:rPr>
              <w:t>), opioidler (örn. kodein, morfin, tramadol), valproat</w:t>
            </w:r>
            <w:r w:rsidRPr="00D47F8B">
              <w:rPr>
                <w:rFonts w:ascii="Times New Roman" w:eastAsia="Times New Roman" w:hAnsi="Times New Roman" w:cs="Times New Roman"/>
                <w:b/>
                <w:color w:val="C00000"/>
                <w:sz w:val="24"/>
                <w:szCs w:val="24"/>
                <w:lang w:eastAsia="tr-TR"/>
              </w:rPr>
              <w:t>†</w:t>
            </w:r>
          </w:p>
        </w:tc>
        <w:tc>
          <w:tcPr>
            <w:tcW w:w="0" w:type="auto"/>
            <w:vAlign w:val="center"/>
            <w:hideMark/>
          </w:tcPr>
          <w:p w:rsidR="00243633" w:rsidRPr="00A31B67" w:rsidRDefault="00243633" w:rsidP="00D527BB">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243633" w:rsidRPr="00A31B67" w:rsidRDefault="00243633" w:rsidP="00D527BB">
            <w:pPr>
              <w:spacing w:after="0" w:line="240" w:lineRule="auto"/>
              <w:rPr>
                <w:rFonts w:ascii="Times New Roman" w:eastAsia="Times New Roman" w:hAnsi="Times New Roman" w:cs="Times New Roman"/>
                <w:sz w:val="20"/>
                <w:szCs w:val="20"/>
                <w:lang w:eastAsia="tr-TR"/>
              </w:rPr>
            </w:pPr>
          </w:p>
        </w:tc>
      </w:tr>
      <w:tr w:rsidR="00243633" w:rsidRPr="00A31B67" w:rsidTr="00D527BB">
        <w:tc>
          <w:tcPr>
            <w:tcW w:w="1118" w:type="dxa"/>
            <w:shd w:val="clear" w:color="auto" w:fill="FFF2CC" w:themeFill="accent4" w:themeFillTint="33"/>
            <w:vAlign w:val="center"/>
            <w:hideMark/>
          </w:tcPr>
          <w:p w:rsidR="00243633" w:rsidRPr="00C454CD" w:rsidRDefault="00243633" w:rsidP="00D527BB">
            <w:pPr>
              <w:spacing w:after="0" w:line="240" w:lineRule="auto"/>
              <w:rPr>
                <w:rFonts w:ascii="Times New Roman" w:eastAsia="Times New Roman" w:hAnsi="Times New Roman" w:cs="Times New Roman"/>
                <w:lang w:eastAsia="tr-TR"/>
              </w:rPr>
            </w:pPr>
            <w:r w:rsidRPr="00C454CD">
              <w:rPr>
                <w:rFonts w:ascii="Times New Roman" w:eastAsia="Times New Roman" w:hAnsi="Times New Roman" w:cs="Times New Roman"/>
                <w:lang w:eastAsia="tr-TR"/>
              </w:rPr>
              <w:t> </w:t>
            </w:r>
            <w:r w:rsidRPr="00C454CD">
              <w:rPr>
                <w:rFonts w:ascii="Times New Roman" w:eastAsia="Times New Roman" w:hAnsi="Times New Roman" w:cs="Times New Roman"/>
                <w:lang w:eastAsia="tr-TR"/>
              </w:rPr>
              <w:t> </w:t>
            </w:r>
            <w:r>
              <w:rPr>
                <w:rFonts w:ascii="Times New Roman" w:eastAsia="Times New Roman" w:hAnsi="Times New Roman" w:cs="Times New Roman"/>
                <w:lang w:eastAsia="tr-TR"/>
              </w:rPr>
              <w:t>İnhibitö</w:t>
            </w:r>
            <w:r w:rsidRPr="00C454CD">
              <w:rPr>
                <w:rFonts w:ascii="Times New Roman" w:eastAsia="Times New Roman" w:hAnsi="Times New Roman" w:cs="Times New Roman"/>
                <w:lang w:eastAsia="tr-TR"/>
              </w:rPr>
              <w:t>rler</w:t>
            </w:r>
          </w:p>
        </w:tc>
        <w:tc>
          <w:tcPr>
            <w:tcW w:w="1543" w:type="dxa"/>
            <w:vAlign w:val="center"/>
            <w:hideMark/>
          </w:tcPr>
          <w:p w:rsidR="00243633" w:rsidRPr="00C454CD" w:rsidRDefault="00243633" w:rsidP="00D527BB">
            <w:pPr>
              <w:spacing w:after="0" w:line="240" w:lineRule="auto"/>
              <w:rPr>
                <w:rFonts w:ascii="Times New Roman" w:eastAsia="Times New Roman" w:hAnsi="Times New Roman" w:cs="Times New Roman"/>
                <w:lang w:eastAsia="tr-TR"/>
              </w:rPr>
            </w:pPr>
            <w:r w:rsidRPr="00C454CD">
              <w:rPr>
                <w:rFonts w:eastAsia="Times New Roman" w:cstheme="minorHAnsi"/>
                <w:b/>
                <w:lang w:eastAsia="tr-TR"/>
              </w:rPr>
              <w:t>↑</w:t>
            </w:r>
            <w:r w:rsidRPr="00C454CD">
              <w:rPr>
                <w:rFonts w:ascii="Times New Roman" w:eastAsia="Times New Roman" w:hAnsi="Times New Roman" w:cs="Times New Roman"/>
                <w:lang w:eastAsia="tr-TR"/>
              </w:rPr>
              <w:t xml:space="preserve"> CBD konsentrasyonu </w:t>
            </w:r>
          </w:p>
        </w:tc>
        <w:tc>
          <w:tcPr>
            <w:tcW w:w="1574" w:type="dxa"/>
            <w:vAlign w:val="center"/>
            <w:hideMark/>
          </w:tcPr>
          <w:p w:rsidR="00243633" w:rsidRPr="00C454CD" w:rsidRDefault="00243633" w:rsidP="00D527BB">
            <w:pPr>
              <w:spacing w:after="0" w:line="240" w:lineRule="auto"/>
              <w:rPr>
                <w:rFonts w:ascii="Times New Roman" w:eastAsia="Times New Roman" w:hAnsi="Times New Roman" w:cs="Times New Roman"/>
                <w:lang w:eastAsia="tr-TR"/>
              </w:rPr>
            </w:pPr>
            <w:r w:rsidRPr="00C454CD">
              <w:rPr>
                <w:rFonts w:eastAsia="Times New Roman" w:cstheme="minorHAnsi"/>
                <w:b/>
                <w:lang w:eastAsia="tr-TR"/>
              </w:rPr>
              <w:t>↑</w:t>
            </w:r>
            <w:r w:rsidRPr="00C454CD">
              <w:rPr>
                <w:rFonts w:ascii="Times New Roman" w:eastAsia="Times New Roman" w:hAnsi="Times New Roman" w:cs="Times New Roman"/>
                <w:lang w:eastAsia="tr-TR"/>
              </w:rPr>
              <w:t xml:space="preserve"> THC konsentrasyonu</w:t>
            </w:r>
          </w:p>
        </w:tc>
        <w:tc>
          <w:tcPr>
            <w:tcW w:w="0" w:type="auto"/>
            <w:vAlign w:val="center"/>
          </w:tcPr>
          <w:p w:rsidR="00243633" w:rsidRPr="00C454CD" w:rsidRDefault="00243633" w:rsidP="00D527BB">
            <w:pPr>
              <w:spacing w:after="0" w:line="240" w:lineRule="auto"/>
              <w:rPr>
                <w:rFonts w:ascii="Times New Roman" w:eastAsia="Times New Roman" w:hAnsi="Times New Roman" w:cs="Times New Roman"/>
                <w:color w:val="000000"/>
                <w:lang w:eastAsia="tr-TR"/>
              </w:rPr>
            </w:pPr>
          </w:p>
        </w:tc>
        <w:tc>
          <w:tcPr>
            <w:tcW w:w="0" w:type="auto"/>
            <w:vAlign w:val="center"/>
            <w:hideMark/>
          </w:tcPr>
          <w:p w:rsidR="00243633" w:rsidRPr="00D47F8B" w:rsidRDefault="00243633" w:rsidP="00D527BB">
            <w:pPr>
              <w:spacing w:after="0" w:line="240" w:lineRule="auto"/>
              <w:rPr>
                <w:rFonts w:ascii="Times New Roman" w:eastAsia="Times New Roman" w:hAnsi="Times New Roman" w:cs="Times New Roman"/>
                <w:color w:val="000000"/>
                <w:sz w:val="24"/>
                <w:szCs w:val="24"/>
                <w:lang w:eastAsia="tr-TR"/>
              </w:rPr>
            </w:pPr>
            <w:r w:rsidRPr="00D47F8B">
              <w:rPr>
                <w:rFonts w:ascii="Times New Roman" w:eastAsia="Times New Roman" w:hAnsi="Times New Roman" w:cs="Times New Roman"/>
                <w:color w:val="0070C0"/>
                <w:sz w:val="24"/>
                <w:szCs w:val="24"/>
                <w:lang w:eastAsia="tr-TR"/>
              </w:rPr>
              <w:t>Desipramin, paroksetin, kinidin,</w:t>
            </w:r>
            <w:r w:rsidRPr="00D47F8B">
              <w:rPr>
                <w:rFonts w:ascii="Times New Roman" w:eastAsia="Times New Roman" w:hAnsi="Times New Roman" w:cs="Times New Roman"/>
                <w:b/>
                <w:color w:val="C00000"/>
                <w:sz w:val="24"/>
                <w:szCs w:val="24"/>
                <w:lang w:eastAsia="tr-TR"/>
              </w:rPr>
              <w:t>*</w:t>
            </w:r>
            <w:r w:rsidRPr="00D47F8B">
              <w:rPr>
                <w:rFonts w:ascii="Times New Roman" w:eastAsia="Times New Roman" w:hAnsi="Times New Roman" w:cs="Times New Roman"/>
                <w:color w:val="0070C0"/>
                <w:sz w:val="24"/>
                <w:szCs w:val="24"/>
                <w:lang w:eastAsia="tr-TR"/>
              </w:rPr>
              <w:t xml:space="preserve"> ritonavir, sertralin</w:t>
            </w:r>
          </w:p>
        </w:tc>
        <w:tc>
          <w:tcPr>
            <w:tcW w:w="0" w:type="auto"/>
            <w:vAlign w:val="center"/>
            <w:hideMark/>
          </w:tcPr>
          <w:p w:rsidR="00243633" w:rsidRPr="00A31B67" w:rsidRDefault="00243633" w:rsidP="00D527BB">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243633" w:rsidRPr="00A31B67" w:rsidRDefault="00243633" w:rsidP="00D527BB">
            <w:pPr>
              <w:spacing w:after="0" w:line="240" w:lineRule="auto"/>
              <w:rPr>
                <w:rFonts w:ascii="Times New Roman" w:eastAsia="Times New Roman" w:hAnsi="Times New Roman" w:cs="Times New Roman"/>
                <w:sz w:val="20"/>
                <w:szCs w:val="20"/>
                <w:lang w:eastAsia="tr-TR"/>
              </w:rPr>
            </w:pPr>
          </w:p>
        </w:tc>
      </w:tr>
      <w:tr w:rsidR="00243633" w:rsidRPr="00A31B67" w:rsidTr="00D527BB">
        <w:tc>
          <w:tcPr>
            <w:tcW w:w="0" w:type="auto"/>
            <w:gridSpan w:val="7"/>
            <w:shd w:val="clear" w:color="auto" w:fill="D5DCE4" w:themeFill="text2" w:themeFillTint="33"/>
            <w:vAlign w:val="center"/>
            <w:hideMark/>
          </w:tcPr>
          <w:p w:rsidR="00243633" w:rsidRPr="00A31B67" w:rsidRDefault="00243633" w:rsidP="00D527BB">
            <w:pPr>
              <w:spacing w:after="0" w:line="240" w:lineRule="auto"/>
              <w:rPr>
                <w:rFonts w:ascii="Helvetica" w:eastAsia="Times New Roman" w:hAnsi="Helvetica" w:cs="Helvetica"/>
                <w:color w:val="000000"/>
                <w:sz w:val="20"/>
                <w:szCs w:val="20"/>
                <w:lang w:eastAsia="tr-TR"/>
              </w:rPr>
            </w:pPr>
            <w:r w:rsidRPr="00A31B67">
              <w:rPr>
                <w:rFonts w:ascii="Helvetica" w:eastAsia="Times New Roman" w:hAnsi="Helvetica" w:cs="Helvetica"/>
                <w:color w:val="000000"/>
                <w:sz w:val="20"/>
                <w:szCs w:val="20"/>
                <w:lang w:eastAsia="tr-TR"/>
              </w:rPr>
              <w:t> </w:t>
            </w:r>
            <w:r w:rsidRPr="00C454CD">
              <w:rPr>
                <w:rFonts w:ascii="Arial Black" w:eastAsia="Times New Roman" w:hAnsi="Arial Black" w:cs="Helvetica"/>
                <w:lang w:eastAsia="tr-TR"/>
              </w:rPr>
              <w:t>CYP3A4</w:t>
            </w:r>
          </w:p>
        </w:tc>
      </w:tr>
      <w:tr w:rsidR="00243633" w:rsidRPr="00A31B67" w:rsidTr="00D527BB">
        <w:tc>
          <w:tcPr>
            <w:tcW w:w="1118" w:type="dxa"/>
            <w:shd w:val="clear" w:color="auto" w:fill="FFF2CC" w:themeFill="accent4" w:themeFillTint="33"/>
            <w:vAlign w:val="center"/>
            <w:hideMark/>
          </w:tcPr>
          <w:p w:rsidR="00243633" w:rsidRPr="00C454CD" w:rsidRDefault="00243633" w:rsidP="00D527BB">
            <w:pPr>
              <w:spacing w:after="0" w:line="240" w:lineRule="auto"/>
              <w:rPr>
                <w:rFonts w:ascii="Times New Roman" w:eastAsia="Times New Roman" w:hAnsi="Times New Roman" w:cs="Times New Roman"/>
                <w:lang w:eastAsia="tr-TR"/>
              </w:rPr>
            </w:pPr>
            <w:r w:rsidRPr="00C454CD">
              <w:rPr>
                <w:rFonts w:ascii="Times New Roman" w:eastAsia="Times New Roman" w:hAnsi="Times New Roman" w:cs="Times New Roman"/>
                <w:lang w:eastAsia="tr-TR"/>
              </w:rPr>
              <w:t> </w:t>
            </w:r>
            <w:r w:rsidRPr="00C454CD">
              <w:rPr>
                <w:rFonts w:ascii="Times New Roman" w:eastAsia="Times New Roman" w:hAnsi="Times New Roman" w:cs="Times New Roman"/>
                <w:lang w:eastAsia="tr-TR"/>
              </w:rPr>
              <w:t> </w:t>
            </w:r>
            <w:r w:rsidRPr="00C454CD">
              <w:rPr>
                <w:rFonts w:ascii="Times New Roman" w:eastAsia="Times New Roman" w:hAnsi="Times New Roman" w:cs="Times New Roman"/>
                <w:lang w:eastAsia="tr-TR"/>
              </w:rPr>
              <w:t>Substratlar</w:t>
            </w:r>
          </w:p>
        </w:tc>
        <w:tc>
          <w:tcPr>
            <w:tcW w:w="1543" w:type="dxa"/>
            <w:vAlign w:val="center"/>
            <w:hideMark/>
          </w:tcPr>
          <w:p w:rsidR="00243633" w:rsidRPr="00C454CD" w:rsidRDefault="00243633" w:rsidP="00D527BB">
            <w:pPr>
              <w:spacing w:after="0" w:line="240" w:lineRule="auto"/>
              <w:rPr>
                <w:rFonts w:ascii="Times New Roman" w:eastAsia="Times New Roman" w:hAnsi="Times New Roman" w:cs="Times New Roman"/>
                <w:lang w:eastAsia="tr-TR"/>
              </w:rPr>
            </w:pPr>
            <w:r w:rsidRPr="00C454CD">
              <w:rPr>
                <w:rFonts w:ascii="Times New Roman" w:eastAsia="Times New Roman" w:hAnsi="Times New Roman" w:cs="Times New Roman"/>
                <w:lang w:eastAsia="tr-TR"/>
              </w:rPr>
              <w:t>↑ Substrat koncsentrasyonu</w:t>
            </w:r>
          </w:p>
        </w:tc>
        <w:tc>
          <w:tcPr>
            <w:tcW w:w="1574" w:type="dxa"/>
            <w:vAlign w:val="center"/>
            <w:hideMark/>
          </w:tcPr>
          <w:p w:rsidR="00243633" w:rsidRPr="00C454CD" w:rsidRDefault="00243633" w:rsidP="00D527BB">
            <w:pPr>
              <w:spacing w:after="0" w:line="240" w:lineRule="auto"/>
              <w:rPr>
                <w:rFonts w:ascii="Times New Roman" w:eastAsia="Times New Roman" w:hAnsi="Times New Roman" w:cs="Times New Roman"/>
                <w:lang w:eastAsia="tr-TR"/>
              </w:rPr>
            </w:pPr>
            <w:r w:rsidRPr="00C454CD">
              <w:rPr>
                <w:rFonts w:ascii="Times New Roman" w:eastAsia="Times New Roman" w:hAnsi="Times New Roman" w:cs="Times New Roman"/>
                <w:lang w:eastAsia="tr-TR"/>
              </w:rPr>
              <w:t>↑ Substrat konsentrasyonu</w:t>
            </w:r>
          </w:p>
        </w:tc>
        <w:tc>
          <w:tcPr>
            <w:tcW w:w="0" w:type="auto"/>
            <w:vAlign w:val="center"/>
            <w:hideMark/>
          </w:tcPr>
          <w:p w:rsidR="00243633" w:rsidRPr="00C454CD" w:rsidRDefault="00243633" w:rsidP="00D527BB">
            <w:pPr>
              <w:spacing w:after="0" w:line="240" w:lineRule="auto"/>
              <w:rPr>
                <w:rFonts w:ascii="Times New Roman" w:eastAsia="Times New Roman" w:hAnsi="Times New Roman" w:cs="Times New Roman"/>
                <w:lang w:eastAsia="tr-TR"/>
              </w:rPr>
            </w:pPr>
            <w:r w:rsidRPr="00C454CD">
              <w:rPr>
                <w:rFonts w:ascii="Times New Roman" w:eastAsia="Times New Roman" w:hAnsi="Times New Roman" w:cs="Times New Roman"/>
                <w:lang w:eastAsia="tr-TR"/>
              </w:rPr>
              <w:t>Substrat dozunu azaltmayı düşünün</w:t>
            </w:r>
          </w:p>
        </w:tc>
        <w:tc>
          <w:tcPr>
            <w:tcW w:w="0" w:type="auto"/>
            <w:vAlign w:val="center"/>
            <w:hideMark/>
          </w:tcPr>
          <w:p w:rsidR="00243633" w:rsidRPr="00133447" w:rsidRDefault="00243633" w:rsidP="00D527BB">
            <w:pPr>
              <w:spacing w:after="0" w:line="240" w:lineRule="auto"/>
              <w:rPr>
                <w:rFonts w:ascii="Times New Roman" w:eastAsia="Times New Roman" w:hAnsi="Times New Roman" w:cs="Times New Roman"/>
                <w:b/>
                <w:i/>
                <w:sz w:val="28"/>
                <w:szCs w:val="28"/>
                <w:u w:val="single"/>
                <w:lang w:eastAsia="tr-TR"/>
              </w:rPr>
            </w:pPr>
            <w:r w:rsidRPr="00133447">
              <w:rPr>
                <w:rFonts w:ascii="Times New Roman" w:eastAsia="Times New Roman" w:hAnsi="Times New Roman" w:cs="Times New Roman"/>
                <w:b/>
                <w:i/>
                <w:sz w:val="28"/>
                <w:szCs w:val="28"/>
                <w:u w:val="single"/>
                <w:lang w:eastAsia="tr-TR"/>
              </w:rPr>
              <w:t>(CYP3A4 devam ediyor)</w:t>
            </w:r>
          </w:p>
          <w:p w:rsidR="00243633" w:rsidRPr="00D47F8B" w:rsidRDefault="00243633" w:rsidP="00D527BB">
            <w:pPr>
              <w:spacing w:after="0" w:line="240" w:lineRule="auto"/>
              <w:rPr>
                <w:rFonts w:ascii="Times New Roman" w:eastAsia="Times New Roman" w:hAnsi="Times New Roman" w:cs="Times New Roman"/>
                <w:color w:val="000000"/>
                <w:sz w:val="24"/>
                <w:szCs w:val="24"/>
                <w:lang w:eastAsia="tr-TR"/>
              </w:rPr>
            </w:pPr>
            <w:r w:rsidRPr="00D47F8B">
              <w:rPr>
                <w:rFonts w:ascii="Times New Roman" w:eastAsia="Times New Roman" w:hAnsi="Times New Roman" w:cs="Times New Roman"/>
                <w:color w:val="0070C0"/>
                <w:sz w:val="24"/>
                <w:szCs w:val="24"/>
                <w:lang w:eastAsia="tr-TR"/>
              </w:rPr>
              <w:t>Benzodiazepinler, dihidropiridin kalsiyum kanal blokerleri</w:t>
            </w:r>
            <w:r w:rsidRPr="00D47F8B">
              <w:rPr>
                <w:rFonts w:ascii="Times New Roman" w:eastAsia="Times New Roman" w:hAnsi="Times New Roman" w:cs="Times New Roman"/>
                <w:b/>
                <w:color w:val="C00000"/>
                <w:sz w:val="24"/>
                <w:szCs w:val="24"/>
                <w:lang w:eastAsia="tr-TR"/>
              </w:rPr>
              <w:t>*</w:t>
            </w:r>
            <w:r w:rsidRPr="00D47F8B">
              <w:rPr>
                <w:rFonts w:ascii="Times New Roman" w:eastAsia="Times New Roman" w:hAnsi="Times New Roman" w:cs="Times New Roman"/>
                <w:color w:val="0070C0"/>
                <w:sz w:val="24"/>
                <w:szCs w:val="24"/>
                <w:lang w:eastAsia="tr-TR"/>
              </w:rPr>
              <w:t xml:space="preserve"> (örn</w:t>
            </w:r>
            <w:proofErr w:type="gramStart"/>
            <w:r w:rsidRPr="00D47F8B">
              <w:rPr>
                <w:rFonts w:ascii="Times New Roman" w:eastAsia="Times New Roman" w:hAnsi="Times New Roman" w:cs="Times New Roman"/>
                <w:color w:val="0070C0"/>
                <w:sz w:val="24"/>
                <w:szCs w:val="24"/>
                <w:lang w:eastAsia="tr-TR"/>
              </w:rPr>
              <w:t>.,</w:t>
            </w:r>
            <w:proofErr w:type="gramEnd"/>
            <w:r w:rsidRPr="00D47F8B">
              <w:rPr>
                <w:rFonts w:ascii="Times New Roman" w:eastAsia="Times New Roman" w:hAnsi="Times New Roman" w:cs="Times New Roman"/>
                <w:color w:val="0070C0"/>
                <w:sz w:val="24"/>
                <w:szCs w:val="24"/>
                <w:lang w:eastAsia="tr-TR"/>
              </w:rPr>
              <w:t xml:space="preserve"> amlodipin,</w:t>
            </w:r>
            <w:r w:rsidRPr="00D47F8B">
              <w:rPr>
                <w:rFonts w:ascii="Times New Roman" w:eastAsia="Times New Roman" w:hAnsi="Times New Roman" w:cs="Times New Roman"/>
                <w:b/>
                <w:color w:val="C00000"/>
                <w:sz w:val="24"/>
                <w:szCs w:val="24"/>
                <w:lang w:eastAsia="tr-TR"/>
              </w:rPr>
              <w:t>*</w:t>
            </w:r>
            <w:r w:rsidRPr="00D47F8B">
              <w:rPr>
                <w:rFonts w:ascii="Times New Roman" w:eastAsia="Times New Roman" w:hAnsi="Times New Roman" w:cs="Times New Roman"/>
                <w:color w:val="0070C0"/>
                <w:sz w:val="24"/>
                <w:szCs w:val="24"/>
                <w:lang w:eastAsia="tr-TR"/>
              </w:rPr>
              <w:t xml:space="preserve"> felodipin</w:t>
            </w:r>
            <w:r w:rsidRPr="00D47F8B">
              <w:rPr>
                <w:rFonts w:ascii="Times New Roman" w:eastAsia="Times New Roman" w:hAnsi="Times New Roman" w:cs="Times New Roman"/>
                <w:b/>
                <w:color w:val="C00000"/>
                <w:sz w:val="24"/>
                <w:szCs w:val="24"/>
                <w:lang w:eastAsia="tr-TR"/>
              </w:rPr>
              <w:t>*</w:t>
            </w:r>
            <w:r w:rsidRPr="00D47F8B">
              <w:rPr>
                <w:rFonts w:ascii="Times New Roman" w:eastAsia="Times New Roman" w:hAnsi="Times New Roman" w:cs="Times New Roman"/>
                <w:color w:val="0070C0"/>
                <w:sz w:val="24"/>
                <w:szCs w:val="24"/>
                <w:lang w:eastAsia="tr-TR"/>
              </w:rPr>
              <w:t>), CNI'ler</w:t>
            </w:r>
            <w:r w:rsidRPr="00D47F8B">
              <w:rPr>
                <w:rFonts w:ascii="Times New Roman" w:eastAsia="Times New Roman" w:hAnsi="Times New Roman" w:cs="Times New Roman"/>
                <w:color w:val="C00000"/>
                <w:sz w:val="24"/>
                <w:szCs w:val="24"/>
                <w:lang w:eastAsia="tr-TR"/>
              </w:rPr>
              <w:t>*</w:t>
            </w:r>
            <w:r w:rsidRPr="00D47F8B">
              <w:rPr>
                <w:rFonts w:ascii="Times New Roman" w:eastAsia="Times New Roman" w:hAnsi="Times New Roman" w:cs="Times New Roman"/>
                <w:color w:val="0070C0"/>
                <w:sz w:val="24"/>
                <w:szCs w:val="24"/>
                <w:lang w:eastAsia="tr-TR"/>
              </w:rPr>
              <w:t xml:space="preserve"> (örn., siklosporin,</w:t>
            </w:r>
            <w:r w:rsidRPr="00D47F8B">
              <w:rPr>
                <w:rFonts w:ascii="Times New Roman" w:eastAsia="Times New Roman" w:hAnsi="Times New Roman" w:cs="Times New Roman"/>
                <w:b/>
                <w:color w:val="C00000"/>
                <w:sz w:val="24"/>
                <w:szCs w:val="24"/>
                <w:lang w:eastAsia="tr-TR"/>
              </w:rPr>
              <w:t>*†</w:t>
            </w:r>
            <w:r w:rsidRPr="00D47F8B">
              <w:rPr>
                <w:rFonts w:ascii="Times New Roman" w:eastAsia="Times New Roman" w:hAnsi="Times New Roman" w:cs="Times New Roman"/>
                <w:color w:val="0070C0"/>
                <w:sz w:val="24"/>
                <w:szCs w:val="24"/>
                <w:lang w:eastAsia="tr-TR"/>
              </w:rPr>
              <w:t xml:space="preserve"> takrolimus</w:t>
            </w:r>
            <w:r w:rsidRPr="00D47F8B">
              <w:rPr>
                <w:rFonts w:ascii="Times New Roman" w:eastAsia="Times New Roman" w:hAnsi="Times New Roman" w:cs="Times New Roman"/>
                <w:b/>
                <w:color w:val="C00000"/>
                <w:sz w:val="24"/>
                <w:szCs w:val="24"/>
                <w:lang w:eastAsia="tr-TR"/>
              </w:rPr>
              <w:t>*†</w:t>
            </w:r>
            <w:r w:rsidRPr="00D47F8B">
              <w:rPr>
                <w:rFonts w:ascii="Times New Roman" w:eastAsia="Times New Roman" w:hAnsi="Times New Roman" w:cs="Times New Roman"/>
                <w:color w:val="0070C0"/>
                <w:sz w:val="24"/>
                <w:szCs w:val="24"/>
                <w:lang w:eastAsia="tr-TR"/>
              </w:rPr>
              <w:t>), PDE5 inhibitörleri</w:t>
            </w:r>
            <w:r w:rsidRPr="00D47F8B">
              <w:rPr>
                <w:rFonts w:ascii="Times New Roman" w:eastAsia="Times New Roman" w:hAnsi="Times New Roman" w:cs="Times New Roman"/>
                <w:b/>
                <w:color w:val="C00000"/>
                <w:sz w:val="24"/>
                <w:szCs w:val="24"/>
                <w:lang w:eastAsia="tr-TR"/>
              </w:rPr>
              <w:t>*</w:t>
            </w:r>
            <w:r w:rsidRPr="00D47F8B">
              <w:rPr>
                <w:rFonts w:ascii="Times New Roman" w:eastAsia="Times New Roman" w:hAnsi="Times New Roman" w:cs="Times New Roman"/>
                <w:color w:val="0070C0"/>
                <w:sz w:val="24"/>
                <w:szCs w:val="24"/>
                <w:lang w:eastAsia="tr-TR"/>
              </w:rPr>
              <w:t xml:space="preserve"> (örn., sildenafil</w:t>
            </w:r>
            <w:r w:rsidRPr="00D47F8B">
              <w:rPr>
                <w:rFonts w:ascii="Times New Roman" w:eastAsia="Times New Roman" w:hAnsi="Times New Roman" w:cs="Times New Roman"/>
                <w:b/>
                <w:color w:val="C00000"/>
                <w:sz w:val="24"/>
                <w:szCs w:val="24"/>
                <w:lang w:eastAsia="tr-TR"/>
              </w:rPr>
              <w:t>*</w:t>
            </w:r>
            <w:r w:rsidRPr="00D47F8B">
              <w:rPr>
                <w:rFonts w:ascii="Times New Roman" w:eastAsia="Times New Roman" w:hAnsi="Times New Roman" w:cs="Times New Roman"/>
                <w:color w:val="0070C0"/>
                <w:sz w:val="24"/>
                <w:szCs w:val="24"/>
                <w:lang w:eastAsia="tr-TR"/>
              </w:rPr>
              <w:t>), propafenon,</w:t>
            </w:r>
            <w:r w:rsidRPr="00D47F8B">
              <w:rPr>
                <w:rFonts w:ascii="Times New Roman" w:eastAsia="Times New Roman" w:hAnsi="Times New Roman" w:cs="Times New Roman"/>
                <w:b/>
                <w:color w:val="C00000"/>
                <w:sz w:val="24"/>
                <w:szCs w:val="24"/>
                <w:lang w:eastAsia="tr-TR"/>
              </w:rPr>
              <w:t>*</w:t>
            </w:r>
            <w:r w:rsidRPr="00D47F8B">
              <w:rPr>
                <w:rFonts w:ascii="Times New Roman" w:eastAsia="Times New Roman" w:hAnsi="Times New Roman" w:cs="Times New Roman"/>
                <w:color w:val="0070C0"/>
                <w:sz w:val="24"/>
                <w:szCs w:val="24"/>
                <w:lang w:eastAsia="tr-TR"/>
              </w:rPr>
              <w:t xml:space="preserve"> statinler* (pravastatin</w:t>
            </w:r>
            <w:r w:rsidRPr="00D47F8B">
              <w:rPr>
                <w:rFonts w:ascii="Times New Roman" w:eastAsia="Times New Roman" w:hAnsi="Times New Roman" w:cs="Times New Roman"/>
                <w:b/>
                <w:color w:val="C00000"/>
                <w:sz w:val="24"/>
                <w:szCs w:val="24"/>
                <w:lang w:eastAsia="tr-TR"/>
              </w:rPr>
              <w:t>*</w:t>
            </w:r>
            <w:r w:rsidRPr="00D47F8B">
              <w:rPr>
                <w:rFonts w:ascii="Times New Roman" w:eastAsia="Times New Roman" w:hAnsi="Times New Roman" w:cs="Times New Roman"/>
                <w:color w:val="0070C0"/>
                <w:sz w:val="24"/>
                <w:szCs w:val="24"/>
                <w:lang w:eastAsia="tr-TR"/>
              </w:rPr>
              <w:t xml:space="preserve"> hariç) ve rosuvastatin</w:t>
            </w:r>
            <w:r w:rsidRPr="00D47F8B">
              <w:rPr>
                <w:rFonts w:ascii="Times New Roman" w:eastAsia="Times New Roman" w:hAnsi="Times New Roman" w:cs="Times New Roman"/>
                <w:b/>
                <w:color w:val="C00000"/>
                <w:sz w:val="24"/>
                <w:szCs w:val="24"/>
                <w:lang w:eastAsia="tr-TR"/>
              </w:rPr>
              <w:t>*</w:t>
            </w:r>
            <w:r w:rsidRPr="00D47F8B">
              <w:rPr>
                <w:rFonts w:ascii="Times New Roman" w:eastAsia="Times New Roman" w:hAnsi="Times New Roman" w:cs="Times New Roman"/>
                <w:color w:val="0070C0"/>
                <w:sz w:val="24"/>
                <w:szCs w:val="24"/>
                <w:lang w:eastAsia="tr-TR"/>
              </w:rPr>
              <w:t xml:space="preserve">), </w:t>
            </w:r>
            <w:r w:rsidRPr="00D47F8B">
              <w:rPr>
                <w:rFonts w:ascii="Times New Roman" w:eastAsia="Times New Roman" w:hAnsi="Times New Roman" w:cs="Times New Roman"/>
                <w:color w:val="0070C0"/>
                <w:sz w:val="24"/>
                <w:szCs w:val="24"/>
                <w:lang w:eastAsia="tr-TR"/>
              </w:rPr>
              <w:lastRenderedPageBreak/>
              <w:t>zaleplon, zopiklon, zolpidem</w:t>
            </w:r>
          </w:p>
        </w:tc>
        <w:tc>
          <w:tcPr>
            <w:tcW w:w="0" w:type="auto"/>
            <w:vAlign w:val="center"/>
            <w:hideMark/>
          </w:tcPr>
          <w:p w:rsidR="00243633" w:rsidRPr="00A31B67" w:rsidRDefault="00243633" w:rsidP="00D527BB">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243633" w:rsidRPr="00A31B67" w:rsidRDefault="00243633" w:rsidP="00D527BB">
            <w:pPr>
              <w:spacing w:after="0" w:line="240" w:lineRule="auto"/>
              <w:rPr>
                <w:rFonts w:ascii="Times New Roman" w:eastAsia="Times New Roman" w:hAnsi="Times New Roman" w:cs="Times New Roman"/>
                <w:sz w:val="20"/>
                <w:szCs w:val="20"/>
                <w:lang w:eastAsia="tr-TR"/>
              </w:rPr>
            </w:pPr>
          </w:p>
        </w:tc>
      </w:tr>
      <w:tr w:rsidR="00243633" w:rsidRPr="00A31B67" w:rsidTr="00D527BB">
        <w:tc>
          <w:tcPr>
            <w:tcW w:w="1118" w:type="dxa"/>
            <w:shd w:val="clear" w:color="auto" w:fill="FFF2CC" w:themeFill="accent4" w:themeFillTint="33"/>
            <w:vAlign w:val="center"/>
            <w:hideMark/>
          </w:tcPr>
          <w:p w:rsidR="00243633" w:rsidRPr="00324A05" w:rsidRDefault="00243633" w:rsidP="00D527BB">
            <w:pPr>
              <w:spacing w:after="0" w:line="240" w:lineRule="auto"/>
              <w:rPr>
                <w:rFonts w:ascii="Times New Roman" w:eastAsia="Times New Roman" w:hAnsi="Times New Roman" w:cs="Times New Roman"/>
                <w:b/>
                <w:i/>
                <w:lang w:eastAsia="tr-TR"/>
              </w:rPr>
            </w:pPr>
            <w:r w:rsidRPr="00324A05">
              <w:rPr>
                <w:rFonts w:ascii="Times New Roman" w:eastAsia="Times New Roman" w:hAnsi="Times New Roman" w:cs="Times New Roman"/>
                <w:lang w:eastAsia="tr-TR"/>
              </w:rPr>
              <w:t> </w:t>
            </w:r>
            <w:r w:rsidRPr="00324A05">
              <w:rPr>
                <w:rFonts w:ascii="Times New Roman" w:eastAsia="Times New Roman" w:hAnsi="Times New Roman" w:cs="Times New Roman"/>
                <w:lang w:eastAsia="tr-TR"/>
              </w:rPr>
              <w:t> </w:t>
            </w:r>
            <w:r w:rsidRPr="00324A05">
              <w:rPr>
                <w:rFonts w:ascii="Times New Roman" w:eastAsia="Times New Roman" w:hAnsi="Times New Roman" w:cs="Times New Roman"/>
                <w:b/>
                <w:i/>
                <w:lang w:eastAsia="tr-TR"/>
              </w:rPr>
              <w:t>Inhibitör-</w:t>
            </w:r>
          </w:p>
          <w:p w:rsidR="00243633" w:rsidRPr="00324A05" w:rsidRDefault="00243633" w:rsidP="00D527BB">
            <w:pPr>
              <w:spacing w:after="0" w:line="240" w:lineRule="auto"/>
              <w:rPr>
                <w:rFonts w:ascii="Times New Roman" w:eastAsia="Times New Roman" w:hAnsi="Times New Roman" w:cs="Times New Roman"/>
                <w:lang w:eastAsia="tr-TR"/>
              </w:rPr>
            </w:pPr>
            <w:r w:rsidRPr="00324A05">
              <w:rPr>
                <w:rFonts w:ascii="Times New Roman" w:eastAsia="Times New Roman" w:hAnsi="Times New Roman" w:cs="Times New Roman"/>
                <w:b/>
                <w:i/>
                <w:lang w:eastAsia="tr-TR"/>
              </w:rPr>
              <w:t>ler</w:t>
            </w:r>
          </w:p>
        </w:tc>
        <w:tc>
          <w:tcPr>
            <w:tcW w:w="1543" w:type="dxa"/>
            <w:vAlign w:val="center"/>
            <w:hideMark/>
          </w:tcPr>
          <w:p w:rsidR="00243633" w:rsidRPr="00324A05" w:rsidRDefault="00243633" w:rsidP="00D527BB">
            <w:pPr>
              <w:spacing w:after="0" w:line="240" w:lineRule="auto"/>
              <w:rPr>
                <w:rFonts w:ascii="Times New Roman" w:eastAsia="Times New Roman" w:hAnsi="Times New Roman" w:cs="Times New Roman"/>
                <w:lang w:eastAsia="tr-TR"/>
              </w:rPr>
            </w:pPr>
            <w:r w:rsidRPr="00324A05">
              <w:rPr>
                <w:rFonts w:eastAsia="Times New Roman" w:cstheme="minorHAnsi"/>
                <w:b/>
                <w:lang w:eastAsia="tr-TR"/>
              </w:rPr>
              <w:t xml:space="preserve">↑ </w:t>
            </w:r>
            <w:r w:rsidRPr="00324A05">
              <w:rPr>
                <w:rFonts w:ascii="Times New Roman" w:eastAsia="Times New Roman" w:hAnsi="Times New Roman" w:cs="Times New Roman"/>
                <w:lang w:eastAsia="tr-TR"/>
              </w:rPr>
              <w:t xml:space="preserve">CBD </w:t>
            </w:r>
            <w:proofErr w:type="gramStart"/>
            <w:r w:rsidRPr="00324A05">
              <w:rPr>
                <w:rFonts w:ascii="Times New Roman" w:eastAsia="Times New Roman" w:hAnsi="Times New Roman" w:cs="Times New Roman"/>
                <w:lang w:eastAsia="tr-TR"/>
              </w:rPr>
              <w:t>konsantrasyonu</w:t>
            </w:r>
            <w:proofErr w:type="gramEnd"/>
          </w:p>
        </w:tc>
        <w:tc>
          <w:tcPr>
            <w:tcW w:w="1574" w:type="dxa"/>
            <w:vAlign w:val="center"/>
            <w:hideMark/>
          </w:tcPr>
          <w:p w:rsidR="00243633" w:rsidRPr="00324A05" w:rsidRDefault="00243633" w:rsidP="00D527BB">
            <w:pPr>
              <w:spacing w:after="0" w:line="240" w:lineRule="auto"/>
              <w:rPr>
                <w:rFonts w:ascii="Times New Roman" w:eastAsia="Times New Roman" w:hAnsi="Times New Roman" w:cs="Times New Roman"/>
                <w:lang w:eastAsia="tr-TR"/>
              </w:rPr>
            </w:pPr>
            <w:r w:rsidRPr="00324A05">
              <w:rPr>
                <w:rFonts w:eastAsia="Times New Roman" w:cstheme="minorHAnsi"/>
                <w:b/>
                <w:lang w:eastAsia="tr-TR"/>
              </w:rPr>
              <w:t>↑</w:t>
            </w:r>
            <w:r w:rsidRPr="00324A05">
              <w:rPr>
                <w:rFonts w:ascii="Times New Roman" w:eastAsia="Times New Roman" w:hAnsi="Times New Roman" w:cs="Times New Roman"/>
                <w:lang w:eastAsia="tr-TR"/>
              </w:rPr>
              <w:t xml:space="preserve"> THC </w:t>
            </w:r>
            <w:proofErr w:type="gramStart"/>
            <w:r w:rsidRPr="00324A05">
              <w:rPr>
                <w:rFonts w:ascii="Times New Roman" w:eastAsia="Times New Roman" w:hAnsi="Times New Roman" w:cs="Times New Roman"/>
                <w:lang w:eastAsia="tr-TR"/>
              </w:rPr>
              <w:t>konsantrasyonu</w:t>
            </w:r>
            <w:proofErr w:type="gramEnd"/>
          </w:p>
        </w:tc>
        <w:tc>
          <w:tcPr>
            <w:tcW w:w="0" w:type="auto"/>
            <w:vAlign w:val="center"/>
            <w:hideMark/>
          </w:tcPr>
          <w:p w:rsidR="00243633" w:rsidRPr="00324A05" w:rsidRDefault="00243633" w:rsidP="00D527BB">
            <w:pPr>
              <w:spacing w:after="0" w:line="240" w:lineRule="auto"/>
              <w:rPr>
                <w:rFonts w:ascii="Times New Roman" w:eastAsia="Times New Roman" w:hAnsi="Times New Roman" w:cs="Times New Roman"/>
                <w:lang w:eastAsia="tr-TR"/>
              </w:rPr>
            </w:pPr>
            <w:r w:rsidRPr="00324A05">
              <w:rPr>
                <w:rFonts w:ascii="Times New Roman" w:eastAsia="Times New Roman" w:hAnsi="Times New Roman" w:cs="Times New Roman"/>
                <w:lang w:eastAsia="tr-TR"/>
              </w:rPr>
              <w:t>Kannabis ürününün dozunu azaltmayı düşünün</w:t>
            </w:r>
          </w:p>
        </w:tc>
        <w:tc>
          <w:tcPr>
            <w:tcW w:w="0" w:type="auto"/>
            <w:vAlign w:val="center"/>
            <w:hideMark/>
          </w:tcPr>
          <w:p w:rsidR="00243633" w:rsidRPr="00D47F8B" w:rsidRDefault="00243633" w:rsidP="00D527BB">
            <w:pPr>
              <w:spacing w:after="0" w:line="240" w:lineRule="auto"/>
              <w:rPr>
                <w:rFonts w:ascii="Times New Roman" w:eastAsia="Times New Roman" w:hAnsi="Times New Roman" w:cs="Times New Roman"/>
                <w:color w:val="000000"/>
                <w:sz w:val="24"/>
                <w:szCs w:val="24"/>
                <w:lang w:eastAsia="tr-TR"/>
              </w:rPr>
            </w:pPr>
            <w:r w:rsidRPr="00D47F8B">
              <w:rPr>
                <w:rFonts w:ascii="Times New Roman" w:eastAsia="Times New Roman" w:hAnsi="Times New Roman" w:cs="Times New Roman"/>
                <w:color w:val="4472C4" w:themeColor="accent5"/>
                <w:sz w:val="24"/>
                <w:szCs w:val="24"/>
                <w:lang w:eastAsia="tr-TR"/>
              </w:rPr>
              <w:t>Antiaritmik</w:t>
            </w:r>
            <w:r w:rsidRPr="00D47F8B">
              <w:rPr>
                <w:rFonts w:ascii="Times New Roman" w:eastAsia="Times New Roman" w:hAnsi="Times New Roman" w:cs="Times New Roman"/>
                <w:b/>
                <w:color w:val="C00000"/>
                <w:sz w:val="24"/>
                <w:szCs w:val="24"/>
                <w:lang w:eastAsia="tr-TR"/>
              </w:rPr>
              <w:t>*</w:t>
            </w:r>
            <w:r w:rsidRPr="00D47F8B">
              <w:rPr>
                <w:rFonts w:ascii="Times New Roman" w:eastAsia="Times New Roman" w:hAnsi="Times New Roman" w:cs="Times New Roman"/>
                <w:color w:val="4472C4" w:themeColor="accent5"/>
                <w:sz w:val="24"/>
                <w:szCs w:val="24"/>
                <w:lang w:eastAsia="tr-TR"/>
              </w:rPr>
              <w:t xml:space="preserve"> </w:t>
            </w:r>
            <w:proofErr w:type="gramStart"/>
            <w:r w:rsidRPr="00D47F8B">
              <w:rPr>
                <w:rFonts w:ascii="Times New Roman" w:eastAsia="Times New Roman" w:hAnsi="Times New Roman" w:cs="Times New Roman"/>
                <w:color w:val="4472C4" w:themeColor="accent5"/>
                <w:sz w:val="24"/>
                <w:szCs w:val="24"/>
                <w:lang w:eastAsia="tr-TR"/>
              </w:rPr>
              <w:t>(</w:t>
            </w:r>
            <w:proofErr w:type="gramEnd"/>
            <w:r w:rsidRPr="00D47F8B">
              <w:rPr>
                <w:rFonts w:ascii="Times New Roman" w:eastAsia="Times New Roman" w:hAnsi="Times New Roman" w:cs="Times New Roman"/>
                <w:color w:val="4472C4" w:themeColor="accent5"/>
                <w:sz w:val="24"/>
                <w:szCs w:val="24"/>
                <w:lang w:eastAsia="tr-TR"/>
              </w:rPr>
              <w:t>ör. amiodaron,</w:t>
            </w:r>
            <w:r w:rsidRPr="00D47F8B">
              <w:rPr>
                <w:rFonts w:ascii="Times New Roman" w:eastAsia="Times New Roman" w:hAnsi="Times New Roman" w:cs="Times New Roman"/>
                <w:b/>
                <w:color w:val="C00000"/>
                <w:sz w:val="24"/>
                <w:szCs w:val="24"/>
                <w:lang w:eastAsia="tr-TR"/>
              </w:rPr>
              <w:t xml:space="preserve">* </w:t>
            </w:r>
            <w:r w:rsidRPr="00D47F8B">
              <w:rPr>
                <w:rFonts w:ascii="Times New Roman" w:eastAsia="Times New Roman" w:hAnsi="Times New Roman" w:cs="Times New Roman"/>
                <w:color w:val="4472C4" w:themeColor="accent5"/>
                <w:sz w:val="24"/>
                <w:szCs w:val="24"/>
                <w:lang w:eastAsia="tr-TR"/>
              </w:rPr>
              <w:t>dronedaron,</w:t>
            </w:r>
            <w:r w:rsidRPr="00D47F8B">
              <w:rPr>
                <w:rFonts w:ascii="Times New Roman" w:eastAsia="Times New Roman" w:hAnsi="Times New Roman" w:cs="Times New Roman"/>
                <w:b/>
                <w:color w:val="C00000"/>
                <w:sz w:val="24"/>
                <w:szCs w:val="24"/>
                <w:lang w:eastAsia="tr-TR"/>
              </w:rPr>
              <w:t>*</w:t>
            </w:r>
            <w:r w:rsidRPr="00D47F8B">
              <w:rPr>
                <w:rFonts w:ascii="Times New Roman" w:eastAsia="Times New Roman" w:hAnsi="Times New Roman" w:cs="Times New Roman"/>
                <w:color w:val="4472C4" w:themeColor="accent5"/>
                <w:sz w:val="24"/>
                <w:szCs w:val="24"/>
                <w:lang w:eastAsia="tr-TR"/>
              </w:rPr>
              <w:t xml:space="preserve"> kinidin</w:t>
            </w:r>
            <w:r w:rsidRPr="00D47F8B">
              <w:rPr>
                <w:rFonts w:ascii="Times New Roman" w:eastAsia="Times New Roman" w:hAnsi="Times New Roman" w:cs="Times New Roman"/>
                <w:b/>
                <w:color w:val="C00000"/>
                <w:sz w:val="24"/>
                <w:szCs w:val="24"/>
                <w:lang w:eastAsia="tr-TR"/>
              </w:rPr>
              <w:t>*</w:t>
            </w:r>
            <w:proofErr w:type="gramStart"/>
            <w:r w:rsidRPr="00D47F8B">
              <w:rPr>
                <w:rFonts w:ascii="Times New Roman" w:eastAsia="Times New Roman" w:hAnsi="Times New Roman" w:cs="Times New Roman"/>
                <w:color w:val="4472C4" w:themeColor="accent5"/>
                <w:sz w:val="24"/>
                <w:szCs w:val="24"/>
                <w:lang w:eastAsia="tr-TR"/>
              </w:rPr>
              <w:t>)</w:t>
            </w:r>
            <w:proofErr w:type="gramEnd"/>
            <w:r w:rsidRPr="00D47F8B">
              <w:rPr>
                <w:rFonts w:ascii="Times New Roman" w:eastAsia="Times New Roman" w:hAnsi="Times New Roman" w:cs="Times New Roman"/>
                <w:color w:val="4472C4" w:themeColor="accent5"/>
                <w:sz w:val="24"/>
                <w:szCs w:val="24"/>
                <w:lang w:eastAsia="tr-TR"/>
              </w:rPr>
              <w:t>, azol antifungaller (ör. ketokonazol, itrakonazol, posakonazol</w:t>
            </w:r>
            <w:proofErr w:type="gramStart"/>
            <w:r w:rsidRPr="00D47F8B">
              <w:rPr>
                <w:rFonts w:ascii="Times New Roman" w:eastAsia="Times New Roman" w:hAnsi="Times New Roman" w:cs="Times New Roman"/>
                <w:color w:val="4472C4" w:themeColor="accent5"/>
                <w:sz w:val="24"/>
                <w:szCs w:val="24"/>
                <w:lang w:eastAsia="tr-TR"/>
              </w:rPr>
              <w:t>)</w:t>
            </w:r>
            <w:proofErr w:type="gramEnd"/>
            <w:r w:rsidRPr="00D47F8B">
              <w:rPr>
                <w:rFonts w:ascii="Times New Roman" w:eastAsia="Times New Roman" w:hAnsi="Times New Roman" w:cs="Times New Roman"/>
                <w:color w:val="4472C4" w:themeColor="accent5"/>
                <w:sz w:val="24"/>
                <w:szCs w:val="24"/>
                <w:lang w:eastAsia="tr-TR"/>
              </w:rPr>
              <w:t>, dihidropiridin olmayan</w:t>
            </w:r>
            <w:r w:rsidRPr="00D47F8B">
              <w:rPr>
                <w:rFonts w:ascii="Times New Roman" w:eastAsia="Times New Roman" w:hAnsi="Times New Roman" w:cs="Times New Roman"/>
                <w:b/>
                <w:color w:val="C00000"/>
                <w:sz w:val="24"/>
                <w:szCs w:val="24"/>
                <w:lang w:eastAsia="tr-TR"/>
              </w:rPr>
              <w:t>*</w:t>
            </w:r>
            <w:r w:rsidRPr="00D47F8B">
              <w:rPr>
                <w:rFonts w:ascii="Times New Roman" w:eastAsia="Times New Roman" w:hAnsi="Times New Roman" w:cs="Times New Roman"/>
                <w:color w:val="4472C4" w:themeColor="accent5"/>
                <w:sz w:val="24"/>
                <w:szCs w:val="24"/>
                <w:lang w:eastAsia="tr-TR"/>
              </w:rPr>
              <w:t xml:space="preserve"> (ör. diltiazem,</w:t>
            </w:r>
            <w:r w:rsidRPr="00D47F8B">
              <w:rPr>
                <w:rFonts w:ascii="Times New Roman" w:eastAsia="Times New Roman" w:hAnsi="Times New Roman" w:cs="Times New Roman"/>
                <w:b/>
                <w:color w:val="C00000"/>
                <w:sz w:val="24"/>
                <w:szCs w:val="24"/>
                <w:lang w:eastAsia="tr-TR"/>
              </w:rPr>
              <w:t xml:space="preserve">* </w:t>
            </w:r>
            <w:r w:rsidRPr="00D47F8B">
              <w:rPr>
                <w:rFonts w:ascii="Times New Roman" w:eastAsia="Times New Roman" w:hAnsi="Times New Roman" w:cs="Times New Roman"/>
                <w:color w:val="4472C4" w:themeColor="accent5"/>
                <w:sz w:val="24"/>
                <w:szCs w:val="24"/>
                <w:lang w:eastAsia="tr-TR"/>
              </w:rPr>
              <w:t>verapamil</w:t>
            </w:r>
            <w:r w:rsidRPr="00D47F8B">
              <w:rPr>
                <w:rFonts w:ascii="Times New Roman" w:eastAsia="Times New Roman" w:hAnsi="Times New Roman" w:cs="Times New Roman"/>
                <w:b/>
                <w:color w:val="C00000"/>
                <w:sz w:val="24"/>
                <w:szCs w:val="24"/>
                <w:lang w:eastAsia="tr-TR"/>
              </w:rPr>
              <w:t>*</w:t>
            </w:r>
            <w:proofErr w:type="gramStart"/>
            <w:r w:rsidRPr="00D47F8B">
              <w:rPr>
                <w:rFonts w:ascii="Times New Roman" w:eastAsia="Times New Roman" w:hAnsi="Times New Roman" w:cs="Times New Roman"/>
                <w:color w:val="4472C4" w:themeColor="accent5"/>
                <w:sz w:val="24"/>
                <w:szCs w:val="24"/>
                <w:lang w:eastAsia="tr-TR"/>
              </w:rPr>
              <w:t>)</w:t>
            </w:r>
            <w:proofErr w:type="gramEnd"/>
            <w:r w:rsidRPr="00D47F8B">
              <w:rPr>
                <w:rFonts w:ascii="Times New Roman" w:eastAsia="Times New Roman" w:hAnsi="Times New Roman" w:cs="Times New Roman"/>
                <w:color w:val="4472C4" w:themeColor="accent5"/>
                <w:sz w:val="24"/>
                <w:szCs w:val="24"/>
                <w:lang w:eastAsia="tr-TR"/>
              </w:rPr>
              <w:t>, makrolidler (ör. klaritromisin, eritromisin</w:t>
            </w:r>
            <w:proofErr w:type="gramStart"/>
            <w:r w:rsidRPr="00D47F8B">
              <w:rPr>
                <w:rFonts w:ascii="Times New Roman" w:eastAsia="Times New Roman" w:hAnsi="Times New Roman" w:cs="Times New Roman"/>
                <w:color w:val="4472C4" w:themeColor="accent5"/>
                <w:sz w:val="24"/>
                <w:szCs w:val="24"/>
                <w:lang w:eastAsia="tr-TR"/>
              </w:rPr>
              <w:t>)</w:t>
            </w:r>
            <w:proofErr w:type="gramEnd"/>
            <w:r w:rsidRPr="00D47F8B">
              <w:rPr>
                <w:rFonts w:ascii="Times New Roman" w:eastAsia="Times New Roman" w:hAnsi="Times New Roman" w:cs="Times New Roman"/>
                <w:color w:val="4472C4" w:themeColor="accent5"/>
                <w:sz w:val="24"/>
                <w:szCs w:val="24"/>
                <w:lang w:eastAsia="tr-TR"/>
              </w:rPr>
              <w:t>, proteaz inhibitörleri (örn. ritonavir, indinavir, nelfinavir, sakinavir, telaprevir, atazanavir, boceprevir, lopinavir), tirozin kinaz inhibitörleri, valproat</w:t>
            </w:r>
            <w:r w:rsidRPr="00D47F8B">
              <w:rPr>
                <w:rFonts w:ascii="Times New Roman" w:eastAsia="Times New Roman" w:hAnsi="Times New Roman" w:cs="Times New Roman"/>
                <w:b/>
                <w:color w:val="C00000"/>
                <w:sz w:val="24"/>
                <w:szCs w:val="24"/>
                <w:lang w:eastAsia="tr-TR"/>
              </w:rPr>
              <w:t>‡</w:t>
            </w:r>
          </w:p>
        </w:tc>
        <w:tc>
          <w:tcPr>
            <w:tcW w:w="0" w:type="auto"/>
            <w:vAlign w:val="center"/>
            <w:hideMark/>
          </w:tcPr>
          <w:p w:rsidR="00243633" w:rsidRPr="00A31B67" w:rsidRDefault="00243633" w:rsidP="00D527BB">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243633" w:rsidRPr="00A31B67" w:rsidRDefault="00243633" w:rsidP="00D527BB">
            <w:pPr>
              <w:spacing w:after="0" w:line="240" w:lineRule="auto"/>
              <w:rPr>
                <w:rFonts w:ascii="Times New Roman" w:eastAsia="Times New Roman" w:hAnsi="Times New Roman" w:cs="Times New Roman"/>
                <w:sz w:val="20"/>
                <w:szCs w:val="20"/>
                <w:lang w:eastAsia="tr-TR"/>
              </w:rPr>
            </w:pPr>
          </w:p>
        </w:tc>
      </w:tr>
      <w:tr w:rsidR="00243633" w:rsidRPr="00A31B67" w:rsidTr="00D527BB">
        <w:tc>
          <w:tcPr>
            <w:tcW w:w="1118" w:type="dxa"/>
            <w:shd w:val="clear" w:color="auto" w:fill="FFF2CC" w:themeFill="accent4" w:themeFillTint="33"/>
            <w:vAlign w:val="center"/>
            <w:hideMark/>
          </w:tcPr>
          <w:p w:rsidR="00243633" w:rsidRPr="00324A05" w:rsidRDefault="00243633" w:rsidP="00D527BB">
            <w:pPr>
              <w:spacing w:after="0" w:line="240" w:lineRule="auto"/>
              <w:rPr>
                <w:rFonts w:ascii="Times New Roman" w:eastAsia="Times New Roman" w:hAnsi="Times New Roman" w:cs="Times New Roman"/>
                <w:color w:val="0070C0"/>
                <w:lang w:eastAsia="tr-TR"/>
              </w:rPr>
            </w:pPr>
            <w:r w:rsidRPr="00324A05">
              <w:rPr>
                <w:rFonts w:ascii="Times New Roman" w:eastAsia="Times New Roman" w:hAnsi="Times New Roman" w:cs="Times New Roman"/>
                <w:color w:val="0070C0"/>
                <w:lang w:eastAsia="tr-TR"/>
              </w:rPr>
              <w:t> </w:t>
            </w:r>
            <w:r w:rsidRPr="00324A05">
              <w:rPr>
                <w:rFonts w:ascii="Times New Roman" w:eastAsia="Times New Roman" w:hAnsi="Times New Roman" w:cs="Times New Roman"/>
                <w:color w:val="0070C0"/>
                <w:lang w:eastAsia="tr-TR"/>
              </w:rPr>
              <w:t> </w:t>
            </w:r>
            <w:r w:rsidRPr="00324A05">
              <w:rPr>
                <w:rFonts w:ascii="Times New Roman" w:eastAsia="Times New Roman" w:hAnsi="Times New Roman" w:cs="Times New Roman"/>
                <w:color w:val="0070C0"/>
                <w:lang w:eastAsia="tr-TR"/>
              </w:rPr>
              <w:t>I</w:t>
            </w:r>
            <w:r w:rsidRPr="00324A05">
              <w:rPr>
                <w:rFonts w:ascii="Times New Roman" w:eastAsia="Times New Roman" w:hAnsi="Times New Roman" w:cs="Times New Roman"/>
                <w:b/>
                <w:i/>
                <w:lang w:eastAsia="tr-TR"/>
              </w:rPr>
              <w:t>ndükleyici- ler</w:t>
            </w:r>
          </w:p>
        </w:tc>
        <w:tc>
          <w:tcPr>
            <w:tcW w:w="1543" w:type="dxa"/>
            <w:vAlign w:val="center"/>
            <w:hideMark/>
          </w:tcPr>
          <w:p w:rsidR="00243633" w:rsidRPr="00324A05" w:rsidRDefault="00243633" w:rsidP="00D527BB">
            <w:pPr>
              <w:spacing w:after="0" w:line="240" w:lineRule="auto"/>
              <w:rPr>
                <w:rFonts w:ascii="Times New Roman" w:eastAsia="Times New Roman" w:hAnsi="Times New Roman" w:cs="Times New Roman"/>
                <w:lang w:eastAsia="tr-TR"/>
              </w:rPr>
            </w:pPr>
            <w:r w:rsidRPr="00324A05">
              <w:rPr>
                <w:rFonts w:eastAsia="Times New Roman" w:cstheme="minorHAnsi"/>
                <w:b/>
                <w:lang w:eastAsia="tr-TR"/>
              </w:rPr>
              <w:t>↓</w:t>
            </w:r>
            <w:r w:rsidRPr="00324A05">
              <w:rPr>
                <w:rFonts w:ascii="Times New Roman" w:eastAsia="Times New Roman" w:hAnsi="Times New Roman" w:cs="Times New Roman"/>
                <w:lang w:eastAsia="tr-TR"/>
              </w:rPr>
              <w:t xml:space="preserve"> CBD </w:t>
            </w:r>
            <w:proofErr w:type="gramStart"/>
            <w:r w:rsidRPr="00324A05">
              <w:rPr>
                <w:rFonts w:ascii="Times New Roman" w:eastAsia="Times New Roman" w:hAnsi="Times New Roman" w:cs="Times New Roman"/>
                <w:lang w:eastAsia="tr-TR"/>
              </w:rPr>
              <w:t>konsantrasyonu</w:t>
            </w:r>
            <w:proofErr w:type="gramEnd"/>
          </w:p>
        </w:tc>
        <w:tc>
          <w:tcPr>
            <w:tcW w:w="1574" w:type="dxa"/>
            <w:vAlign w:val="center"/>
            <w:hideMark/>
          </w:tcPr>
          <w:p w:rsidR="00243633" w:rsidRPr="00324A05" w:rsidRDefault="00243633" w:rsidP="00D527BB">
            <w:pPr>
              <w:spacing w:after="0" w:line="240" w:lineRule="auto"/>
              <w:rPr>
                <w:rFonts w:ascii="Times New Roman" w:eastAsia="Times New Roman" w:hAnsi="Times New Roman" w:cs="Times New Roman"/>
                <w:lang w:eastAsia="tr-TR"/>
              </w:rPr>
            </w:pPr>
            <w:r w:rsidRPr="00324A05">
              <w:rPr>
                <w:rFonts w:eastAsia="Times New Roman" w:cstheme="minorHAnsi"/>
                <w:b/>
                <w:lang w:eastAsia="tr-TR"/>
              </w:rPr>
              <w:t>↓</w:t>
            </w:r>
            <w:r w:rsidRPr="00324A05">
              <w:rPr>
                <w:rFonts w:ascii="Times New Roman" w:eastAsia="Times New Roman" w:hAnsi="Times New Roman" w:cs="Times New Roman"/>
                <w:lang w:eastAsia="tr-TR"/>
              </w:rPr>
              <w:t xml:space="preserve"> THC kconsantrasyonu</w:t>
            </w:r>
          </w:p>
        </w:tc>
        <w:tc>
          <w:tcPr>
            <w:tcW w:w="0" w:type="auto"/>
            <w:vAlign w:val="center"/>
            <w:hideMark/>
          </w:tcPr>
          <w:p w:rsidR="00243633" w:rsidRPr="00324A05" w:rsidRDefault="00243633" w:rsidP="00D527BB">
            <w:pPr>
              <w:spacing w:after="0" w:line="240" w:lineRule="auto"/>
              <w:rPr>
                <w:rFonts w:ascii="Times New Roman" w:eastAsia="Times New Roman" w:hAnsi="Times New Roman" w:cs="Times New Roman"/>
                <w:lang w:eastAsia="tr-TR"/>
              </w:rPr>
            </w:pPr>
            <w:r w:rsidRPr="00324A05">
              <w:rPr>
                <w:rFonts w:ascii="Times New Roman" w:eastAsia="Times New Roman" w:hAnsi="Times New Roman" w:cs="Times New Roman"/>
                <w:lang w:eastAsia="tr-TR"/>
              </w:rPr>
              <w:t>Kannabis</w:t>
            </w:r>
          </w:p>
          <w:p w:rsidR="00243633" w:rsidRPr="00324A05" w:rsidRDefault="00243633" w:rsidP="00D527BB">
            <w:pPr>
              <w:spacing w:after="0" w:line="240" w:lineRule="auto"/>
              <w:rPr>
                <w:rFonts w:ascii="Times New Roman" w:eastAsia="Times New Roman" w:hAnsi="Times New Roman" w:cs="Times New Roman"/>
                <w:lang w:eastAsia="tr-TR"/>
              </w:rPr>
            </w:pPr>
            <w:proofErr w:type="gramStart"/>
            <w:r w:rsidRPr="00324A05">
              <w:rPr>
                <w:rFonts w:ascii="Times New Roman" w:eastAsia="Times New Roman" w:hAnsi="Times New Roman" w:cs="Times New Roman"/>
                <w:lang w:eastAsia="tr-TR"/>
              </w:rPr>
              <w:t>ürününün</w:t>
            </w:r>
            <w:proofErr w:type="gramEnd"/>
            <w:r w:rsidRPr="00324A05">
              <w:rPr>
                <w:rFonts w:ascii="Times New Roman" w:eastAsia="Times New Roman" w:hAnsi="Times New Roman" w:cs="Times New Roman"/>
                <w:lang w:eastAsia="tr-TR"/>
              </w:rPr>
              <w:t xml:space="preserve"> dozunu artırmayı düşünün</w:t>
            </w:r>
          </w:p>
        </w:tc>
        <w:tc>
          <w:tcPr>
            <w:tcW w:w="0" w:type="auto"/>
            <w:vAlign w:val="center"/>
            <w:hideMark/>
          </w:tcPr>
          <w:p w:rsidR="00243633" w:rsidRPr="00D47F8B" w:rsidRDefault="00243633" w:rsidP="00D527BB">
            <w:pPr>
              <w:spacing w:after="0" w:line="240" w:lineRule="auto"/>
              <w:rPr>
                <w:rFonts w:ascii="Times New Roman" w:eastAsia="Times New Roman" w:hAnsi="Times New Roman" w:cs="Times New Roman"/>
                <w:color w:val="000000"/>
                <w:sz w:val="24"/>
                <w:szCs w:val="24"/>
                <w:lang w:eastAsia="tr-TR"/>
              </w:rPr>
            </w:pPr>
            <w:r w:rsidRPr="00D47F8B">
              <w:rPr>
                <w:rFonts w:ascii="Times New Roman" w:eastAsia="Times New Roman" w:hAnsi="Times New Roman" w:cs="Times New Roman"/>
                <w:color w:val="0070C0"/>
                <w:sz w:val="24"/>
                <w:szCs w:val="24"/>
                <w:lang w:eastAsia="tr-TR"/>
              </w:rPr>
              <w:t>Karbamazepin, simetidin, fenitoin, fenobarbital, pioglitazon, rifampin, sarı kantaron, topiramat</w:t>
            </w:r>
          </w:p>
        </w:tc>
        <w:tc>
          <w:tcPr>
            <w:tcW w:w="0" w:type="auto"/>
            <w:vAlign w:val="center"/>
            <w:hideMark/>
          </w:tcPr>
          <w:p w:rsidR="00243633" w:rsidRPr="00A31B67" w:rsidRDefault="00243633" w:rsidP="00D527BB">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243633" w:rsidRPr="00A31B67" w:rsidRDefault="00243633" w:rsidP="00D527BB">
            <w:pPr>
              <w:spacing w:after="0" w:line="240" w:lineRule="auto"/>
              <w:rPr>
                <w:rFonts w:ascii="Times New Roman" w:eastAsia="Times New Roman" w:hAnsi="Times New Roman" w:cs="Times New Roman"/>
                <w:sz w:val="20"/>
                <w:szCs w:val="20"/>
                <w:lang w:eastAsia="tr-TR"/>
              </w:rPr>
            </w:pPr>
          </w:p>
        </w:tc>
      </w:tr>
      <w:tr w:rsidR="00243633" w:rsidRPr="00A31B67" w:rsidTr="00D527BB">
        <w:tc>
          <w:tcPr>
            <w:tcW w:w="0" w:type="auto"/>
            <w:gridSpan w:val="7"/>
            <w:shd w:val="clear" w:color="auto" w:fill="D5DCE4" w:themeFill="text2" w:themeFillTint="33"/>
            <w:vAlign w:val="center"/>
            <w:hideMark/>
          </w:tcPr>
          <w:p w:rsidR="00243633" w:rsidRPr="00A31B67" w:rsidRDefault="00243633" w:rsidP="00D527BB">
            <w:pPr>
              <w:spacing w:after="0" w:line="240" w:lineRule="auto"/>
              <w:rPr>
                <w:rFonts w:ascii="Helvetica" w:eastAsia="Times New Roman" w:hAnsi="Helvetica" w:cs="Helvetica"/>
                <w:color w:val="000000"/>
                <w:sz w:val="20"/>
                <w:szCs w:val="20"/>
                <w:lang w:eastAsia="tr-TR"/>
              </w:rPr>
            </w:pPr>
            <w:r w:rsidRPr="00A31B67">
              <w:rPr>
                <w:rFonts w:ascii="Helvetica" w:eastAsia="Times New Roman" w:hAnsi="Helvetica" w:cs="Helvetica"/>
                <w:color w:val="000000"/>
                <w:sz w:val="20"/>
                <w:szCs w:val="20"/>
                <w:lang w:eastAsia="tr-TR"/>
              </w:rPr>
              <w:t> </w:t>
            </w:r>
            <w:r w:rsidRPr="00324A05">
              <w:rPr>
                <w:rFonts w:ascii="Arial Black" w:eastAsia="Times New Roman" w:hAnsi="Arial Black" w:cs="Helvetica"/>
                <w:b/>
                <w:color w:val="000000"/>
                <w:lang w:eastAsia="tr-TR"/>
              </w:rPr>
              <w:t>CYP2C19</w:t>
            </w:r>
          </w:p>
        </w:tc>
      </w:tr>
      <w:tr w:rsidR="00243633" w:rsidRPr="00A31B67" w:rsidTr="00D527BB">
        <w:tc>
          <w:tcPr>
            <w:tcW w:w="1118" w:type="dxa"/>
            <w:shd w:val="clear" w:color="auto" w:fill="FFF2CC" w:themeFill="accent4" w:themeFillTint="33"/>
            <w:vAlign w:val="center"/>
            <w:hideMark/>
          </w:tcPr>
          <w:p w:rsidR="00243633" w:rsidRPr="00324A05" w:rsidRDefault="00243633" w:rsidP="00D527BB">
            <w:pPr>
              <w:spacing w:after="0" w:line="240" w:lineRule="auto"/>
              <w:rPr>
                <w:rFonts w:ascii="Times New Roman" w:eastAsia="Times New Roman" w:hAnsi="Times New Roman" w:cs="Times New Roman"/>
                <w:lang w:eastAsia="tr-TR"/>
              </w:rPr>
            </w:pPr>
            <w:r w:rsidRPr="00324A05">
              <w:rPr>
                <w:rFonts w:ascii="Times New Roman" w:eastAsia="Times New Roman" w:hAnsi="Times New Roman" w:cs="Times New Roman"/>
                <w:lang w:eastAsia="tr-TR"/>
              </w:rPr>
              <w:t> </w:t>
            </w:r>
            <w:r w:rsidRPr="00324A05">
              <w:rPr>
                <w:rFonts w:ascii="Times New Roman" w:eastAsia="Times New Roman" w:hAnsi="Times New Roman" w:cs="Times New Roman"/>
                <w:lang w:eastAsia="tr-TR"/>
              </w:rPr>
              <w:t> </w:t>
            </w:r>
            <w:r w:rsidRPr="00324A05">
              <w:rPr>
                <w:rFonts w:ascii="Times New Roman" w:eastAsia="Times New Roman" w:hAnsi="Times New Roman" w:cs="Times New Roman"/>
                <w:lang w:eastAsia="tr-TR"/>
              </w:rPr>
              <w:t>Substratlar</w:t>
            </w:r>
          </w:p>
        </w:tc>
        <w:tc>
          <w:tcPr>
            <w:tcW w:w="1543" w:type="dxa"/>
            <w:vAlign w:val="center"/>
            <w:hideMark/>
          </w:tcPr>
          <w:p w:rsidR="00243633" w:rsidRPr="00324A05" w:rsidRDefault="00243633" w:rsidP="00D527BB">
            <w:pPr>
              <w:spacing w:after="0" w:line="240" w:lineRule="auto"/>
              <w:rPr>
                <w:rFonts w:ascii="Times New Roman" w:eastAsia="Times New Roman" w:hAnsi="Times New Roman" w:cs="Times New Roman"/>
                <w:lang w:eastAsia="tr-TR"/>
              </w:rPr>
            </w:pPr>
            <w:r w:rsidRPr="00324A05">
              <w:rPr>
                <w:rFonts w:eastAsia="Times New Roman" w:cstheme="minorHAnsi"/>
                <w:b/>
                <w:lang w:eastAsia="tr-TR"/>
              </w:rPr>
              <w:t>↑</w:t>
            </w:r>
            <w:r w:rsidRPr="00324A05">
              <w:rPr>
                <w:rFonts w:ascii="Times New Roman" w:eastAsia="Times New Roman" w:hAnsi="Times New Roman" w:cs="Times New Roman"/>
                <w:lang w:eastAsia="tr-TR"/>
              </w:rPr>
              <w:t xml:space="preserve"> Substrat </w:t>
            </w:r>
            <w:proofErr w:type="gramStart"/>
            <w:r w:rsidRPr="00324A05">
              <w:rPr>
                <w:rFonts w:ascii="Times New Roman" w:eastAsia="Times New Roman" w:hAnsi="Times New Roman" w:cs="Times New Roman"/>
                <w:lang w:eastAsia="tr-TR"/>
              </w:rPr>
              <w:t>konsantrasyonu</w:t>
            </w:r>
            <w:proofErr w:type="gramEnd"/>
          </w:p>
        </w:tc>
        <w:tc>
          <w:tcPr>
            <w:tcW w:w="1574" w:type="dxa"/>
            <w:vAlign w:val="center"/>
            <w:hideMark/>
          </w:tcPr>
          <w:p w:rsidR="00243633" w:rsidRPr="00324A05" w:rsidRDefault="00243633" w:rsidP="00D527BB">
            <w:pPr>
              <w:spacing w:after="0" w:line="240" w:lineRule="auto"/>
              <w:rPr>
                <w:rFonts w:ascii="Times New Roman" w:eastAsia="Times New Roman" w:hAnsi="Times New Roman" w:cs="Times New Roman"/>
                <w:lang w:eastAsia="tr-TR"/>
              </w:rPr>
            </w:pPr>
            <w:r w:rsidRPr="00324A05">
              <w:rPr>
                <w:rFonts w:eastAsia="Times New Roman" w:cstheme="minorHAnsi"/>
                <w:b/>
                <w:lang w:eastAsia="tr-TR"/>
              </w:rPr>
              <w:t xml:space="preserve">↑ </w:t>
            </w:r>
            <w:r w:rsidRPr="00324A05">
              <w:rPr>
                <w:rFonts w:ascii="Times New Roman" w:eastAsia="Times New Roman" w:hAnsi="Times New Roman" w:cs="Times New Roman"/>
                <w:lang w:eastAsia="tr-TR"/>
              </w:rPr>
              <w:t xml:space="preserve">Substrat </w:t>
            </w:r>
            <w:proofErr w:type="gramStart"/>
            <w:r w:rsidRPr="00324A05">
              <w:rPr>
                <w:rFonts w:ascii="Times New Roman" w:eastAsia="Times New Roman" w:hAnsi="Times New Roman" w:cs="Times New Roman"/>
                <w:lang w:eastAsia="tr-TR"/>
              </w:rPr>
              <w:t>konsantrasyonu</w:t>
            </w:r>
            <w:proofErr w:type="gramEnd"/>
          </w:p>
        </w:tc>
        <w:tc>
          <w:tcPr>
            <w:tcW w:w="0" w:type="auto"/>
            <w:vAlign w:val="center"/>
            <w:hideMark/>
          </w:tcPr>
          <w:p w:rsidR="00243633" w:rsidRPr="00324A05" w:rsidRDefault="00243633" w:rsidP="00D527BB">
            <w:pPr>
              <w:spacing w:after="0" w:line="240" w:lineRule="auto"/>
              <w:rPr>
                <w:rFonts w:ascii="Times New Roman" w:eastAsia="Times New Roman" w:hAnsi="Times New Roman" w:cs="Times New Roman"/>
                <w:lang w:eastAsia="tr-TR"/>
              </w:rPr>
            </w:pPr>
            <w:r w:rsidRPr="00324A05">
              <w:rPr>
                <w:rFonts w:ascii="Times New Roman" w:eastAsia="Times New Roman" w:hAnsi="Times New Roman" w:cs="Times New Roman"/>
                <w:lang w:eastAsia="tr-TR"/>
              </w:rPr>
              <w:t>Substrat dozunu azaltmayı düşünün; olumsuz etkileri izlemek; klopidogrel için alternatif antitrombosit kullanmayı düşünün; serbest fenitoin düzeylerini izlemek</w:t>
            </w:r>
          </w:p>
        </w:tc>
        <w:tc>
          <w:tcPr>
            <w:tcW w:w="0" w:type="auto"/>
            <w:vAlign w:val="center"/>
            <w:hideMark/>
          </w:tcPr>
          <w:p w:rsidR="00243633" w:rsidRDefault="00243633" w:rsidP="00D527BB">
            <w:pPr>
              <w:spacing w:after="0" w:line="240" w:lineRule="auto"/>
              <w:rPr>
                <w:rFonts w:ascii="Times New Roman" w:eastAsia="Times New Roman" w:hAnsi="Times New Roman" w:cs="Times New Roman"/>
                <w:color w:val="0070C0"/>
                <w:sz w:val="24"/>
                <w:szCs w:val="24"/>
                <w:lang w:eastAsia="tr-TR"/>
              </w:rPr>
            </w:pPr>
            <w:r w:rsidRPr="00D47F8B">
              <w:rPr>
                <w:rFonts w:ascii="Times New Roman" w:eastAsia="Times New Roman" w:hAnsi="Times New Roman" w:cs="Times New Roman"/>
                <w:color w:val="0070C0"/>
                <w:sz w:val="24"/>
                <w:szCs w:val="24"/>
                <w:lang w:eastAsia="tr-TR"/>
              </w:rPr>
              <w:t xml:space="preserve">Antidepresanlar </w:t>
            </w:r>
            <w:proofErr w:type="gramStart"/>
            <w:r w:rsidRPr="00D47F8B">
              <w:rPr>
                <w:rFonts w:ascii="Times New Roman" w:eastAsia="Times New Roman" w:hAnsi="Times New Roman" w:cs="Times New Roman"/>
                <w:color w:val="0070C0"/>
                <w:sz w:val="24"/>
                <w:szCs w:val="24"/>
                <w:lang w:eastAsia="tr-TR"/>
              </w:rPr>
              <w:t>(</w:t>
            </w:r>
            <w:proofErr w:type="gramEnd"/>
            <w:r w:rsidRPr="00D47F8B">
              <w:rPr>
                <w:rFonts w:ascii="Times New Roman" w:eastAsia="Times New Roman" w:hAnsi="Times New Roman" w:cs="Times New Roman"/>
                <w:color w:val="0070C0"/>
                <w:sz w:val="24"/>
                <w:szCs w:val="24"/>
                <w:lang w:eastAsia="tr-TR"/>
              </w:rPr>
              <w:t>ör. amitriptilin, sitalopram, bupropion</w:t>
            </w:r>
            <w:proofErr w:type="gramStart"/>
            <w:r w:rsidRPr="00D47F8B">
              <w:rPr>
                <w:rFonts w:ascii="Times New Roman" w:eastAsia="Times New Roman" w:hAnsi="Times New Roman" w:cs="Times New Roman"/>
                <w:color w:val="0070C0"/>
                <w:sz w:val="24"/>
                <w:szCs w:val="24"/>
                <w:lang w:eastAsia="tr-TR"/>
              </w:rPr>
              <w:t>)</w:t>
            </w:r>
            <w:proofErr w:type="gramEnd"/>
            <w:r w:rsidRPr="00D47F8B">
              <w:rPr>
                <w:rFonts w:ascii="Times New Roman" w:eastAsia="Times New Roman" w:hAnsi="Times New Roman" w:cs="Times New Roman"/>
                <w:color w:val="0070C0"/>
                <w:sz w:val="24"/>
                <w:szCs w:val="24"/>
                <w:lang w:eastAsia="tr-TR"/>
              </w:rPr>
              <w:t xml:space="preserve">, nöbet önleyici </w:t>
            </w:r>
            <w:r>
              <w:rPr>
                <w:rFonts w:ascii="Times New Roman" w:eastAsia="Times New Roman" w:hAnsi="Times New Roman" w:cs="Times New Roman"/>
                <w:color w:val="0070C0"/>
                <w:sz w:val="24"/>
                <w:szCs w:val="24"/>
                <w:lang w:eastAsia="tr-TR"/>
              </w:rPr>
              <w:t>()</w:t>
            </w:r>
          </w:p>
          <w:p w:rsidR="00243633" w:rsidRPr="00133447" w:rsidRDefault="00243633" w:rsidP="00D527BB">
            <w:pPr>
              <w:spacing w:after="0" w:line="240" w:lineRule="auto"/>
              <w:rPr>
                <w:rFonts w:ascii="Times New Roman" w:eastAsia="Times New Roman" w:hAnsi="Times New Roman" w:cs="Times New Roman"/>
                <w:i/>
                <w:sz w:val="28"/>
                <w:szCs w:val="28"/>
                <w:u w:val="single"/>
                <w:lang w:eastAsia="tr-TR"/>
              </w:rPr>
            </w:pPr>
            <w:r w:rsidRPr="00133447">
              <w:rPr>
                <w:rFonts w:ascii="Times New Roman" w:eastAsia="Times New Roman" w:hAnsi="Times New Roman" w:cs="Times New Roman"/>
                <w:i/>
                <w:sz w:val="28"/>
                <w:szCs w:val="28"/>
                <w:u w:val="single"/>
                <w:lang w:eastAsia="tr-TR"/>
              </w:rPr>
              <w:t>(CYP2C19 Devam ediyor)</w:t>
            </w:r>
          </w:p>
          <w:p w:rsidR="00243633" w:rsidRDefault="00243633" w:rsidP="00D527BB">
            <w:pPr>
              <w:spacing w:after="0" w:line="240" w:lineRule="auto"/>
              <w:rPr>
                <w:rFonts w:ascii="Times New Roman" w:eastAsia="Times New Roman" w:hAnsi="Times New Roman" w:cs="Times New Roman"/>
                <w:color w:val="0070C0"/>
                <w:sz w:val="24"/>
                <w:szCs w:val="24"/>
                <w:lang w:eastAsia="tr-TR"/>
              </w:rPr>
            </w:pPr>
            <w:proofErr w:type="gramStart"/>
            <w:r w:rsidRPr="00D47F8B">
              <w:rPr>
                <w:rFonts w:ascii="Times New Roman" w:eastAsia="Times New Roman" w:hAnsi="Times New Roman" w:cs="Times New Roman"/>
                <w:color w:val="0070C0"/>
                <w:sz w:val="24"/>
                <w:szCs w:val="24"/>
                <w:lang w:eastAsia="tr-TR"/>
              </w:rPr>
              <w:t>(</w:t>
            </w:r>
            <w:proofErr w:type="gramEnd"/>
            <w:r w:rsidRPr="00D47F8B">
              <w:rPr>
                <w:rFonts w:ascii="Times New Roman" w:eastAsia="Times New Roman" w:hAnsi="Times New Roman" w:cs="Times New Roman"/>
                <w:color w:val="0070C0"/>
                <w:sz w:val="24"/>
                <w:szCs w:val="24"/>
                <w:lang w:eastAsia="tr-TR"/>
              </w:rPr>
              <w:t xml:space="preserve">ör. klobazam,‡ diazepam, </w:t>
            </w:r>
          </w:p>
          <w:p w:rsidR="00243633" w:rsidRPr="00324A05" w:rsidRDefault="00243633" w:rsidP="00D527BB">
            <w:pPr>
              <w:spacing w:after="0" w:line="240" w:lineRule="auto"/>
              <w:rPr>
                <w:rFonts w:ascii="Times New Roman" w:eastAsia="Times New Roman" w:hAnsi="Times New Roman" w:cs="Times New Roman"/>
                <w:color w:val="000000"/>
                <w:lang w:eastAsia="tr-TR"/>
              </w:rPr>
            </w:pPr>
            <w:r w:rsidRPr="00D47F8B">
              <w:rPr>
                <w:rFonts w:ascii="Times New Roman" w:eastAsia="Times New Roman" w:hAnsi="Times New Roman" w:cs="Times New Roman"/>
                <w:color w:val="0070C0"/>
                <w:sz w:val="24"/>
                <w:szCs w:val="24"/>
                <w:lang w:eastAsia="tr-TR"/>
              </w:rPr>
              <w:t>fenitoin, fenobarbital, klopidogrel*</w:t>
            </w:r>
            <w:proofErr w:type="gramStart"/>
            <w:r w:rsidRPr="00D47F8B">
              <w:rPr>
                <w:rFonts w:ascii="Times New Roman" w:eastAsia="Times New Roman" w:hAnsi="Times New Roman" w:cs="Times New Roman"/>
                <w:color w:val="0070C0"/>
                <w:sz w:val="24"/>
                <w:szCs w:val="24"/>
                <w:lang w:eastAsia="tr-TR"/>
              </w:rPr>
              <w:t>)</w:t>
            </w:r>
            <w:proofErr w:type="gramEnd"/>
            <w:r w:rsidRPr="00D47F8B">
              <w:rPr>
                <w:rFonts w:ascii="Times New Roman" w:eastAsia="Times New Roman" w:hAnsi="Times New Roman" w:cs="Times New Roman"/>
                <w:color w:val="0070C0"/>
                <w:sz w:val="24"/>
                <w:szCs w:val="24"/>
                <w:lang w:eastAsia="tr-TR"/>
              </w:rPr>
              <w:t>, proton</w:t>
            </w:r>
            <w:r w:rsidRPr="00324A05">
              <w:rPr>
                <w:rFonts w:ascii="Times New Roman" w:eastAsia="Times New Roman" w:hAnsi="Times New Roman" w:cs="Times New Roman"/>
                <w:color w:val="0070C0"/>
                <w:lang w:eastAsia="tr-TR"/>
              </w:rPr>
              <w:t xml:space="preserve"> </w:t>
            </w:r>
            <w:r w:rsidRPr="00D47F8B">
              <w:rPr>
                <w:rFonts w:ascii="Times New Roman" w:eastAsia="Times New Roman" w:hAnsi="Times New Roman" w:cs="Times New Roman"/>
                <w:color w:val="0070C0"/>
                <w:sz w:val="24"/>
                <w:szCs w:val="24"/>
                <w:lang w:eastAsia="tr-TR"/>
              </w:rPr>
              <w:t>pompası inhibitörleri (ör. omeprazol, pantoprazol</w:t>
            </w:r>
            <w:proofErr w:type="gramStart"/>
            <w:r w:rsidRPr="00D47F8B">
              <w:rPr>
                <w:rFonts w:ascii="Times New Roman" w:eastAsia="Times New Roman" w:hAnsi="Times New Roman" w:cs="Times New Roman"/>
                <w:color w:val="0070C0"/>
                <w:sz w:val="24"/>
                <w:szCs w:val="24"/>
                <w:lang w:eastAsia="tr-TR"/>
              </w:rPr>
              <w:t>)</w:t>
            </w:r>
            <w:proofErr w:type="gramEnd"/>
          </w:p>
        </w:tc>
        <w:tc>
          <w:tcPr>
            <w:tcW w:w="0" w:type="auto"/>
            <w:vAlign w:val="center"/>
            <w:hideMark/>
          </w:tcPr>
          <w:p w:rsidR="00243633" w:rsidRPr="00A31B67" w:rsidRDefault="00243633" w:rsidP="00D527BB">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243633" w:rsidRPr="00A31B67" w:rsidRDefault="00243633" w:rsidP="00D527BB">
            <w:pPr>
              <w:spacing w:after="0" w:line="240" w:lineRule="auto"/>
              <w:rPr>
                <w:rFonts w:ascii="Times New Roman" w:eastAsia="Times New Roman" w:hAnsi="Times New Roman" w:cs="Times New Roman"/>
                <w:sz w:val="20"/>
                <w:szCs w:val="20"/>
                <w:lang w:eastAsia="tr-TR"/>
              </w:rPr>
            </w:pPr>
          </w:p>
        </w:tc>
      </w:tr>
      <w:tr w:rsidR="00243633" w:rsidRPr="00A31B67" w:rsidTr="00D527BB">
        <w:tc>
          <w:tcPr>
            <w:tcW w:w="1118" w:type="dxa"/>
            <w:shd w:val="clear" w:color="auto" w:fill="FFF2CC" w:themeFill="accent4" w:themeFillTint="33"/>
            <w:vAlign w:val="center"/>
            <w:hideMark/>
          </w:tcPr>
          <w:p w:rsidR="00243633" w:rsidRPr="00324A05" w:rsidRDefault="00243633" w:rsidP="00D527BB">
            <w:pPr>
              <w:spacing w:after="0" w:line="240" w:lineRule="auto"/>
              <w:rPr>
                <w:rFonts w:ascii="Times New Roman" w:eastAsia="Times New Roman" w:hAnsi="Times New Roman" w:cs="Times New Roman"/>
                <w:lang w:eastAsia="tr-TR"/>
              </w:rPr>
            </w:pPr>
            <w:r w:rsidRPr="00324A05">
              <w:rPr>
                <w:rFonts w:ascii="Times New Roman" w:eastAsia="Times New Roman" w:hAnsi="Times New Roman" w:cs="Times New Roman"/>
                <w:lang w:eastAsia="tr-TR"/>
              </w:rPr>
              <w:t> </w:t>
            </w:r>
            <w:r w:rsidRPr="00324A05">
              <w:rPr>
                <w:rFonts w:ascii="Times New Roman" w:eastAsia="Times New Roman" w:hAnsi="Times New Roman" w:cs="Times New Roman"/>
                <w:lang w:eastAsia="tr-TR"/>
              </w:rPr>
              <w:t> </w:t>
            </w:r>
            <w:r w:rsidRPr="00324A05">
              <w:rPr>
                <w:rFonts w:ascii="Times New Roman" w:eastAsia="Times New Roman" w:hAnsi="Times New Roman" w:cs="Times New Roman"/>
                <w:b/>
                <w:i/>
                <w:lang w:eastAsia="tr-TR"/>
              </w:rPr>
              <w:t>Inhibitörler</w:t>
            </w:r>
          </w:p>
        </w:tc>
        <w:tc>
          <w:tcPr>
            <w:tcW w:w="1543" w:type="dxa"/>
            <w:vAlign w:val="center"/>
            <w:hideMark/>
          </w:tcPr>
          <w:p w:rsidR="00243633" w:rsidRPr="00324A05" w:rsidRDefault="00243633" w:rsidP="00D527BB">
            <w:pPr>
              <w:spacing w:after="0" w:line="240" w:lineRule="auto"/>
              <w:rPr>
                <w:rFonts w:ascii="Times New Roman" w:eastAsia="Times New Roman" w:hAnsi="Times New Roman" w:cs="Times New Roman"/>
                <w:lang w:eastAsia="tr-TR"/>
              </w:rPr>
            </w:pPr>
            <w:r w:rsidRPr="00324A05">
              <w:rPr>
                <w:rFonts w:eastAsia="Times New Roman" w:cstheme="minorHAnsi"/>
                <w:b/>
                <w:lang w:eastAsia="tr-TR"/>
              </w:rPr>
              <w:t xml:space="preserve">↑ </w:t>
            </w:r>
            <w:r w:rsidRPr="00324A05">
              <w:rPr>
                <w:rFonts w:ascii="Times New Roman" w:eastAsia="Times New Roman" w:hAnsi="Times New Roman" w:cs="Times New Roman"/>
                <w:lang w:eastAsia="tr-TR"/>
              </w:rPr>
              <w:t>CBD konssantrasyonu</w:t>
            </w:r>
          </w:p>
        </w:tc>
        <w:tc>
          <w:tcPr>
            <w:tcW w:w="1574" w:type="dxa"/>
            <w:vAlign w:val="center"/>
            <w:hideMark/>
          </w:tcPr>
          <w:p w:rsidR="00243633" w:rsidRPr="00324A05" w:rsidRDefault="00243633" w:rsidP="00D527BB">
            <w:pPr>
              <w:spacing w:after="0" w:line="240" w:lineRule="auto"/>
              <w:rPr>
                <w:rFonts w:ascii="Times New Roman" w:eastAsia="Times New Roman" w:hAnsi="Times New Roman" w:cs="Times New Roman"/>
                <w:lang w:eastAsia="tr-TR"/>
              </w:rPr>
            </w:pPr>
            <w:r w:rsidRPr="00324A05">
              <w:rPr>
                <w:rFonts w:eastAsia="Times New Roman" w:cstheme="minorHAnsi"/>
                <w:b/>
                <w:lang w:eastAsia="tr-TR"/>
              </w:rPr>
              <w:t xml:space="preserve">↑ </w:t>
            </w:r>
            <w:r w:rsidRPr="00324A05">
              <w:rPr>
                <w:rFonts w:ascii="Times New Roman" w:eastAsia="Times New Roman" w:hAnsi="Times New Roman" w:cs="Times New Roman"/>
                <w:lang w:eastAsia="tr-TR"/>
              </w:rPr>
              <w:t xml:space="preserve">THC </w:t>
            </w:r>
            <w:proofErr w:type="gramStart"/>
            <w:r w:rsidRPr="00324A05">
              <w:rPr>
                <w:rFonts w:ascii="Times New Roman" w:eastAsia="Times New Roman" w:hAnsi="Times New Roman" w:cs="Times New Roman"/>
                <w:lang w:eastAsia="tr-TR"/>
              </w:rPr>
              <w:t>konsantrasyonu</w:t>
            </w:r>
            <w:proofErr w:type="gramEnd"/>
          </w:p>
        </w:tc>
        <w:tc>
          <w:tcPr>
            <w:tcW w:w="0" w:type="auto"/>
            <w:vAlign w:val="center"/>
            <w:hideMark/>
          </w:tcPr>
          <w:p w:rsidR="00243633" w:rsidRPr="00324A05" w:rsidRDefault="00243633" w:rsidP="00D527BB">
            <w:pPr>
              <w:spacing w:after="0" w:line="240" w:lineRule="auto"/>
              <w:rPr>
                <w:rFonts w:ascii="Times New Roman" w:eastAsia="Times New Roman" w:hAnsi="Times New Roman" w:cs="Times New Roman"/>
                <w:lang w:eastAsia="tr-TR"/>
              </w:rPr>
            </w:pPr>
            <w:r w:rsidRPr="00324A05">
              <w:rPr>
                <w:rFonts w:ascii="Times New Roman" w:eastAsia="Times New Roman" w:hAnsi="Times New Roman" w:cs="Times New Roman"/>
                <w:lang w:eastAsia="tr-TR"/>
              </w:rPr>
              <w:t xml:space="preserve">Kannabis ürününün dozunu azaltmayı düşünün; </w:t>
            </w:r>
            <w:r w:rsidRPr="00324A05">
              <w:rPr>
                <w:rFonts w:ascii="Times New Roman" w:eastAsia="Times New Roman" w:hAnsi="Times New Roman" w:cs="Times New Roman"/>
                <w:lang w:eastAsia="tr-TR"/>
              </w:rPr>
              <w:lastRenderedPageBreak/>
              <w:t>olumsuz etkileri izleyin</w:t>
            </w:r>
          </w:p>
        </w:tc>
        <w:tc>
          <w:tcPr>
            <w:tcW w:w="0" w:type="auto"/>
            <w:vAlign w:val="center"/>
            <w:hideMark/>
          </w:tcPr>
          <w:p w:rsidR="00243633" w:rsidRPr="00D47F8B" w:rsidRDefault="00243633" w:rsidP="00D527BB">
            <w:pPr>
              <w:spacing w:after="0" w:line="240" w:lineRule="auto"/>
              <w:rPr>
                <w:rFonts w:ascii="Times New Roman" w:eastAsia="Times New Roman" w:hAnsi="Times New Roman" w:cs="Times New Roman"/>
                <w:color w:val="000000"/>
                <w:sz w:val="24"/>
                <w:szCs w:val="24"/>
                <w:lang w:eastAsia="tr-TR"/>
              </w:rPr>
            </w:pPr>
            <w:r w:rsidRPr="00D47F8B">
              <w:rPr>
                <w:rFonts w:ascii="Times New Roman" w:eastAsia="Times New Roman" w:hAnsi="Times New Roman" w:cs="Times New Roman"/>
                <w:color w:val="0070C0"/>
                <w:sz w:val="24"/>
                <w:szCs w:val="24"/>
                <w:lang w:eastAsia="tr-TR"/>
              </w:rPr>
              <w:lastRenderedPageBreak/>
              <w:t xml:space="preserve">Kloramfenikol, felbamat, fluoksetin, fluvoksamin, izoniazid, proteaz inhibitörleri </w:t>
            </w:r>
            <w:proofErr w:type="gramStart"/>
            <w:r w:rsidRPr="00D47F8B">
              <w:rPr>
                <w:rFonts w:ascii="Times New Roman" w:eastAsia="Times New Roman" w:hAnsi="Times New Roman" w:cs="Times New Roman"/>
                <w:color w:val="0070C0"/>
                <w:sz w:val="24"/>
                <w:szCs w:val="24"/>
                <w:lang w:eastAsia="tr-TR"/>
              </w:rPr>
              <w:t>(</w:t>
            </w:r>
            <w:proofErr w:type="gramEnd"/>
            <w:r w:rsidRPr="00D47F8B">
              <w:rPr>
                <w:rFonts w:ascii="Times New Roman" w:eastAsia="Times New Roman" w:hAnsi="Times New Roman" w:cs="Times New Roman"/>
                <w:color w:val="0070C0"/>
                <w:sz w:val="24"/>
                <w:szCs w:val="24"/>
                <w:lang w:eastAsia="tr-TR"/>
              </w:rPr>
              <w:t xml:space="preserve">ör. ritonavir, indinavir, nelfinavir, </w:t>
            </w:r>
            <w:r w:rsidRPr="00D47F8B">
              <w:rPr>
                <w:rFonts w:ascii="Times New Roman" w:eastAsia="Times New Roman" w:hAnsi="Times New Roman" w:cs="Times New Roman"/>
                <w:color w:val="0070C0"/>
                <w:sz w:val="24"/>
                <w:szCs w:val="24"/>
                <w:lang w:eastAsia="tr-TR"/>
              </w:rPr>
              <w:lastRenderedPageBreak/>
              <w:t>sakinavir, telaprevir, atazanavir, boceprevir, lopinavir</w:t>
            </w:r>
            <w:proofErr w:type="gramStart"/>
            <w:r w:rsidRPr="00D47F8B">
              <w:rPr>
                <w:rFonts w:ascii="Times New Roman" w:eastAsia="Times New Roman" w:hAnsi="Times New Roman" w:cs="Times New Roman"/>
                <w:color w:val="0070C0"/>
                <w:sz w:val="24"/>
                <w:szCs w:val="24"/>
                <w:lang w:eastAsia="tr-TR"/>
              </w:rPr>
              <w:t>)</w:t>
            </w:r>
            <w:proofErr w:type="gramEnd"/>
          </w:p>
        </w:tc>
        <w:tc>
          <w:tcPr>
            <w:tcW w:w="0" w:type="auto"/>
            <w:vAlign w:val="center"/>
            <w:hideMark/>
          </w:tcPr>
          <w:p w:rsidR="00243633" w:rsidRPr="00A31B67" w:rsidRDefault="00243633" w:rsidP="00D527BB">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243633" w:rsidRPr="00A31B67" w:rsidRDefault="00243633" w:rsidP="00D527BB">
            <w:pPr>
              <w:spacing w:after="0" w:line="240" w:lineRule="auto"/>
              <w:rPr>
                <w:rFonts w:ascii="Times New Roman" w:eastAsia="Times New Roman" w:hAnsi="Times New Roman" w:cs="Times New Roman"/>
                <w:sz w:val="20"/>
                <w:szCs w:val="20"/>
                <w:lang w:eastAsia="tr-TR"/>
              </w:rPr>
            </w:pPr>
          </w:p>
        </w:tc>
      </w:tr>
      <w:tr w:rsidR="00243633" w:rsidRPr="00A31B67" w:rsidTr="00D527BB">
        <w:tc>
          <w:tcPr>
            <w:tcW w:w="1118" w:type="dxa"/>
            <w:shd w:val="clear" w:color="auto" w:fill="FFF2CC" w:themeFill="accent4" w:themeFillTint="33"/>
            <w:vAlign w:val="center"/>
            <w:hideMark/>
          </w:tcPr>
          <w:p w:rsidR="00243633" w:rsidRPr="00324A05" w:rsidRDefault="00243633" w:rsidP="00D527BB">
            <w:pPr>
              <w:spacing w:after="0" w:line="240" w:lineRule="auto"/>
              <w:rPr>
                <w:rFonts w:ascii="Times New Roman" w:eastAsia="Times New Roman" w:hAnsi="Times New Roman" w:cs="Times New Roman"/>
                <w:lang w:eastAsia="tr-TR"/>
              </w:rPr>
            </w:pPr>
            <w:r w:rsidRPr="00324A05">
              <w:rPr>
                <w:rFonts w:ascii="Times New Roman" w:eastAsia="Times New Roman" w:hAnsi="Times New Roman" w:cs="Times New Roman"/>
                <w:lang w:eastAsia="tr-TR"/>
              </w:rPr>
              <w:t> </w:t>
            </w:r>
            <w:r w:rsidRPr="00324A05">
              <w:rPr>
                <w:rFonts w:ascii="Times New Roman" w:eastAsia="Times New Roman" w:hAnsi="Times New Roman" w:cs="Times New Roman"/>
                <w:lang w:eastAsia="tr-TR"/>
              </w:rPr>
              <w:t> </w:t>
            </w:r>
            <w:proofErr w:type="gramStart"/>
            <w:r w:rsidRPr="00324A05">
              <w:rPr>
                <w:rFonts w:ascii="Times New Roman" w:eastAsia="Times New Roman" w:hAnsi="Times New Roman" w:cs="Times New Roman"/>
                <w:b/>
                <w:i/>
                <w:lang w:eastAsia="tr-TR"/>
              </w:rPr>
              <w:t>indükleyici</w:t>
            </w:r>
            <w:proofErr w:type="gramEnd"/>
            <w:r w:rsidRPr="00324A05">
              <w:rPr>
                <w:rFonts w:ascii="Times New Roman" w:eastAsia="Times New Roman" w:hAnsi="Times New Roman" w:cs="Times New Roman"/>
                <w:b/>
                <w:i/>
                <w:lang w:eastAsia="tr-TR"/>
              </w:rPr>
              <w:t>- ler</w:t>
            </w:r>
          </w:p>
        </w:tc>
        <w:tc>
          <w:tcPr>
            <w:tcW w:w="1543" w:type="dxa"/>
            <w:vAlign w:val="center"/>
            <w:hideMark/>
          </w:tcPr>
          <w:p w:rsidR="00243633" w:rsidRPr="00324A05" w:rsidRDefault="00243633" w:rsidP="00D527BB">
            <w:pPr>
              <w:spacing w:after="0" w:line="240" w:lineRule="auto"/>
              <w:rPr>
                <w:rFonts w:ascii="Times New Roman" w:eastAsia="Times New Roman" w:hAnsi="Times New Roman" w:cs="Times New Roman"/>
                <w:lang w:eastAsia="tr-TR"/>
              </w:rPr>
            </w:pPr>
            <w:r w:rsidRPr="00D47F8B">
              <w:rPr>
                <w:rFonts w:eastAsia="Times New Roman" w:cstheme="minorHAnsi"/>
                <w:b/>
                <w:lang w:eastAsia="tr-TR"/>
              </w:rPr>
              <w:t>↓</w:t>
            </w:r>
            <w:r w:rsidRPr="00324A05">
              <w:rPr>
                <w:rFonts w:ascii="Times New Roman" w:eastAsia="Times New Roman" w:hAnsi="Times New Roman" w:cs="Times New Roman"/>
                <w:lang w:eastAsia="tr-TR"/>
              </w:rPr>
              <w:t xml:space="preserve"> CBD </w:t>
            </w:r>
            <w:proofErr w:type="gramStart"/>
            <w:r w:rsidRPr="00324A05">
              <w:rPr>
                <w:rFonts w:ascii="Times New Roman" w:eastAsia="Times New Roman" w:hAnsi="Times New Roman" w:cs="Times New Roman"/>
                <w:lang w:eastAsia="tr-TR"/>
              </w:rPr>
              <w:t>konsantrasyonu</w:t>
            </w:r>
            <w:proofErr w:type="gramEnd"/>
          </w:p>
        </w:tc>
        <w:tc>
          <w:tcPr>
            <w:tcW w:w="1574" w:type="dxa"/>
            <w:vAlign w:val="center"/>
            <w:hideMark/>
          </w:tcPr>
          <w:p w:rsidR="00243633" w:rsidRPr="00324A05" w:rsidRDefault="00243633" w:rsidP="00D527BB">
            <w:pPr>
              <w:spacing w:after="0" w:line="240" w:lineRule="auto"/>
              <w:rPr>
                <w:rFonts w:ascii="Times New Roman" w:eastAsia="Times New Roman" w:hAnsi="Times New Roman" w:cs="Times New Roman"/>
                <w:lang w:eastAsia="tr-TR"/>
              </w:rPr>
            </w:pPr>
            <w:r w:rsidRPr="00D47F8B">
              <w:rPr>
                <w:rFonts w:eastAsia="Times New Roman" w:cstheme="minorHAnsi"/>
                <w:b/>
                <w:lang w:eastAsia="tr-TR"/>
              </w:rPr>
              <w:t>↓</w:t>
            </w:r>
            <w:r w:rsidRPr="00324A05">
              <w:rPr>
                <w:rFonts w:ascii="Times New Roman" w:eastAsia="Times New Roman" w:hAnsi="Times New Roman" w:cs="Times New Roman"/>
                <w:lang w:eastAsia="tr-TR"/>
              </w:rPr>
              <w:t xml:space="preserve"> THC </w:t>
            </w:r>
            <w:proofErr w:type="gramStart"/>
            <w:r w:rsidRPr="00324A05">
              <w:rPr>
                <w:rFonts w:ascii="Times New Roman" w:eastAsia="Times New Roman" w:hAnsi="Times New Roman" w:cs="Times New Roman"/>
                <w:lang w:eastAsia="tr-TR"/>
              </w:rPr>
              <w:t>konsantrasyonu</w:t>
            </w:r>
            <w:proofErr w:type="gramEnd"/>
          </w:p>
        </w:tc>
        <w:tc>
          <w:tcPr>
            <w:tcW w:w="0" w:type="auto"/>
            <w:vAlign w:val="center"/>
            <w:hideMark/>
          </w:tcPr>
          <w:p w:rsidR="00243633" w:rsidRPr="00324A05" w:rsidRDefault="00243633" w:rsidP="00D527BB">
            <w:pPr>
              <w:spacing w:after="0" w:line="240" w:lineRule="auto"/>
              <w:rPr>
                <w:rFonts w:ascii="Times New Roman" w:eastAsia="Times New Roman" w:hAnsi="Times New Roman" w:cs="Times New Roman"/>
                <w:lang w:eastAsia="tr-TR"/>
              </w:rPr>
            </w:pPr>
            <w:r w:rsidRPr="00324A05">
              <w:rPr>
                <w:rFonts w:ascii="Times New Roman" w:eastAsia="Times New Roman" w:hAnsi="Times New Roman" w:cs="Times New Roman"/>
                <w:lang w:eastAsia="tr-TR"/>
              </w:rPr>
              <w:t xml:space="preserve"> Kannabis ürününün dozunu artırmayı düşünün; olumsuz etkileri izleyin</w:t>
            </w:r>
          </w:p>
        </w:tc>
        <w:tc>
          <w:tcPr>
            <w:tcW w:w="0" w:type="auto"/>
            <w:vAlign w:val="center"/>
            <w:hideMark/>
          </w:tcPr>
          <w:p w:rsidR="00243633" w:rsidRPr="00D47F8B" w:rsidRDefault="00243633" w:rsidP="00D527BB">
            <w:pPr>
              <w:spacing w:after="0" w:line="240" w:lineRule="auto"/>
              <w:rPr>
                <w:rFonts w:ascii="Times New Roman" w:eastAsia="Times New Roman" w:hAnsi="Times New Roman" w:cs="Times New Roman"/>
                <w:color w:val="000000"/>
                <w:sz w:val="24"/>
                <w:szCs w:val="24"/>
                <w:lang w:eastAsia="tr-TR"/>
              </w:rPr>
            </w:pPr>
            <w:r w:rsidRPr="00D47F8B">
              <w:rPr>
                <w:rFonts w:ascii="Times New Roman" w:eastAsia="Times New Roman" w:hAnsi="Times New Roman" w:cs="Times New Roman"/>
                <w:color w:val="0070C0"/>
                <w:sz w:val="24"/>
                <w:szCs w:val="24"/>
                <w:lang w:eastAsia="tr-TR"/>
              </w:rPr>
              <w:t>Karbamazepin, ketokonazol,‡ fenitoin, fenobarbital, rifampin, rifampisin,‡ St. John’s wort</w:t>
            </w:r>
          </w:p>
        </w:tc>
        <w:tc>
          <w:tcPr>
            <w:tcW w:w="0" w:type="auto"/>
            <w:vAlign w:val="center"/>
            <w:hideMark/>
          </w:tcPr>
          <w:p w:rsidR="00243633" w:rsidRPr="00A31B67" w:rsidRDefault="00243633" w:rsidP="00D527BB">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243633" w:rsidRPr="00A31B67" w:rsidRDefault="00243633" w:rsidP="00D527BB">
            <w:pPr>
              <w:spacing w:after="0" w:line="240" w:lineRule="auto"/>
              <w:rPr>
                <w:rFonts w:ascii="Times New Roman" w:eastAsia="Times New Roman" w:hAnsi="Times New Roman" w:cs="Times New Roman"/>
                <w:sz w:val="20"/>
                <w:szCs w:val="20"/>
                <w:lang w:eastAsia="tr-TR"/>
              </w:rPr>
            </w:pPr>
          </w:p>
        </w:tc>
      </w:tr>
      <w:tr w:rsidR="00243633" w:rsidRPr="00A31B67" w:rsidTr="00D527BB">
        <w:tc>
          <w:tcPr>
            <w:tcW w:w="0" w:type="auto"/>
            <w:gridSpan w:val="7"/>
            <w:shd w:val="clear" w:color="auto" w:fill="F2F2F2" w:themeFill="background1" w:themeFillShade="F2"/>
            <w:vAlign w:val="center"/>
            <w:hideMark/>
          </w:tcPr>
          <w:p w:rsidR="00243633" w:rsidRPr="00324A05" w:rsidRDefault="00243633" w:rsidP="00D527BB">
            <w:pPr>
              <w:spacing w:after="0" w:line="240" w:lineRule="auto"/>
              <w:rPr>
                <w:rFonts w:ascii="Times New Roman" w:eastAsia="Times New Roman" w:hAnsi="Times New Roman" w:cs="Times New Roman"/>
                <w:b/>
                <w:color w:val="000000"/>
                <w:sz w:val="24"/>
                <w:szCs w:val="24"/>
                <w:lang w:eastAsia="tr-TR"/>
              </w:rPr>
            </w:pPr>
            <w:r w:rsidRPr="00324A05">
              <w:rPr>
                <w:rFonts w:ascii="Times New Roman" w:eastAsia="Times New Roman" w:hAnsi="Times New Roman" w:cs="Times New Roman"/>
                <w:b/>
                <w:color w:val="C00000"/>
                <w:sz w:val="24"/>
                <w:szCs w:val="24"/>
                <w:lang w:eastAsia="tr-TR"/>
              </w:rPr>
              <w:t>Faz 2 metabolizma</w:t>
            </w:r>
          </w:p>
        </w:tc>
      </w:tr>
      <w:tr w:rsidR="00243633" w:rsidRPr="00A31B67" w:rsidTr="00D527BB">
        <w:tc>
          <w:tcPr>
            <w:tcW w:w="0" w:type="auto"/>
            <w:gridSpan w:val="7"/>
            <w:shd w:val="clear" w:color="auto" w:fill="D5DCE4" w:themeFill="text2" w:themeFillTint="33"/>
            <w:vAlign w:val="center"/>
            <w:hideMark/>
          </w:tcPr>
          <w:p w:rsidR="00243633" w:rsidRPr="00A31B67" w:rsidRDefault="00243633" w:rsidP="00D527BB">
            <w:pPr>
              <w:spacing w:after="0" w:line="240" w:lineRule="auto"/>
              <w:rPr>
                <w:rFonts w:ascii="Helvetica" w:eastAsia="Times New Roman" w:hAnsi="Helvetica" w:cs="Helvetica"/>
                <w:color w:val="000000"/>
                <w:sz w:val="20"/>
                <w:szCs w:val="20"/>
                <w:lang w:eastAsia="tr-TR"/>
              </w:rPr>
            </w:pPr>
            <w:r w:rsidRPr="00A31B67">
              <w:rPr>
                <w:rFonts w:ascii="Helvetica" w:eastAsia="Times New Roman" w:hAnsi="Helvetica" w:cs="Helvetica"/>
                <w:color w:val="000000"/>
                <w:sz w:val="20"/>
                <w:szCs w:val="20"/>
                <w:lang w:eastAsia="tr-TR"/>
              </w:rPr>
              <w:t> </w:t>
            </w:r>
            <w:r w:rsidRPr="00324A05">
              <w:rPr>
                <w:rFonts w:ascii="Arial Black" w:eastAsia="Times New Roman" w:hAnsi="Arial Black" w:cs="Helvetica"/>
                <w:sz w:val="24"/>
                <w:szCs w:val="24"/>
                <w:lang w:eastAsia="tr-TR"/>
              </w:rPr>
              <w:t>UGT1A9</w:t>
            </w:r>
          </w:p>
        </w:tc>
      </w:tr>
      <w:tr w:rsidR="00243633" w:rsidRPr="00A31B67" w:rsidTr="00D527BB">
        <w:trPr>
          <w:trHeight w:val="1846"/>
        </w:trPr>
        <w:tc>
          <w:tcPr>
            <w:tcW w:w="1118" w:type="dxa"/>
            <w:shd w:val="clear" w:color="auto" w:fill="FFF2CC" w:themeFill="accent4" w:themeFillTint="33"/>
            <w:vAlign w:val="center"/>
            <w:hideMark/>
          </w:tcPr>
          <w:p w:rsidR="00243633" w:rsidRPr="00D47F8B" w:rsidRDefault="00243633" w:rsidP="00D527BB">
            <w:pPr>
              <w:spacing w:after="0" w:line="240" w:lineRule="auto"/>
              <w:rPr>
                <w:rFonts w:ascii="Times New Roman" w:eastAsia="Times New Roman" w:hAnsi="Times New Roman" w:cs="Times New Roman"/>
                <w:lang w:eastAsia="tr-TR"/>
              </w:rPr>
            </w:pPr>
            <w:r w:rsidRPr="00D47F8B">
              <w:rPr>
                <w:rFonts w:ascii="Times New Roman" w:eastAsia="Times New Roman" w:hAnsi="Times New Roman" w:cs="Times New Roman"/>
                <w:lang w:eastAsia="tr-TR"/>
              </w:rPr>
              <w:t> </w:t>
            </w:r>
            <w:r w:rsidRPr="00D47F8B">
              <w:rPr>
                <w:rFonts w:ascii="Times New Roman" w:eastAsia="Times New Roman" w:hAnsi="Times New Roman" w:cs="Times New Roman"/>
                <w:lang w:eastAsia="tr-TR"/>
              </w:rPr>
              <w:t> </w:t>
            </w:r>
            <w:r w:rsidRPr="00D47F8B">
              <w:rPr>
                <w:rFonts w:ascii="Times New Roman" w:eastAsia="Times New Roman" w:hAnsi="Times New Roman" w:cs="Times New Roman"/>
                <w:lang w:eastAsia="tr-TR"/>
              </w:rPr>
              <w:t>Substrat</w:t>
            </w:r>
            <w:r>
              <w:rPr>
                <w:rFonts w:ascii="Times New Roman" w:eastAsia="Times New Roman" w:hAnsi="Times New Roman" w:cs="Times New Roman"/>
                <w:lang w:eastAsia="tr-TR"/>
              </w:rPr>
              <w:t>lar</w:t>
            </w:r>
          </w:p>
        </w:tc>
        <w:tc>
          <w:tcPr>
            <w:tcW w:w="1543" w:type="dxa"/>
            <w:vAlign w:val="center"/>
            <w:hideMark/>
          </w:tcPr>
          <w:p w:rsidR="00243633" w:rsidRPr="00D47F8B" w:rsidRDefault="00243633" w:rsidP="00D527BB">
            <w:pPr>
              <w:spacing w:after="0" w:line="240" w:lineRule="auto"/>
              <w:rPr>
                <w:rFonts w:ascii="Times New Roman" w:eastAsia="Times New Roman" w:hAnsi="Times New Roman" w:cs="Times New Roman"/>
                <w:lang w:eastAsia="tr-TR"/>
              </w:rPr>
            </w:pPr>
            <w:r w:rsidRPr="00D47F8B">
              <w:rPr>
                <w:rFonts w:eastAsia="Times New Roman" w:cstheme="minorHAnsi"/>
                <w:b/>
                <w:lang w:eastAsia="tr-TR"/>
              </w:rPr>
              <w:t>↑</w:t>
            </w:r>
            <w:r w:rsidRPr="00D47F8B">
              <w:rPr>
                <w:rFonts w:ascii="Times New Roman" w:eastAsia="Times New Roman" w:hAnsi="Times New Roman" w:cs="Times New Roman"/>
                <w:lang w:eastAsia="tr-TR"/>
              </w:rPr>
              <w:t xml:space="preserve"> </w:t>
            </w:r>
            <w:proofErr w:type="gramStart"/>
            <w:r w:rsidRPr="00D47F8B">
              <w:rPr>
                <w:rFonts w:ascii="Times New Roman" w:eastAsia="Times New Roman" w:hAnsi="Times New Roman" w:cs="Times New Roman"/>
                <w:lang w:eastAsia="tr-TR"/>
              </w:rPr>
              <w:t>Substrat  konsantrasyonu</w:t>
            </w:r>
            <w:proofErr w:type="gramEnd"/>
          </w:p>
        </w:tc>
        <w:tc>
          <w:tcPr>
            <w:tcW w:w="1574" w:type="dxa"/>
            <w:vAlign w:val="center"/>
            <w:hideMark/>
          </w:tcPr>
          <w:p w:rsidR="00243633" w:rsidRPr="00D47F8B" w:rsidRDefault="00243633" w:rsidP="00D527BB">
            <w:pPr>
              <w:spacing w:after="0" w:line="240" w:lineRule="auto"/>
              <w:rPr>
                <w:rFonts w:ascii="Times New Roman" w:eastAsia="Times New Roman" w:hAnsi="Times New Roman" w:cs="Times New Roman"/>
                <w:lang w:eastAsia="tr-TR"/>
              </w:rPr>
            </w:pPr>
            <w:r w:rsidRPr="00D47F8B">
              <w:rPr>
                <w:rFonts w:ascii="Times New Roman" w:eastAsia="Times New Roman" w:hAnsi="Times New Roman" w:cs="Times New Roman"/>
                <w:lang w:eastAsia="tr-TR"/>
              </w:rPr>
              <w:t>Veri yok</w:t>
            </w:r>
          </w:p>
        </w:tc>
        <w:tc>
          <w:tcPr>
            <w:tcW w:w="0" w:type="auto"/>
            <w:vAlign w:val="center"/>
            <w:hideMark/>
          </w:tcPr>
          <w:p w:rsidR="00243633" w:rsidRPr="00D47F8B" w:rsidRDefault="00243633" w:rsidP="00D527BB">
            <w:pPr>
              <w:spacing w:after="0" w:line="240" w:lineRule="auto"/>
              <w:rPr>
                <w:rFonts w:ascii="Times New Roman" w:eastAsia="Times New Roman" w:hAnsi="Times New Roman" w:cs="Times New Roman"/>
                <w:lang w:eastAsia="tr-TR"/>
              </w:rPr>
            </w:pPr>
            <w:r w:rsidRPr="00D47F8B">
              <w:rPr>
                <w:rFonts w:ascii="Times New Roman" w:eastAsia="Times New Roman" w:hAnsi="Times New Roman" w:cs="Times New Roman"/>
                <w:lang w:eastAsia="tr-TR"/>
              </w:rPr>
              <w:t>Substrat dozunu azaltmayı düşünün; olumsuz etkileri izleyin</w:t>
            </w:r>
          </w:p>
        </w:tc>
        <w:tc>
          <w:tcPr>
            <w:tcW w:w="0" w:type="auto"/>
            <w:vAlign w:val="center"/>
            <w:hideMark/>
          </w:tcPr>
          <w:p w:rsidR="00243633" w:rsidRPr="00D47F8B" w:rsidRDefault="00243633" w:rsidP="00D527BB">
            <w:pPr>
              <w:spacing w:after="0" w:line="240" w:lineRule="auto"/>
              <w:rPr>
                <w:rFonts w:ascii="Times New Roman" w:eastAsia="Times New Roman" w:hAnsi="Times New Roman" w:cs="Times New Roman"/>
                <w:color w:val="000000"/>
                <w:sz w:val="24"/>
                <w:szCs w:val="24"/>
                <w:lang w:eastAsia="tr-TR"/>
              </w:rPr>
            </w:pPr>
            <w:r w:rsidRPr="00D47F8B">
              <w:rPr>
                <w:rFonts w:ascii="Times New Roman" w:eastAsia="Times New Roman" w:hAnsi="Times New Roman" w:cs="Times New Roman"/>
                <w:color w:val="0070C0"/>
                <w:sz w:val="24"/>
                <w:szCs w:val="24"/>
                <w:lang w:eastAsia="tr-TR"/>
              </w:rPr>
              <w:t>Asetaminofen, canagliflozin,</w:t>
            </w:r>
            <w:r w:rsidRPr="00D47F8B">
              <w:rPr>
                <w:rFonts w:ascii="Times New Roman" w:eastAsia="Times New Roman" w:hAnsi="Times New Roman" w:cs="Times New Roman"/>
                <w:b/>
                <w:color w:val="C00000"/>
                <w:sz w:val="24"/>
                <w:szCs w:val="24"/>
                <w:lang w:eastAsia="tr-TR"/>
              </w:rPr>
              <w:t xml:space="preserve">* </w:t>
            </w:r>
            <w:r w:rsidRPr="00D47F8B">
              <w:rPr>
                <w:rFonts w:ascii="Times New Roman" w:eastAsia="Times New Roman" w:hAnsi="Times New Roman" w:cs="Times New Roman"/>
                <w:color w:val="0070C0"/>
                <w:sz w:val="24"/>
                <w:szCs w:val="24"/>
                <w:lang w:eastAsia="tr-TR"/>
              </w:rPr>
              <w:t>dabigatran</w:t>
            </w:r>
            <w:r w:rsidRPr="00D47F8B">
              <w:rPr>
                <w:rFonts w:ascii="Times New Roman" w:eastAsia="Times New Roman" w:hAnsi="Times New Roman" w:cs="Times New Roman"/>
                <w:b/>
                <w:color w:val="C00000"/>
                <w:sz w:val="24"/>
                <w:szCs w:val="24"/>
                <w:lang w:eastAsia="tr-TR"/>
              </w:rPr>
              <w:t xml:space="preserve">,* </w:t>
            </w:r>
            <w:r w:rsidRPr="00D47F8B">
              <w:rPr>
                <w:rFonts w:ascii="Times New Roman" w:eastAsia="Times New Roman" w:hAnsi="Times New Roman" w:cs="Times New Roman"/>
                <w:color w:val="0070C0"/>
                <w:sz w:val="24"/>
                <w:szCs w:val="24"/>
                <w:lang w:eastAsia="tr-TR"/>
              </w:rPr>
              <w:t>dapagliflozin,</w:t>
            </w:r>
            <w:r w:rsidRPr="00D47F8B">
              <w:rPr>
                <w:rFonts w:ascii="Times New Roman" w:eastAsia="Times New Roman" w:hAnsi="Times New Roman" w:cs="Times New Roman"/>
                <w:b/>
                <w:color w:val="C00000"/>
                <w:sz w:val="24"/>
                <w:szCs w:val="24"/>
                <w:lang w:eastAsia="tr-TR"/>
              </w:rPr>
              <w:t xml:space="preserve">* </w:t>
            </w:r>
            <w:r w:rsidRPr="00D47F8B">
              <w:rPr>
                <w:rFonts w:ascii="Times New Roman" w:eastAsia="Times New Roman" w:hAnsi="Times New Roman" w:cs="Times New Roman"/>
                <w:color w:val="0070C0"/>
                <w:sz w:val="24"/>
                <w:szCs w:val="24"/>
                <w:lang w:eastAsia="tr-TR"/>
              </w:rPr>
              <w:t>haloperidol, ibuprofen, irinotekan, mikofenolat mofetil,</w:t>
            </w:r>
            <w:r w:rsidRPr="00D47F8B">
              <w:rPr>
                <w:rFonts w:ascii="Times New Roman" w:eastAsia="Times New Roman" w:hAnsi="Times New Roman" w:cs="Times New Roman"/>
                <w:b/>
                <w:color w:val="C00000"/>
                <w:sz w:val="24"/>
                <w:szCs w:val="24"/>
                <w:lang w:eastAsia="tr-TR"/>
              </w:rPr>
              <w:t>*</w:t>
            </w:r>
            <w:r w:rsidRPr="00D47F8B">
              <w:rPr>
                <w:rFonts w:ascii="Times New Roman" w:eastAsia="Times New Roman" w:hAnsi="Times New Roman" w:cs="Times New Roman"/>
                <w:color w:val="0070C0"/>
                <w:sz w:val="24"/>
                <w:szCs w:val="24"/>
                <w:lang w:eastAsia="tr-TR"/>
              </w:rPr>
              <w:t xml:space="preserve"> propofol, regorafenib, sorafenib, valproik asit</w:t>
            </w:r>
            <w:r w:rsidRPr="00D47F8B">
              <w:rPr>
                <w:rFonts w:ascii="Times New Roman" w:eastAsia="Times New Roman" w:hAnsi="Times New Roman" w:cs="Times New Roman"/>
                <w:b/>
                <w:color w:val="C00000"/>
                <w:sz w:val="24"/>
                <w:szCs w:val="24"/>
                <w:lang w:eastAsia="tr-TR"/>
              </w:rPr>
              <w:t>‡</w:t>
            </w:r>
          </w:p>
        </w:tc>
        <w:tc>
          <w:tcPr>
            <w:tcW w:w="0" w:type="auto"/>
            <w:vAlign w:val="center"/>
            <w:hideMark/>
          </w:tcPr>
          <w:p w:rsidR="00243633" w:rsidRPr="00A31B67" w:rsidRDefault="00243633" w:rsidP="00D527BB">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243633" w:rsidRPr="00A31B67" w:rsidRDefault="00243633" w:rsidP="00D527BB">
            <w:pPr>
              <w:spacing w:after="0" w:line="240" w:lineRule="auto"/>
              <w:rPr>
                <w:rFonts w:ascii="Times New Roman" w:eastAsia="Times New Roman" w:hAnsi="Times New Roman" w:cs="Times New Roman"/>
                <w:sz w:val="20"/>
                <w:szCs w:val="20"/>
                <w:lang w:eastAsia="tr-TR"/>
              </w:rPr>
            </w:pPr>
          </w:p>
        </w:tc>
      </w:tr>
      <w:tr w:rsidR="00243633" w:rsidRPr="00A31B67" w:rsidTr="00D527BB">
        <w:tc>
          <w:tcPr>
            <w:tcW w:w="0" w:type="auto"/>
            <w:gridSpan w:val="7"/>
            <w:shd w:val="clear" w:color="auto" w:fill="D5DCE4" w:themeFill="text2" w:themeFillTint="33"/>
            <w:vAlign w:val="center"/>
            <w:hideMark/>
          </w:tcPr>
          <w:p w:rsidR="00243633" w:rsidRPr="0040462F" w:rsidRDefault="00243633" w:rsidP="00D527BB">
            <w:pPr>
              <w:spacing w:after="0" w:line="240" w:lineRule="auto"/>
              <w:rPr>
                <w:rFonts w:ascii="Helvetica" w:eastAsia="Times New Roman" w:hAnsi="Helvetica" w:cs="Helvetica"/>
                <w:b/>
                <w:color w:val="000000"/>
                <w:sz w:val="20"/>
                <w:szCs w:val="20"/>
                <w:lang w:eastAsia="tr-TR"/>
              </w:rPr>
            </w:pPr>
            <w:r w:rsidRPr="0040462F">
              <w:rPr>
                <w:rFonts w:ascii="Helvetica" w:eastAsia="Times New Roman" w:hAnsi="Helvetica" w:cs="Helvetica"/>
                <w:b/>
                <w:color w:val="0070C0"/>
                <w:sz w:val="20"/>
                <w:szCs w:val="20"/>
                <w:lang w:eastAsia="tr-TR"/>
              </w:rPr>
              <w:t> </w:t>
            </w:r>
            <w:r w:rsidRPr="00D47F8B">
              <w:rPr>
                <w:rFonts w:ascii="Arial Black" w:eastAsia="Times New Roman" w:hAnsi="Arial Black" w:cs="Helvetica"/>
                <w:sz w:val="24"/>
                <w:szCs w:val="24"/>
                <w:lang w:eastAsia="tr-TR"/>
              </w:rPr>
              <w:t>UGT2B7</w:t>
            </w:r>
          </w:p>
        </w:tc>
      </w:tr>
      <w:tr w:rsidR="00243633" w:rsidRPr="00A31B67" w:rsidTr="00D527BB">
        <w:tc>
          <w:tcPr>
            <w:tcW w:w="1118" w:type="dxa"/>
            <w:shd w:val="clear" w:color="auto" w:fill="FFF2CC" w:themeFill="accent4" w:themeFillTint="33"/>
            <w:vAlign w:val="center"/>
            <w:hideMark/>
          </w:tcPr>
          <w:p w:rsidR="00243633" w:rsidRPr="00D47F8B" w:rsidRDefault="00243633" w:rsidP="00D527BB">
            <w:pPr>
              <w:spacing w:after="0" w:line="240" w:lineRule="auto"/>
              <w:rPr>
                <w:rFonts w:ascii="Times New Roman" w:eastAsia="Times New Roman" w:hAnsi="Times New Roman" w:cs="Times New Roman"/>
                <w:color w:val="0070C0"/>
                <w:lang w:eastAsia="tr-TR"/>
              </w:rPr>
            </w:pPr>
            <w:r w:rsidRPr="00D47F8B">
              <w:rPr>
                <w:rFonts w:ascii="Times New Roman" w:eastAsia="Times New Roman" w:hAnsi="Times New Roman" w:cs="Times New Roman"/>
                <w:color w:val="0070C0"/>
                <w:lang w:eastAsia="tr-TR"/>
              </w:rPr>
              <w:t> </w:t>
            </w:r>
            <w:r w:rsidRPr="00D47F8B">
              <w:rPr>
                <w:rFonts w:ascii="Times New Roman" w:eastAsia="Times New Roman" w:hAnsi="Times New Roman" w:cs="Times New Roman"/>
                <w:lang w:eastAsia="tr-TR"/>
              </w:rPr>
              <w:t> </w:t>
            </w:r>
            <w:r w:rsidRPr="00D47F8B">
              <w:rPr>
                <w:rFonts w:ascii="Times New Roman" w:eastAsia="Times New Roman" w:hAnsi="Times New Roman" w:cs="Times New Roman"/>
                <w:lang w:eastAsia="tr-TR"/>
              </w:rPr>
              <w:t>Substratlar</w:t>
            </w:r>
          </w:p>
        </w:tc>
        <w:tc>
          <w:tcPr>
            <w:tcW w:w="1543" w:type="dxa"/>
            <w:vAlign w:val="center"/>
            <w:hideMark/>
          </w:tcPr>
          <w:p w:rsidR="00243633" w:rsidRPr="00D47F8B" w:rsidRDefault="00243633" w:rsidP="00D527BB">
            <w:pPr>
              <w:spacing w:after="0" w:line="240" w:lineRule="auto"/>
              <w:rPr>
                <w:rFonts w:ascii="Times New Roman" w:eastAsia="Times New Roman" w:hAnsi="Times New Roman" w:cs="Times New Roman"/>
                <w:lang w:eastAsia="tr-TR"/>
              </w:rPr>
            </w:pPr>
            <w:r w:rsidRPr="00D47F8B">
              <w:rPr>
                <w:rFonts w:eastAsia="Times New Roman" w:cstheme="minorHAnsi"/>
                <w:b/>
                <w:lang w:eastAsia="tr-TR"/>
              </w:rPr>
              <w:t>↑</w:t>
            </w:r>
            <w:r w:rsidRPr="00D47F8B">
              <w:rPr>
                <w:rFonts w:ascii="Times New Roman" w:eastAsia="Times New Roman" w:hAnsi="Times New Roman" w:cs="Times New Roman"/>
                <w:lang w:eastAsia="tr-TR"/>
              </w:rPr>
              <w:t xml:space="preserve"> Substrat </w:t>
            </w:r>
            <w:proofErr w:type="gramStart"/>
            <w:r w:rsidRPr="00D47F8B">
              <w:rPr>
                <w:rFonts w:ascii="Times New Roman" w:eastAsia="Times New Roman" w:hAnsi="Times New Roman" w:cs="Times New Roman"/>
                <w:lang w:eastAsia="tr-TR"/>
              </w:rPr>
              <w:t>konsantrasyonu</w:t>
            </w:r>
            <w:proofErr w:type="gramEnd"/>
          </w:p>
        </w:tc>
        <w:tc>
          <w:tcPr>
            <w:tcW w:w="1574" w:type="dxa"/>
            <w:vAlign w:val="center"/>
            <w:hideMark/>
          </w:tcPr>
          <w:p w:rsidR="00243633" w:rsidRPr="00D47F8B" w:rsidRDefault="00243633" w:rsidP="00D527BB">
            <w:pPr>
              <w:spacing w:after="0" w:line="240" w:lineRule="auto"/>
              <w:rPr>
                <w:rFonts w:ascii="Times New Roman" w:eastAsia="Times New Roman" w:hAnsi="Times New Roman" w:cs="Times New Roman"/>
                <w:lang w:eastAsia="tr-TR"/>
              </w:rPr>
            </w:pPr>
            <w:r w:rsidRPr="00D47F8B">
              <w:rPr>
                <w:rFonts w:ascii="Times New Roman" w:eastAsia="Times New Roman" w:hAnsi="Times New Roman" w:cs="Times New Roman"/>
                <w:lang w:eastAsia="tr-TR"/>
              </w:rPr>
              <w:t>Veri yok</w:t>
            </w:r>
          </w:p>
        </w:tc>
        <w:tc>
          <w:tcPr>
            <w:tcW w:w="0" w:type="auto"/>
            <w:vAlign w:val="center"/>
            <w:hideMark/>
          </w:tcPr>
          <w:p w:rsidR="00243633" w:rsidRPr="00D47F8B" w:rsidRDefault="00243633" w:rsidP="00D527BB">
            <w:pPr>
              <w:spacing w:after="0" w:line="240" w:lineRule="auto"/>
              <w:rPr>
                <w:rFonts w:ascii="Times New Roman" w:eastAsia="Times New Roman" w:hAnsi="Times New Roman" w:cs="Times New Roman"/>
                <w:lang w:eastAsia="tr-TR"/>
              </w:rPr>
            </w:pPr>
            <w:r w:rsidRPr="00D47F8B">
              <w:rPr>
                <w:rFonts w:ascii="Times New Roman" w:eastAsia="Times New Roman" w:hAnsi="Times New Roman" w:cs="Times New Roman"/>
                <w:lang w:eastAsia="tr-TR"/>
              </w:rPr>
              <w:t>Substrat dozunu azaltmayı düşünün;</w:t>
            </w:r>
            <w:r w:rsidRPr="00D47F8B">
              <w:rPr>
                <w:rFonts w:ascii="Times New Roman" w:hAnsi="Times New Roman" w:cs="Times New Roman"/>
              </w:rPr>
              <w:t xml:space="preserve"> </w:t>
            </w:r>
            <w:r w:rsidRPr="00D47F8B">
              <w:rPr>
                <w:rFonts w:ascii="Times New Roman" w:eastAsia="Times New Roman" w:hAnsi="Times New Roman" w:cs="Times New Roman"/>
                <w:lang w:eastAsia="tr-TR"/>
              </w:rPr>
              <w:t>olumsuz etkileri izlemek</w:t>
            </w:r>
          </w:p>
        </w:tc>
        <w:tc>
          <w:tcPr>
            <w:tcW w:w="0" w:type="auto"/>
            <w:vAlign w:val="center"/>
            <w:hideMark/>
          </w:tcPr>
          <w:p w:rsidR="00243633" w:rsidRPr="00D47F8B" w:rsidRDefault="00243633" w:rsidP="00D527BB">
            <w:pPr>
              <w:spacing w:after="0" w:line="240" w:lineRule="auto"/>
              <w:rPr>
                <w:rFonts w:ascii="Times New Roman" w:eastAsia="Times New Roman" w:hAnsi="Times New Roman" w:cs="Times New Roman"/>
                <w:color w:val="000000"/>
                <w:sz w:val="24"/>
                <w:szCs w:val="24"/>
                <w:lang w:eastAsia="tr-TR"/>
              </w:rPr>
            </w:pPr>
            <w:r w:rsidRPr="00D47F8B">
              <w:rPr>
                <w:rFonts w:ascii="Times New Roman" w:eastAsia="Times New Roman" w:hAnsi="Times New Roman" w:cs="Times New Roman"/>
                <w:color w:val="0070C0"/>
                <w:sz w:val="24"/>
                <w:szCs w:val="24"/>
                <w:lang w:eastAsia="tr-TR"/>
              </w:rPr>
              <w:t>Karbamazepin, hidromorfon, ezetimib,</w:t>
            </w:r>
            <w:r w:rsidRPr="00D47F8B">
              <w:rPr>
                <w:rFonts w:ascii="Times New Roman" w:eastAsia="Times New Roman" w:hAnsi="Times New Roman" w:cs="Times New Roman"/>
                <w:b/>
                <w:color w:val="C00000"/>
                <w:sz w:val="24"/>
                <w:szCs w:val="24"/>
                <w:lang w:eastAsia="tr-TR"/>
              </w:rPr>
              <w:t>*</w:t>
            </w:r>
            <w:r w:rsidRPr="00D47F8B">
              <w:rPr>
                <w:rFonts w:ascii="Times New Roman" w:eastAsia="Times New Roman" w:hAnsi="Times New Roman" w:cs="Times New Roman"/>
                <w:color w:val="0070C0"/>
                <w:sz w:val="24"/>
                <w:szCs w:val="24"/>
                <w:lang w:eastAsia="tr-TR"/>
              </w:rPr>
              <w:t xml:space="preserve"> ibuprofen, losartan,</w:t>
            </w:r>
            <w:r w:rsidRPr="00D47F8B">
              <w:rPr>
                <w:rFonts w:ascii="Times New Roman" w:eastAsia="Times New Roman" w:hAnsi="Times New Roman" w:cs="Times New Roman"/>
                <w:b/>
                <w:color w:val="C00000"/>
                <w:sz w:val="24"/>
                <w:szCs w:val="24"/>
                <w:lang w:eastAsia="tr-TR"/>
              </w:rPr>
              <w:t>*</w:t>
            </w:r>
            <w:r w:rsidRPr="00D47F8B">
              <w:rPr>
                <w:rFonts w:ascii="Times New Roman" w:eastAsia="Times New Roman" w:hAnsi="Times New Roman" w:cs="Times New Roman"/>
                <w:color w:val="0070C0"/>
                <w:sz w:val="24"/>
                <w:szCs w:val="24"/>
                <w:lang w:eastAsia="tr-TR"/>
              </w:rPr>
              <w:t xml:space="preserve"> lovastatin,</w:t>
            </w:r>
            <w:r w:rsidRPr="00D47F8B">
              <w:rPr>
                <w:rFonts w:ascii="Times New Roman" w:eastAsia="Times New Roman" w:hAnsi="Times New Roman" w:cs="Times New Roman"/>
                <w:b/>
                <w:color w:val="C00000"/>
                <w:sz w:val="24"/>
                <w:szCs w:val="24"/>
                <w:lang w:eastAsia="tr-TR"/>
              </w:rPr>
              <w:t>*</w:t>
            </w:r>
            <w:r w:rsidRPr="00D47F8B">
              <w:rPr>
                <w:rFonts w:ascii="Times New Roman" w:eastAsia="Times New Roman" w:hAnsi="Times New Roman" w:cs="Times New Roman"/>
                <w:color w:val="0070C0"/>
                <w:sz w:val="24"/>
                <w:szCs w:val="24"/>
                <w:lang w:eastAsia="tr-TR"/>
              </w:rPr>
              <w:t xml:space="preserve"> naproksen, simvastatin,</w:t>
            </w:r>
            <w:r w:rsidRPr="00D47F8B">
              <w:rPr>
                <w:rFonts w:ascii="Times New Roman" w:eastAsia="Times New Roman" w:hAnsi="Times New Roman" w:cs="Times New Roman"/>
                <w:b/>
                <w:color w:val="C00000"/>
                <w:sz w:val="24"/>
                <w:szCs w:val="24"/>
                <w:lang w:eastAsia="tr-TR"/>
              </w:rPr>
              <w:t>*</w:t>
            </w:r>
            <w:r w:rsidRPr="00D47F8B">
              <w:rPr>
                <w:rFonts w:ascii="Times New Roman" w:eastAsia="Times New Roman" w:hAnsi="Times New Roman" w:cs="Times New Roman"/>
                <w:color w:val="0070C0"/>
                <w:sz w:val="24"/>
                <w:szCs w:val="24"/>
                <w:lang w:eastAsia="tr-TR"/>
              </w:rPr>
              <w:t xml:space="preserve"> valproat</w:t>
            </w:r>
            <w:r w:rsidRPr="00D47F8B">
              <w:rPr>
                <w:rFonts w:ascii="Times New Roman" w:eastAsia="Times New Roman" w:hAnsi="Times New Roman" w:cs="Times New Roman"/>
                <w:b/>
                <w:color w:val="C00000"/>
                <w:sz w:val="24"/>
                <w:szCs w:val="24"/>
                <w:lang w:eastAsia="tr-TR"/>
              </w:rPr>
              <w:t>‡</w:t>
            </w:r>
          </w:p>
        </w:tc>
        <w:tc>
          <w:tcPr>
            <w:tcW w:w="0" w:type="auto"/>
            <w:vAlign w:val="center"/>
            <w:hideMark/>
          </w:tcPr>
          <w:p w:rsidR="00243633" w:rsidRPr="00A31B67" w:rsidRDefault="00243633" w:rsidP="00D527BB">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243633" w:rsidRPr="00A31B67" w:rsidRDefault="00243633" w:rsidP="00D527BB">
            <w:pPr>
              <w:spacing w:after="0" w:line="240" w:lineRule="auto"/>
              <w:rPr>
                <w:rFonts w:ascii="Times New Roman" w:eastAsia="Times New Roman" w:hAnsi="Times New Roman" w:cs="Times New Roman"/>
                <w:sz w:val="20"/>
                <w:szCs w:val="20"/>
                <w:lang w:eastAsia="tr-TR"/>
              </w:rPr>
            </w:pPr>
          </w:p>
        </w:tc>
      </w:tr>
    </w:tbl>
    <w:p w:rsidR="00243633" w:rsidRPr="00243633" w:rsidRDefault="00243633" w:rsidP="00243633">
      <w:pPr>
        <w:spacing w:after="100" w:afterAutospacing="1" w:line="240" w:lineRule="auto"/>
        <w:rPr>
          <w:rFonts w:ascii="Helvetica" w:eastAsia="Times New Roman" w:hAnsi="Helvetica" w:cs="Helvetica"/>
          <w:color w:val="000000"/>
          <w:sz w:val="16"/>
          <w:szCs w:val="16"/>
          <w:lang w:eastAsia="tr-TR"/>
        </w:rPr>
      </w:pPr>
    </w:p>
    <w:p w:rsidR="00243633" w:rsidRPr="00243633" w:rsidRDefault="00243633" w:rsidP="00243633">
      <w:pPr>
        <w:shd w:val="clear" w:color="auto" w:fill="F2F2F2" w:themeFill="background1" w:themeFillShade="F2"/>
        <w:spacing w:after="100" w:afterAutospacing="1" w:line="240" w:lineRule="auto"/>
        <w:rPr>
          <w:rFonts w:ascii="Times New Roman" w:eastAsia="Times New Roman" w:hAnsi="Times New Roman" w:cs="Times New Roman"/>
          <w:color w:val="000000"/>
          <w:sz w:val="20"/>
          <w:szCs w:val="20"/>
          <w:lang w:eastAsia="tr-TR"/>
        </w:rPr>
      </w:pPr>
      <w:r w:rsidRPr="00243633">
        <w:rPr>
          <w:rFonts w:ascii="Times New Roman" w:eastAsia="Times New Roman" w:hAnsi="Times New Roman" w:cs="Times New Roman"/>
          <w:b/>
          <w:i/>
          <w:color w:val="000000"/>
          <w:sz w:val="20"/>
          <w:szCs w:val="20"/>
          <w:lang w:eastAsia="tr-TR"/>
        </w:rPr>
        <w:t>Kısaltmalar:</w:t>
      </w:r>
      <w:r w:rsidRPr="00243633">
        <w:rPr>
          <w:rFonts w:ascii="Times New Roman" w:eastAsia="Times New Roman" w:hAnsi="Times New Roman" w:cs="Times New Roman"/>
          <w:color w:val="000000"/>
          <w:sz w:val="20"/>
          <w:szCs w:val="20"/>
          <w:lang w:eastAsia="tr-TR"/>
        </w:rPr>
        <w:t xml:space="preserve"> CBD- Cannabidiol; CNI- Calcineurin inhibitor; CYP- Cytochrome P450; INR- İnternational normalized ratio; PDE5- Phosphodiesterase type 5; THC- Δ-9-tetrahydrocannabinol; and UGT- Uridine 5’diphospho-glucoronosyltransferase.</w:t>
      </w:r>
    </w:p>
    <w:p w:rsidR="00243633" w:rsidRPr="00243633" w:rsidRDefault="00243633" w:rsidP="00243633">
      <w:pPr>
        <w:shd w:val="clear" w:color="auto" w:fill="F2F2F2" w:themeFill="background1" w:themeFillShade="F2"/>
        <w:spacing w:after="100" w:afterAutospacing="1" w:line="240" w:lineRule="auto"/>
        <w:rPr>
          <w:rFonts w:ascii="Helvetica" w:eastAsia="Times New Roman" w:hAnsi="Helvetica" w:cs="Helvetica"/>
          <w:color w:val="000000"/>
          <w:sz w:val="20"/>
          <w:szCs w:val="20"/>
          <w:lang w:eastAsia="tr-TR"/>
        </w:rPr>
      </w:pPr>
      <w:r w:rsidRPr="00243633">
        <w:rPr>
          <w:rFonts w:ascii="Helvetica" w:eastAsia="Times New Roman" w:hAnsi="Helvetica" w:cs="Helvetica"/>
          <w:color w:val="C00000"/>
          <w:sz w:val="20"/>
          <w:szCs w:val="20"/>
          <w:lang w:eastAsia="tr-TR"/>
        </w:rPr>
        <w:t xml:space="preserve">* </w:t>
      </w:r>
      <w:r w:rsidRPr="00243633">
        <w:rPr>
          <w:rFonts w:ascii="Times New Roman" w:eastAsia="Times New Roman" w:hAnsi="Times New Roman" w:cs="Times New Roman"/>
          <w:color w:val="000000"/>
          <w:sz w:val="20"/>
          <w:szCs w:val="20"/>
          <w:lang w:eastAsia="tr-TR"/>
        </w:rPr>
        <w:t>Kardiyovasküler ilaçlar.</w:t>
      </w:r>
    </w:p>
    <w:p w:rsidR="00243633" w:rsidRDefault="00243633" w:rsidP="00243633">
      <w:pPr>
        <w:shd w:val="clear" w:color="auto" w:fill="F2F2F2" w:themeFill="background1" w:themeFillShade="F2"/>
        <w:spacing w:after="100" w:afterAutospacing="1" w:line="240" w:lineRule="auto"/>
        <w:rPr>
          <w:rFonts w:ascii="Times New Roman" w:eastAsia="Times New Roman" w:hAnsi="Times New Roman" w:cs="Times New Roman"/>
          <w:color w:val="000000"/>
          <w:sz w:val="20"/>
          <w:szCs w:val="20"/>
          <w:lang w:eastAsia="tr-TR"/>
        </w:rPr>
      </w:pPr>
      <w:proofErr w:type="gramStart"/>
      <w:r w:rsidRPr="00243633">
        <w:rPr>
          <w:rFonts w:ascii="Times New Roman" w:eastAsia="Times New Roman" w:hAnsi="Times New Roman" w:cs="Times New Roman"/>
          <w:b/>
          <w:color w:val="C00000"/>
          <w:sz w:val="20"/>
          <w:szCs w:val="20"/>
          <w:lang w:eastAsia="tr-TR"/>
        </w:rPr>
        <w:t>†</w:t>
      </w:r>
      <w:r w:rsidRPr="00243633">
        <w:rPr>
          <w:rFonts w:ascii="Times New Roman" w:eastAsia="Times New Roman" w:hAnsi="Times New Roman" w:cs="Times New Roman"/>
          <w:color w:val="000000"/>
          <w:sz w:val="20"/>
          <w:szCs w:val="20"/>
          <w:lang w:eastAsia="tr-TR"/>
        </w:rPr>
        <w:t xml:space="preserve"> Gözlem çalışmalarına veya vaka raporlarına dayanarak.</w:t>
      </w:r>
      <w:proofErr w:type="gramEnd"/>
    </w:p>
    <w:p w:rsidR="00243633" w:rsidRPr="00243633" w:rsidRDefault="00243633" w:rsidP="00243633">
      <w:pPr>
        <w:shd w:val="clear" w:color="auto" w:fill="F2F2F2" w:themeFill="background1" w:themeFillShade="F2"/>
        <w:spacing w:after="100" w:afterAutospacing="1" w:line="240" w:lineRule="auto"/>
        <w:rPr>
          <w:rFonts w:ascii="Times New Roman" w:eastAsia="Times New Roman" w:hAnsi="Times New Roman" w:cs="Times New Roman"/>
          <w:color w:val="000000"/>
          <w:sz w:val="20"/>
          <w:szCs w:val="20"/>
          <w:lang w:eastAsia="tr-TR"/>
        </w:rPr>
      </w:pPr>
      <w:r w:rsidRPr="00243633">
        <w:rPr>
          <w:rFonts w:ascii="Times New Roman" w:eastAsia="Times New Roman" w:hAnsi="Times New Roman" w:cs="Times New Roman"/>
          <w:b/>
          <w:color w:val="C00000"/>
          <w:sz w:val="20"/>
          <w:szCs w:val="20"/>
          <w:lang w:eastAsia="tr-TR"/>
        </w:rPr>
        <w:t>‡</w:t>
      </w:r>
      <w:r w:rsidRPr="00243633">
        <w:rPr>
          <w:sz w:val="20"/>
          <w:szCs w:val="20"/>
        </w:rPr>
        <w:t xml:space="preserve"> </w:t>
      </w:r>
      <w:r w:rsidRPr="00243633">
        <w:rPr>
          <w:rFonts w:ascii="Times New Roman" w:eastAsia="Times New Roman" w:hAnsi="Times New Roman" w:cs="Times New Roman"/>
          <w:color w:val="000000"/>
          <w:sz w:val="20"/>
          <w:szCs w:val="20"/>
          <w:lang w:eastAsia="tr-TR"/>
        </w:rPr>
        <w:t>Klinik çalışmalara veya in vivo verilere dayalıdır.</w:t>
      </w:r>
    </w:p>
    <w:p w:rsidR="00243633" w:rsidRDefault="00243633" w:rsidP="00243633">
      <w:pPr>
        <w:pStyle w:val="NormalWeb"/>
        <w:shd w:val="clear" w:color="auto" w:fill="FFFFFF"/>
      </w:pPr>
    </w:p>
    <w:p w:rsidR="00B066E8" w:rsidRPr="009F741D" w:rsidRDefault="009F741D" w:rsidP="00B066E8">
      <w:pPr>
        <w:pStyle w:val="NormalWeb"/>
        <w:shd w:val="clear" w:color="auto" w:fill="FFFFFF"/>
        <w:rPr>
          <w:b/>
          <w:color w:val="C00000"/>
          <w:sz w:val="32"/>
          <w:szCs w:val="32"/>
        </w:rPr>
      </w:pPr>
      <w:r w:rsidRPr="009F741D">
        <w:rPr>
          <w:b/>
          <w:color w:val="C00000"/>
          <w:sz w:val="32"/>
          <w:szCs w:val="32"/>
        </w:rPr>
        <w:t>Geriyatrik populasyon</w:t>
      </w:r>
    </w:p>
    <w:p w:rsidR="00B066E8" w:rsidRDefault="009F741D" w:rsidP="00B066E8">
      <w:pPr>
        <w:pStyle w:val="NormalWeb"/>
        <w:shd w:val="clear" w:color="auto" w:fill="FFFFFF"/>
      </w:pPr>
      <w:r>
        <w:lastRenderedPageBreak/>
        <w:t>Cannabis</w:t>
      </w:r>
      <w:r w:rsidRPr="009F741D">
        <w:t xml:space="preserve"> kullanımının, nöropatik ağrıda azalma, yaşam kalitesinde artış ve reçeteli ilaç kullanımında azalma (opioidler </w:t>
      </w:r>
      <w:proofErr w:type="gramStart"/>
      <w:r w:rsidRPr="009F741D">
        <w:t>dahil</w:t>
      </w:r>
      <w:proofErr w:type="gramEnd"/>
      <w:r w:rsidRPr="009F741D">
        <w:t>) arayan yaşlı popülasyonlar için güvenli ve etkili olduğu öne sürülmüştür.</w:t>
      </w:r>
      <w:r w:rsidR="00422555" w:rsidRPr="00422555">
        <w:t xml:space="preserve"> Ek olarak, Parkinson ve Alzheimer hastalığı da </w:t>
      </w:r>
      <w:proofErr w:type="gramStart"/>
      <w:r w:rsidR="00422555" w:rsidRPr="00422555">
        <w:t>dahil</w:t>
      </w:r>
      <w:proofErr w:type="gramEnd"/>
      <w:r w:rsidR="00422555" w:rsidRPr="00422555">
        <w:t xml:space="preserve"> olmak üzere yaşa bağlı hastalıkları olan hastalar için faydalar bildirilmiştir (</w:t>
      </w:r>
      <w:r w:rsidR="00422555" w:rsidRPr="00422555">
        <w:rPr>
          <w:b/>
          <w:i/>
          <w:color w:val="C00000"/>
          <w:u w:val="single"/>
        </w:rPr>
        <w:t>Tablo 2</w:t>
      </w:r>
      <w:r w:rsidR="00422555" w:rsidRPr="00422555">
        <w:t xml:space="preserve">). Bununla birlikte, yaşlı/geriatrik hasta </w:t>
      </w:r>
      <w:proofErr w:type="gramStart"/>
      <w:r w:rsidR="00422555" w:rsidRPr="00422555">
        <w:t>popülasy</w:t>
      </w:r>
      <w:r w:rsidR="00422555">
        <w:t>onundaki</w:t>
      </w:r>
      <w:proofErr w:type="gramEnd"/>
      <w:r w:rsidR="00422555">
        <w:t xml:space="preserve"> etkilere özgü longutudinal</w:t>
      </w:r>
      <w:r w:rsidR="00422555" w:rsidRPr="00422555">
        <w:t xml:space="preserve"> veriler yetersizdir.</w:t>
      </w:r>
      <w:r w:rsidR="00AF2040" w:rsidRPr="00AF2040">
        <w:t xml:space="preserve"> 2012'den 2013'e Ulusal Alkol ve İlgili Durumlar Epidemiyolojik Araştırması</w:t>
      </w:r>
      <w:r w:rsidR="0055604D">
        <w:t xml:space="preserve"> (e</w:t>
      </w:r>
      <w:r w:rsidR="0055604D" w:rsidRPr="0055604D">
        <w:rPr>
          <w:i/>
        </w:rPr>
        <w:t>pidemiological Survey on Alcohol and Related Conditions</w:t>
      </w:r>
      <w:r w:rsidR="0055604D">
        <w:t>)</w:t>
      </w:r>
      <w:r w:rsidR="00AF2040" w:rsidRPr="00AF2040">
        <w:t>'</w:t>
      </w:r>
      <w:r w:rsidR="0055604D">
        <w:t>sı</w:t>
      </w:r>
      <w:r w:rsidR="00AF2040" w:rsidRPr="00AF2040">
        <w:t>ndan alınan ulusal verilerin kesitsel analizi, 65 yaş ve üstü yetişkinlerin daha genç yaş gruplarına kıyasla önemli ölçüde daha düşük esrar kullanım oranlarına sahip olduğunu göstermektedir.</w:t>
      </w:r>
    </w:p>
    <w:p w:rsidR="00042A64" w:rsidRDefault="00042A64" w:rsidP="00042A64">
      <w:pPr>
        <w:pStyle w:val="NormalWeb"/>
        <w:shd w:val="clear" w:color="auto" w:fill="FFFFFF"/>
      </w:pPr>
      <w:r>
        <w:t>Ancak daha önce geçen yıl esrar kullanmış</w:t>
      </w:r>
      <w:r w:rsidRPr="00042A64">
        <w:t>50 yaş ve üzeri gruptaki bireyler</w:t>
      </w:r>
      <w:r>
        <w:t xml:space="preserve"> </w:t>
      </w:r>
      <w:r w:rsidRPr="00042A64">
        <w:t xml:space="preserve">anksiyete, manik-depresif bozukluk, travma sonrası stres bozukluğu ve bipolar bozukluk dahil olmak üzere, geçmişte kullananlar (%26,5) ve hiç kullanmayanlar (%19,4) ile karşılaştırıldığında </w:t>
      </w:r>
      <w:r>
        <w:t xml:space="preserve">çok </w:t>
      </w:r>
      <w:proofErr w:type="gramStart"/>
      <w:r>
        <w:t>daha  yüksek</w:t>
      </w:r>
      <w:proofErr w:type="gramEnd"/>
      <w:r>
        <w:t xml:space="preserve"> ruhsal bozukluk oranlarına sahipti (%33,2).</w:t>
      </w:r>
      <w:r w:rsidR="00F82120" w:rsidRPr="00F82120">
        <w:t xml:space="preserve"> Bu bulgular, genel </w:t>
      </w:r>
      <w:proofErr w:type="gramStart"/>
      <w:r w:rsidR="00F82120" w:rsidRPr="00F82120">
        <w:t>popülasyonda</w:t>
      </w:r>
      <w:proofErr w:type="gramEnd"/>
      <w:r w:rsidR="00F82120" w:rsidRPr="00F82120">
        <w:t xml:space="preserve"> majör depresif dönemler ile kendi kendine ilaç tedavisi arasındaki güçlü pozitif ilişkiden kaynaklanabilir.</w:t>
      </w:r>
    </w:p>
    <w:p w:rsidR="007E6F4A" w:rsidRDefault="007E6F4A" w:rsidP="00876409">
      <w:pPr>
        <w:pStyle w:val="NormalWeb"/>
        <w:numPr>
          <w:ilvl w:val="0"/>
          <w:numId w:val="2"/>
        </w:numPr>
        <w:shd w:val="clear" w:color="auto" w:fill="FFFFFF"/>
      </w:pPr>
      <w:r w:rsidRPr="007E6F4A">
        <w:t xml:space="preserve">THC farmakokinetiği için bireyler arası varyasyon mevcuttur, ancak yaşlı erişkinlerde maksimum </w:t>
      </w:r>
      <w:proofErr w:type="gramStart"/>
      <w:r w:rsidRPr="007E6F4A">
        <w:t>konsantrasyona</w:t>
      </w:r>
      <w:proofErr w:type="gramEnd"/>
      <w:r w:rsidRPr="007E6F4A">
        <w:t xml:space="preserve"> ulaşma süresi genç erişkinlerdekine benzerdir.</w:t>
      </w:r>
      <w:r w:rsidR="00876409" w:rsidRPr="00876409">
        <w:t xml:space="preserve"> </w:t>
      </w:r>
      <w:r w:rsidR="00876409">
        <w:t xml:space="preserve">Bununla birlikte, daha </w:t>
      </w:r>
      <w:proofErr w:type="gramStart"/>
      <w:r w:rsidR="00876409">
        <w:t xml:space="preserve">yaşlı </w:t>
      </w:r>
      <w:r w:rsidR="00876409" w:rsidRPr="00876409">
        <w:t xml:space="preserve"> bir</w:t>
      </w:r>
      <w:proofErr w:type="gramEnd"/>
      <w:r w:rsidR="00876409" w:rsidRPr="00876409">
        <w:t xml:space="preserve"> kohorttaki farmakodinamik, G proteinleri ve sinyal yolaklarındaki yaşa b</w:t>
      </w:r>
      <w:r w:rsidR="00876409">
        <w:t>ağlı bozukluklardan kaynaklanan</w:t>
      </w:r>
      <w:r w:rsidR="00876409" w:rsidRPr="00876409">
        <w:t xml:space="preserve"> daha genç bir kohorta kıyas</w:t>
      </w:r>
      <w:r w:rsidR="00876409">
        <w:t xml:space="preserve">la belirli bir dozda  gözlenebilen </w:t>
      </w:r>
      <w:r w:rsidR="00876409" w:rsidRPr="00876409">
        <w:t xml:space="preserve"> </w:t>
      </w:r>
      <w:r w:rsidR="00876409">
        <w:t xml:space="preserve">daha küçük </w:t>
      </w:r>
      <w:r w:rsidR="00876409" w:rsidRPr="00876409">
        <w:t>etkiler</w:t>
      </w:r>
      <w:r w:rsidR="00876409">
        <w:t xml:space="preserve"> i</w:t>
      </w:r>
      <w:r w:rsidR="00876409" w:rsidRPr="00876409">
        <w:t>le değişebilir.</w:t>
      </w:r>
    </w:p>
    <w:p w:rsidR="00876409" w:rsidRDefault="00876409" w:rsidP="00876409">
      <w:pPr>
        <w:pStyle w:val="NormalWeb"/>
        <w:numPr>
          <w:ilvl w:val="0"/>
          <w:numId w:val="2"/>
        </w:numPr>
        <w:shd w:val="clear" w:color="auto" w:fill="FFFFFF"/>
      </w:pPr>
      <w:r w:rsidRPr="00876409">
        <w:t xml:space="preserve">Uygulama yolu (örn. oral veya inhalasyon), belirli bir doza verilen yanıtı etkileyebilir; daha </w:t>
      </w:r>
      <w:proofErr w:type="gramStart"/>
      <w:r w:rsidR="00FA1474">
        <w:t xml:space="preserve">yaşlı </w:t>
      </w:r>
      <w:r w:rsidRPr="00876409">
        <w:t xml:space="preserve"> bir</w:t>
      </w:r>
      <w:proofErr w:type="gramEnd"/>
      <w:r w:rsidRPr="00876409">
        <w:t xml:space="preserve"> kohortta ilk geçiş etkisi ve hepatik kan akışı/</w:t>
      </w:r>
      <w:r w:rsidR="00FA1474">
        <w:t xml:space="preserve"> </w:t>
      </w:r>
      <w:r w:rsidRPr="00876409">
        <w:t>klirensi kannabinoid etkinliğini büyük ölçüde etkileyebilir</w:t>
      </w:r>
      <w:r w:rsidR="000F4832">
        <w:t>.</w:t>
      </w:r>
    </w:p>
    <w:p w:rsidR="000F4832" w:rsidRDefault="000F4832" w:rsidP="000F4832">
      <w:pPr>
        <w:pStyle w:val="NormalWeb"/>
        <w:numPr>
          <w:ilvl w:val="0"/>
          <w:numId w:val="2"/>
        </w:numPr>
        <w:shd w:val="clear" w:color="auto" w:fill="FFFFFF"/>
      </w:pPr>
      <w:r w:rsidRPr="000F4832">
        <w:t xml:space="preserve">Yaşlanan bir </w:t>
      </w:r>
      <w:proofErr w:type="gramStart"/>
      <w:r w:rsidRPr="000F4832">
        <w:t>popülasyonda</w:t>
      </w:r>
      <w:proofErr w:type="gramEnd"/>
      <w:r w:rsidRPr="000F4832">
        <w:t xml:space="preserve"> polifarmasinin yaygınlığı göz önüne alındığında, özellikle antikoagülanlar, antidepresanlar, antipsikotikler, antiaritmikler ve statinlerle ilgili olarak ilaç-ilaç etkileşim potansiyeli yüksek olabilir (</w:t>
      </w:r>
      <w:r w:rsidR="005F3A6E">
        <w:rPr>
          <w:b/>
          <w:i/>
          <w:color w:val="C00000"/>
          <w:u w:val="single"/>
        </w:rPr>
        <w:t>Tablo 3</w:t>
      </w:r>
      <w:r w:rsidRPr="000F4832">
        <w:t>).</w:t>
      </w:r>
    </w:p>
    <w:p w:rsidR="00B066E8" w:rsidRPr="006935E1" w:rsidRDefault="00B1483A" w:rsidP="00B066E8">
      <w:pPr>
        <w:pStyle w:val="NormalWeb"/>
        <w:shd w:val="clear" w:color="auto" w:fill="FFFFFF"/>
        <w:rPr>
          <w:b/>
          <w:color w:val="C00000"/>
          <w:sz w:val="32"/>
          <w:szCs w:val="32"/>
        </w:rPr>
      </w:pPr>
      <w:r>
        <w:rPr>
          <w:b/>
          <w:color w:val="C00000"/>
          <w:sz w:val="32"/>
          <w:szCs w:val="32"/>
        </w:rPr>
        <w:t>Transplantasyon H</w:t>
      </w:r>
      <w:r w:rsidR="006935E1" w:rsidRPr="006935E1">
        <w:rPr>
          <w:b/>
          <w:color w:val="C00000"/>
          <w:sz w:val="32"/>
          <w:szCs w:val="32"/>
        </w:rPr>
        <w:t>astaları</w:t>
      </w:r>
    </w:p>
    <w:p w:rsidR="006935E1" w:rsidRDefault="00B1483A" w:rsidP="00B019B1">
      <w:pPr>
        <w:pStyle w:val="NormalWeb"/>
        <w:shd w:val="clear" w:color="auto" w:fill="FFFFFF"/>
        <w:spacing w:before="0" w:beforeAutospacing="0"/>
        <w:ind w:left="567"/>
      </w:pPr>
      <w:r w:rsidRPr="00B1483A">
        <w:t xml:space="preserve">Geleneksel olarak, katı organ nakli programlarının çoğu, aktif uyuşturucu veya alkol kötüye kullanımı olan hastaların nakil yapılmamasını tavsiye etmektedir. Bununla birlikte, en az 7 ABD eyaletinde (California, Washington, Illinois, Arizona, Delaware, New Hampshire ve Maine) bir hastanın tıbbi esrar kullanmasına dayanarak nakil listesinin reddedilmesini açıkça yasaklayan bir yasa çıkarılmıştır. 26 ülkedeki kalp nakli sağlayıcılarının esrar kullanımına yönelik uygulama modellerini ve tutumlarını incelemek üzere tasarlanan </w:t>
      </w:r>
      <w:r w:rsidRPr="00B1483A">
        <w:rPr>
          <w:i/>
        </w:rPr>
        <w:t>web</w:t>
      </w:r>
      <w:r w:rsidRPr="00B1483A">
        <w:t xml:space="preserve"> tabanlı bir anketten elde edilen veriler, yanıt verenlerin çoğunluğunun (%64,4) yasal tıbbi esrar kullanan hastalar için nakil listesini desteklediğini ortaya koydu. Bununla birlikte, kannabis kullanan hastaların transplantasyonun reddedilmesini yasaklayan yasalara sahip eyaletlerden yanıt verenler de dahil olmak üzere sağlayıcıların %68,3'ü, hastanın </w:t>
      </w:r>
      <w:proofErr w:type="gramStart"/>
      <w:r w:rsidRPr="00B1483A">
        <w:t>transplantasyon</w:t>
      </w:r>
      <w:proofErr w:type="gramEnd"/>
      <w:r w:rsidRPr="00B1483A">
        <w:t xml:space="preserve"> için uygun hale gelmesinden önce belgelenmiş bir perhiz</w:t>
      </w:r>
      <w:r>
        <w:t xml:space="preserve"> (</w:t>
      </w:r>
      <w:r w:rsidRPr="00B1483A">
        <w:rPr>
          <w:i/>
        </w:rPr>
        <w:t>abstinence</w:t>
      </w:r>
      <w:r>
        <w:rPr>
          <w:i/>
        </w:rPr>
        <w:t xml:space="preserve"> </w:t>
      </w:r>
      <w:r>
        <w:t>- yokluk)</w:t>
      </w:r>
      <w:r w:rsidRPr="00B1483A">
        <w:t xml:space="preserve"> süresi talep etmektedir.</w:t>
      </w:r>
      <w:r w:rsidR="002657A8" w:rsidRPr="002657A8">
        <w:t xml:space="preserve"> Önemli ölçüde daha az katılımcı (%27,5) yasal eğlence amaçlı esrar kullanan hastalar için nakil listesini destekledi</w:t>
      </w:r>
      <w:r w:rsidR="002657A8">
        <w:t>.</w:t>
      </w:r>
    </w:p>
    <w:p w:rsidR="001171A4" w:rsidRDefault="002657A8" w:rsidP="001171A4">
      <w:pPr>
        <w:pStyle w:val="NormalWeb"/>
        <w:shd w:val="clear" w:color="auto" w:fill="FFFFFF"/>
        <w:spacing w:before="0" w:beforeAutospacing="0"/>
        <w:ind w:left="567"/>
      </w:pPr>
      <w:r w:rsidRPr="002657A8">
        <w:t xml:space="preserve">Bağışıklığı baskılanmış bir hastada benzersiz riskler vardır çünkü inhale edilen tütsülenmiş veya buharlaştırılmış esrar, kullanıcıyı yaşamı tehdit eden akciğer </w:t>
      </w:r>
      <w:proofErr w:type="gramStart"/>
      <w:r w:rsidRPr="002657A8">
        <w:t>enfeksiyonlarına</w:t>
      </w:r>
      <w:proofErr w:type="gramEnd"/>
      <w:r w:rsidRPr="002657A8">
        <w:t xml:space="preserve"> (en yaygın olarak Aspergilloz) maruz bırakabilir.</w:t>
      </w:r>
      <w:r w:rsidR="001171A4" w:rsidRPr="001171A4">
        <w:t xml:space="preserve"> Ek olarak, kalsinörin </w:t>
      </w:r>
      <w:r w:rsidR="001171A4" w:rsidRPr="001171A4">
        <w:lastRenderedPageBreak/>
        <w:t xml:space="preserve">inhibitörleri ile eksojen kannabinoidlerin önemli ilaç-ilaç etkileşimi mevcut olabilir ve bu da potansiyel olarak artan kalsinörin inhibitör </w:t>
      </w:r>
      <w:proofErr w:type="gramStart"/>
      <w:r w:rsidR="001171A4" w:rsidRPr="001171A4">
        <w:t>konsantrasyonlarına</w:t>
      </w:r>
      <w:proofErr w:type="gramEnd"/>
      <w:r w:rsidR="001171A4" w:rsidRPr="001171A4">
        <w:t xml:space="preserve"> ve toksisiteye yol açar (</w:t>
      </w:r>
      <w:r w:rsidR="003A725A">
        <w:rPr>
          <w:b/>
          <w:i/>
          <w:color w:val="C00000"/>
          <w:u w:val="single"/>
        </w:rPr>
        <w:t>Tablo 3</w:t>
      </w:r>
      <w:r w:rsidR="001171A4" w:rsidRPr="001171A4">
        <w:t>).</w:t>
      </w:r>
    </w:p>
    <w:p w:rsidR="001171A4" w:rsidRPr="001171A4" w:rsidRDefault="001171A4" w:rsidP="001171A4">
      <w:pPr>
        <w:pStyle w:val="NormalWeb"/>
        <w:shd w:val="clear" w:color="auto" w:fill="FFFFFF"/>
        <w:spacing w:before="0" w:beforeAutospacing="0"/>
        <w:ind w:left="567"/>
      </w:pPr>
    </w:p>
    <w:p w:rsidR="001171A4" w:rsidRPr="001171A4" w:rsidRDefault="001171A4" w:rsidP="00B019B1">
      <w:pPr>
        <w:pStyle w:val="NormalWeb"/>
        <w:shd w:val="clear" w:color="auto" w:fill="FFFFFF"/>
        <w:spacing w:before="0" w:beforeAutospacing="0"/>
        <w:ind w:left="567"/>
        <w:rPr>
          <w:b/>
          <w:color w:val="C00000"/>
          <w:sz w:val="32"/>
          <w:szCs w:val="32"/>
        </w:rPr>
      </w:pPr>
      <w:r w:rsidRPr="001171A4">
        <w:rPr>
          <w:b/>
          <w:color w:val="C00000"/>
          <w:sz w:val="32"/>
          <w:szCs w:val="32"/>
        </w:rPr>
        <w:t>Eşlik eden</w:t>
      </w:r>
      <w:r>
        <w:rPr>
          <w:b/>
          <w:color w:val="C00000"/>
          <w:sz w:val="32"/>
          <w:szCs w:val="32"/>
        </w:rPr>
        <w:t xml:space="preserve"> (</w:t>
      </w:r>
      <w:r w:rsidRPr="001171A4">
        <w:rPr>
          <w:i/>
          <w:color w:val="C00000"/>
          <w:sz w:val="32"/>
          <w:szCs w:val="32"/>
        </w:rPr>
        <w:t>Komorbid</w:t>
      </w:r>
      <w:r>
        <w:rPr>
          <w:b/>
          <w:color w:val="C00000"/>
          <w:sz w:val="32"/>
          <w:szCs w:val="32"/>
        </w:rPr>
        <w:t>)</w:t>
      </w:r>
      <w:r w:rsidRPr="001171A4">
        <w:rPr>
          <w:b/>
          <w:color w:val="C00000"/>
          <w:sz w:val="32"/>
          <w:szCs w:val="32"/>
        </w:rPr>
        <w:t xml:space="preserve"> Kardiyovasküler Hastalık</w:t>
      </w:r>
    </w:p>
    <w:p w:rsidR="006935E1" w:rsidRDefault="001171A4" w:rsidP="00B019B1">
      <w:pPr>
        <w:pStyle w:val="NormalWeb"/>
        <w:shd w:val="clear" w:color="auto" w:fill="FFFFFF"/>
        <w:spacing w:before="0" w:beforeAutospacing="0"/>
        <w:ind w:left="567"/>
      </w:pPr>
      <w:r w:rsidRPr="001171A4">
        <w:t>Esrar tüketimi miyokardiyal oksijen talebini arttırdığı ve miyokardiyal oksijen arzını azalttığı için, Altta iskemik hastalığı olan hastalarda, özellikle esrar içildiğinde anjinada bir artış görülebilir.</w:t>
      </w:r>
    </w:p>
    <w:p w:rsidR="00742974" w:rsidRDefault="00351864" w:rsidP="00B019B1">
      <w:pPr>
        <w:pStyle w:val="NormalWeb"/>
        <w:shd w:val="clear" w:color="auto" w:fill="FFFFFF"/>
        <w:spacing w:before="0" w:beforeAutospacing="0"/>
        <w:ind w:left="567"/>
      </w:pPr>
      <w:r w:rsidRPr="00351864">
        <w:t>2005'ten 2016'ya Ulusal Sağlık ve Beslenme Muayenesi</w:t>
      </w:r>
      <w:r w:rsidR="00210A5A">
        <w:t xml:space="preserve"> (</w:t>
      </w:r>
      <w:r w:rsidR="00210A5A" w:rsidRPr="00210A5A">
        <w:rPr>
          <w:i/>
        </w:rPr>
        <w:t>National Health and Nutrition ExaminationSurvey</w:t>
      </w:r>
      <w:r w:rsidR="00210A5A">
        <w:t>)</w:t>
      </w:r>
      <w:r w:rsidRPr="00351864">
        <w:t xml:space="preserve"> Anketinden elde edilen verileri kullanarak,</w:t>
      </w:r>
      <w:r w:rsidR="00210A5A" w:rsidRPr="00210A5A">
        <w:t xml:space="preserve"> DeFilippis ve arkadaşları, esrar kullandığını bildiren 89,6 milyon yetişkinden 2 milyonunun (%2,3) kardiyovasküler hastalığa sahip olduğunu tahmin etmektedir.</w:t>
      </w:r>
      <w:r w:rsidR="00742974" w:rsidRPr="00742974">
        <w:t xml:space="preserve"> </w:t>
      </w:r>
    </w:p>
    <w:p w:rsidR="00351864" w:rsidRDefault="00742974" w:rsidP="00742974">
      <w:pPr>
        <w:pStyle w:val="NormalWeb"/>
        <w:numPr>
          <w:ilvl w:val="0"/>
          <w:numId w:val="2"/>
        </w:numPr>
        <w:shd w:val="clear" w:color="auto" w:fill="FFFFFF"/>
        <w:spacing w:before="0" w:beforeAutospacing="0"/>
      </w:pPr>
      <w:r w:rsidRPr="00742974">
        <w:t>Gözlemsel çalışmalar, esrarın AMI için bir tetikleyici olabileceğini öne sürdü.</w:t>
      </w:r>
    </w:p>
    <w:p w:rsidR="00742974" w:rsidRDefault="00742974" w:rsidP="00742974">
      <w:pPr>
        <w:pStyle w:val="NormalWeb"/>
        <w:shd w:val="clear" w:color="auto" w:fill="FFFFFF"/>
        <w:spacing w:before="0" w:beforeAutospacing="0"/>
      </w:pPr>
      <w:r w:rsidRPr="00742974">
        <w:t>Son veriler, AMI ile başvuran ≤50 yaşındaki hastaların %6'sında esrar kullanımının mevcut olduğunu ve daha kötü tüm nedenlere bağlı ve kardiyovasküler mortalite ile ilişkili olduğunu göstermektedir. Bu risk geçici olarak esrar kullanımının zamanlaması ile ilgili olabilir. Mittleman ve arkadaşları, AMI'li 3882 hastada hastaların %3'ünün önceki yılda esrar içtiğini bulmuşlardır. Bu hastalardan 37'si AMI sunumundan önceki 24 saat içinde ve 9'u 1 saat içinde sigara içmişti. Daha küçük çalışmalar, koroner arter hastalığı olan ve esrar kullanan hastalarda ölüm oranının arttığına dair bir sinyal göstermiştir, ancak bu bulguların birçoğu istatistiksel olarak anlamlı değildir.</w:t>
      </w:r>
    </w:p>
    <w:p w:rsidR="00464496" w:rsidRPr="001171A4" w:rsidRDefault="00464496" w:rsidP="00742974">
      <w:pPr>
        <w:pStyle w:val="NormalWeb"/>
        <w:shd w:val="clear" w:color="auto" w:fill="FFFFFF"/>
        <w:spacing w:before="0" w:beforeAutospacing="0"/>
      </w:pPr>
      <w:r w:rsidRPr="00464496">
        <w:t xml:space="preserve">Kronik </w:t>
      </w:r>
      <w:proofErr w:type="gramStart"/>
      <w:r w:rsidRPr="00464496">
        <w:t>stabil</w:t>
      </w:r>
      <w:proofErr w:type="gramEnd"/>
      <w:r w:rsidRPr="00464496">
        <w:t xml:space="preserve"> anjinası olan hastalarda, tek bir esrar sigarası içmek, plaseboya kıyasla anjinaya kadar geçen egzersiz süresini %48 oranında azaltmıştır.</w:t>
      </w:r>
      <w:r w:rsidR="0086169F" w:rsidRPr="0086169F">
        <w:t xml:space="preserve"> Bununla birlikte, koroner arter hastalığı ve anjinası olan hastalarda yapılan bir çalışmada, esrar kullanımı, sistol sonu hacminde veya kalp indeksinde herhangi bir değişikliğe neden olmadan, diyastol</w:t>
      </w:r>
      <w:r w:rsidR="0086169F">
        <w:t>-</w:t>
      </w:r>
      <w:r w:rsidR="0086169F" w:rsidRPr="0086169F">
        <w:t xml:space="preserve"> sonu hacminde, atım indeksinde ve ejeksiyon </w:t>
      </w:r>
      <w:proofErr w:type="gramStart"/>
      <w:r w:rsidR="0086169F" w:rsidRPr="0086169F">
        <w:t>fraksiyonunda</w:t>
      </w:r>
      <w:proofErr w:type="gramEnd"/>
      <w:r w:rsidR="0086169F" w:rsidRPr="0086169F">
        <w:t xml:space="preserve"> </w:t>
      </w:r>
      <w:r w:rsidR="0086169F">
        <w:t>düşme</w:t>
      </w:r>
      <w:r w:rsidR="0086169F" w:rsidRPr="0086169F">
        <w:t xml:space="preserve"> ile ilişkilendirilmiştir.</w:t>
      </w:r>
      <w:r w:rsidR="00223BA4" w:rsidRPr="00223BA4">
        <w:t xml:space="preserve"> Diğer çalışmalar, esrar kullanımını </w:t>
      </w:r>
      <w:r w:rsidR="00223BA4">
        <w:t>daha yüksek serebrovasküler olay</w:t>
      </w:r>
      <w:r w:rsidR="00223BA4" w:rsidRPr="00223BA4">
        <w:t xml:space="preserve"> ve kalp yet</w:t>
      </w:r>
      <w:r w:rsidR="00223BA4">
        <w:t>ersi</w:t>
      </w:r>
      <w:r w:rsidR="00223BA4" w:rsidRPr="00223BA4">
        <w:t>zliği riskiyle ilişkilendirmiştir.</w:t>
      </w:r>
      <w:r w:rsidR="0006588A" w:rsidRPr="0006588A">
        <w:t xml:space="preserve"> Bununla birlikte, </w:t>
      </w:r>
      <w:proofErr w:type="gramStart"/>
      <w:r w:rsidR="0006588A" w:rsidRPr="0006588A">
        <w:t>dahil</w:t>
      </w:r>
      <w:proofErr w:type="gramEnd"/>
      <w:r w:rsidR="0006588A" w:rsidRPr="0006588A">
        <w:t xml:space="preserve"> edilenlerin hepsinin bilinen kardiyovasküler hastalığı yoktu.</w:t>
      </w:r>
    </w:p>
    <w:p w:rsidR="001171A4" w:rsidRPr="007D67FE" w:rsidRDefault="007D67FE" w:rsidP="00B019B1">
      <w:pPr>
        <w:pStyle w:val="NormalWeb"/>
        <w:shd w:val="clear" w:color="auto" w:fill="FFFFFF"/>
        <w:spacing w:before="0" w:beforeAutospacing="0"/>
        <w:ind w:left="567"/>
        <w:rPr>
          <w:b/>
          <w:color w:val="C00000"/>
          <w:sz w:val="32"/>
          <w:szCs w:val="32"/>
        </w:rPr>
      </w:pPr>
      <w:r w:rsidRPr="007D67FE">
        <w:rPr>
          <w:b/>
          <w:color w:val="C00000"/>
          <w:sz w:val="32"/>
          <w:szCs w:val="32"/>
        </w:rPr>
        <w:t xml:space="preserve">Kardiyak Risk Faktörleri Olan Hastalar </w:t>
      </w:r>
    </w:p>
    <w:p w:rsidR="001171A4" w:rsidRDefault="001E55A7" w:rsidP="00B019B1">
      <w:pPr>
        <w:pStyle w:val="NormalWeb"/>
        <w:shd w:val="clear" w:color="auto" w:fill="FFFFFF"/>
        <w:spacing w:before="0" w:beforeAutospacing="0"/>
        <w:ind w:left="567"/>
      </w:pPr>
      <w:r w:rsidRPr="001E55A7">
        <w:t xml:space="preserve">Kesitsel veriler, uzun süreli </w:t>
      </w:r>
      <w:proofErr w:type="gramStart"/>
      <w:r w:rsidRPr="001E55A7">
        <w:t>(</w:t>
      </w:r>
      <w:proofErr w:type="gramEnd"/>
      <w:r w:rsidRPr="001E55A7">
        <w:t xml:space="preserve">ör. yıllar) sürekli esrar kullanımının, hiç kullanılmamasına kıyasla artmış metabolik </w:t>
      </w:r>
      <w:proofErr w:type="gramStart"/>
      <w:r w:rsidRPr="001E55A7">
        <w:t>sendrom</w:t>
      </w:r>
      <w:proofErr w:type="gramEnd"/>
      <w:r w:rsidRPr="001E55A7">
        <w:t xml:space="preserve"> riski ile ilişkili olduğunu göstermektedir.</w:t>
      </w:r>
    </w:p>
    <w:p w:rsidR="001E55A7" w:rsidRDefault="001E55A7" w:rsidP="001E55A7">
      <w:pPr>
        <w:pStyle w:val="NormalWeb"/>
        <w:numPr>
          <w:ilvl w:val="0"/>
          <w:numId w:val="2"/>
        </w:numPr>
        <w:shd w:val="clear" w:color="auto" w:fill="FFFFFF"/>
        <w:spacing w:before="0" w:beforeAutospacing="0"/>
      </w:pPr>
      <w:r w:rsidRPr="001E55A7">
        <w:t>Bununla birlikte, çelişkili araştırmalar, esrar kullananların, kullanmayanlarla karşılaştırıldığında benzer veya düşük hiperglisemi, yüksek açlık kan şekeri ve diabetes mellitus insidansının yanı sıra daha düşük vücut kitle indeksi, toplam kolesterol ve düşük yoğunluklu lipoproteine sahip olduğunu göstermiştir.</w:t>
      </w:r>
    </w:p>
    <w:p w:rsidR="001E55A7" w:rsidRDefault="001E55A7" w:rsidP="001E55A7">
      <w:pPr>
        <w:pStyle w:val="NormalWeb"/>
        <w:numPr>
          <w:ilvl w:val="0"/>
          <w:numId w:val="2"/>
        </w:numPr>
        <w:shd w:val="clear" w:color="auto" w:fill="FFFFFF"/>
      </w:pPr>
      <w:r>
        <w:t>Kullanmayanlarla karşılaştırıldığında genç erişkinlerde (18-44 yaş),</w:t>
      </w:r>
    </w:p>
    <w:p w:rsidR="001E55A7" w:rsidRDefault="00D575F2" w:rsidP="001E55A7">
      <w:pPr>
        <w:pStyle w:val="NormalWeb"/>
        <w:numPr>
          <w:ilvl w:val="0"/>
          <w:numId w:val="2"/>
        </w:numPr>
        <w:shd w:val="clear" w:color="auto" w:fill="FFFFFF"/>
        <w:spacing w:before="0" w:beforeAutospacing="0"/>
      </w:pPr>
      <w:r>
        <w:lastRenderedPageBreak/>
        <w:t>E</w:t>
      </w:r>
      <w:r w:rsidR="001E55A7">
        <w:t xml:space="preserve">ş zamanlı yanıcı sigara kullanımı (düzeltilmiş OR, 3,12 [%95 GA, 1,40–6,97]) ve e-sigara kullanımı (düzeltilmiş OR, 2,63 </w:t>
      </w:r>
      <w:r>
        <w:t>[%95 GA,</w:t>
      </w:r>
      <w:proofErr w:type="gramStart"/>
      <w:r>
        <w:t>1,076,46</w:t>
      </w:r>
      <w:proofErr w:type="gramEnd"/>
      <w:r>
        <w:t>]) ile sık marihuana</w:t>
      </w:r>
      <w:r w:rsidR="001E55A7">
        <w:t xml:space="preserve"> kullananlarda inme riski daha yüksekti</w:t>
      </w:r>
      <w:r>
        <w:t>.</w:t>
      </w:r>
    </w:p>
    <w:p w:rsidR="00D575F2" w:rsidRPr="001E55A7" w:rsidRDefault="00D575F2" w:rsidP="00D575F2">
      <w:pPr>
        <w:pStyle w:val="NormalWeb"/>
        <w:shd w:val="clear" w:color="auto" w:fill="FFFFFF"/>
        <w:spacing w:before="0" w:beforeAutospacing="0"/>
      </w:pPr>
      <w:r w:rsidRPr="00D575F2">
        <w:t>Kesitsel araştırmalardaki sınırlı boylamsal veriler ve hatırlama yanlılığının doğası, ek araştırma ihtiyacını vurgulamaktadır; Özellikle kardiyak risk faktörleri olan hastalarda sağlık sonuçları ile esrar kullanımı arasında bir bağlantı olduğuna dair mevcut kanıtlar yetersizdir.</w:t>
      </w:r>
    </w:p>
    <w:p w:rsidR="001E55A7" w:rsidRPr="00BF3DA1" w:rsidRDefault="002A3385" w:rsidP="002A3385">
      <w:pPr>
        <w:pStyle w:val="NormalWeb"/>
        <w:shd w:val="clear" w:color="auto" w:fill="FFFFFF"/>
        <w:ind w:left="567"/>
        <w:rPr>
          <w:b/>
          <w:sz w:val="28"/>
          <w:szCs w:val="28"/>
        </w:rPr>
      </w:pPr>
      <w:r>
        <w:rPr>
          <w:b/>
          <w:sz w:val="28"/>
          <w:szCs w:val="28"/>
        </w:rPr>
        <w:t xml:space="preserve">HASTA EĞİTİMİ VE </w:t>
      </w:r>
      <w:r w:rsidR="00BF3DA1" w:rsidRPr="00BF3DA1">
        <w:rPr>
          <w:b/>
          <w:sz w:val="28"/>
          <w:szCs w:val="28"/>
        </w:rPr>
        <w:t>DİKKAT EDİLMESİ GEREKENLER</w:t>
      </w:r>
    </w:p>
    <w:p w:rsidR="001E55A7" w:rsidRDefault="002A3385" w:rsidP="002A3385">
      <w:pPr>
        <w:pStyle w:val="NormalWeb"/>
        <w:shd w:val="clear" w:color="auto" w:fill="FFFFFF"/>
        <w:ind w:left="567"/>
      </w:pPr>
      <w:r>
        <w:t>Tıbbi veya eğlence amaçlı esrar kullanma kararı, eyalet ve federal yasaları, çeşitli uygulama biçimleri için olası riskleri ve faydaları ve yan etkileri vurgulayarak sağlayıcı ve hasta arasında ortak karar almayı içermelidir.</w:t>
      </w:r>
      <w:r w:rsidR="00B00301" w:rsidRPr="00B00301">
        <w:t xml:space="preserve"> Kontaminasyon ve tağşiş riski nedeniyle, kara veya gri piyasada bulunan tüm </w:t>
      </w:r>
      <w:r w:rsidR="00B00301">
        <w:t>kannabis</w:t>
      </w:r>
      <w:r w:rsidR="00B00301" w:rsidRPr="00B00301">
        <w:t xml:space="preserve"> ürünlerinden, özellikle sentetik yasa dışı kanabinoidlerden kaçınılmalıdır.</w:t>
      </w:r>
    </w:p>
    <w:p w:rsidR="003738DC" w:rsidRDefault="003738DC" w:rsidP="003738DC">
      <w:pPr>
        <w:pStyle w:val="NormalWeb"/>
        <w:numPr>
          <w:ilvl w:val="0"/>
          <w:numId w:val="2"/>
        </w:numPr>
        <w:shd w:val="clear" w:color="auto" w:fill="FFFFFF"/>
      </w:pPr>
      <w:r w:rsidRPr="003738DC">
        <w:t xml:space="preserve">Tütün ve nikotin ürünlerinde olduğu gibi, özellikle astım veya kronik obstrüktif akciğer hastalığı gibi solunum yolu hastalıkları olan hastalarda tütsülenmiş veya </w:t>
      </w:r>
      <w:r>
        <w:t>buharlaştırılmış kannabis</w:t>
      </w:r>
      <w:r w:rsidRPr="003738DC">
        <w:t xml:space="preserve"> genellikle önerilmez ve potansiyel fibroz veya steatore riski nedeniyle şiddetli karaciğer hastalığı olan hastalarda kaçınılmalıdır.</w:t>
      </w:r>
    </w:p>
    <w:p w:rsidR="000F5672" w:rsidRDefault="000F5672" w:rsidP="000F5672">
      <w:pPr>
        <w:pStyle w:val="NormalWeb"/>
        <w:numPr>
          <w:ilvl w:val="0"/>
          <w:numId w:val="2"/>
        </w:numPr>
        <w:shd w:val="clear" w:color="auto" w:fill="FFFFFF"/>
      </w:pPr>
      <w:r w:rsidRPr="000F5672">
        <w:t xml:space="preserve">2 ila 5 ng/mL'lik kan THC </w:t>
      </w:r>
      <w:proofErr w:type="gramStart"/>
      <w:r w:rsidRPr="000F5672">
        <w:t>konsantrasyonları</w:t>
      </w:r>
      <w:proofErr w:type="gramEnd"/>
      <w:r w:rsidRPr="000F5672">
        <w:t xml:space="preserve"> önemli ölçüde sürüş bozukluğu ile ilişkili olduğundan, araba kullanmaktan veya ağır makine kullanmaktan kaçınılmalıdır.</w:t>
      </w:r>
    </w:p>
    <w:p w:rsidR="005826EF" w:rsidRDefault="005826EF" w:rsidP="005826EF">
      <w:pPr>
        <w:pStyle w:val="NormalWeb"/>
        <w:numPr>
          <w:ilvl w:val="0"/>
          <w:numId w:val="2"/>
        </w:numPr>
        <w:shd w:val="clear" w:color="auto" w:fill="FFFFFF"/>
      </w:pPr>
      <w:r w:rsidRPr="005826EF">
        <w:t>Benzer şekilde, esrar opioidler, alkol veya sedatif/hipnotiklerle birlikte kullanıldığında çapraz tolerans ve esrarın merkezi sinir sistemi üzerinde güçlendirilmiş depresan etkileri gelişebilir.</w:t>
      </w:r>
    </w:p>
    <w:p w:rsidR="001B4DBC" w:rsidRDefault="001B4DBC" w:rsidP="001B4DBC">
      <w:pPr>
        <w:pStyle w:val="NormalWeb"/>
        <w:shd w:val="clear" w:color="auto" w:fill="FFFFFF"/>
        <w:ind w:left="360"/>
      </w:pPr>
      <w:r w:rsidRPr="001B4DBC">
        <w:t xml:space="preserve">Potansiyel olumsuz etkileri en aza indirmek için yenilebilir </w:t>
      </w:r>
      <w:r>
        <w:t>kannabis</w:t>
      </w:r>
      <w:r w:rsidRPr="001B4DBC">
        <w:t xml:space="preserve"> tüketildiğinde etkinin gecikmeli olarak başlaması açıklanmalıdır.</w:t>
      </w:r>
      <w:r>
        <w:t xml:space="preserve"> </w:t>
      </w:r>
      <w:r w:rsidRPr="001B4DBC">
        <w:t xml:space="preserve">Uzun süreli, yoğun esrar kullanıcısı olan hastalara, esrar yoksunluk </w:t>
      </w:r>
      <w:proofErr w:type="gramStart"/>
      <w:r w:rsidRPr="001B4DBC">
        <w:t>sendromu</w:t>
      </w:r>
      <w:proofErr w:type="gramEnd"/>
      <w:r w:rsidRPr="001B4DBC">
        <w:t xml:space="preserve"> riski nedeniyle esrarı aniden bırakmamaları tavsiye edilmelidir.</w:t>
      </w:r>
      <w:r w:rsidR="00F446C1" w:rsidRPr="00F446C1">
        <w:t xml:space="preserve"> Esrar yoksunluğu ve hiperemezis </w:t>
      </w:r>
      <w:proofErr w:type="gramStart"/>
      <w:r w:rsidR="00F446C1" w:rsidRPr="00F446C1">
        <w:t>sendromu</w:t>
      </w:r>
      <w:proofErr w:type="gramEnd"/>
      <w:r w:rsidR="00F446C1" w:rsidRPr="00F446C1">
        <w:t xml:space="preserve"> belirtileri ve semptomları ortaya çıkarsa hastalar derhal sağlayıcılarıyla iletişime geçmelidir.</w:t>
      </w:r>
    </w:p>
    <w:p w:rsidR="00F446C1" w:rsidRDefault="00F446C1" w:rsidP="001B4DBC">
      <w:pPr>
        <w:pStyle w:val="NormalWeb"/>
        <w:shd w:val="clear" w:color="auto" w:fill="FFFFFF"/>
        <w:ind w:left="360"/>
      </w:pPr>
      <w:r w:rsidRPr="00F446C1">
        <w:t xml:space="preserve">Ek olarak, esas olarak THC (varsa çok az CBD içerir), özellikle daha yüksek seviyelerde THC içeren </w:t>
      </w:r>
      <w:r w:rsidR="00E92814">
        <w:t>kannabis</w:t>
      </w:r>
      <w:r w:rsidRPr="00F446C1">
        <w:t>,</w:t>
      </w:r>
      <w:r w:rsidR="00E92814" w:rsidRPr="00E92814">
        <w:t xml:space="preserve"> kişisel psikiyatrik bozukluk öyküsü olan (örneğin, psikoz, şizofreni, anksiyete ve duygudurum bozuklukları) yatan hastalarda; alkol veya eşlik eden psikoaktif ilaçlar </w:t>
      </w:r>
      <w:proofErr w:type="gramStart"/>
      <w:r w:rsidR="00E92814" w:rsidRPr="00E92814">
        <w:t>dahil</w:t>
      </w:r>
      <w:proofErr w:type="gramEnd"/>
      <w:r w:rsidR="00E92814" w:rsidRPr="00E92814">
        <w:t xml:space="preserve"> olmak üzere madde kötüye kullanımı öyküsü; veya alevlenme riski nedeniyle ailede şizofreni öyküsü</w:t>
      </w:r>
      <w:r w:rsidR="00E92814">
        <w:t xml:space="preserve"> olanlarda </w:t>
      </w:r>
      <w:r w:rsidR="00E92814" w:rsidRPr="00E92814">
        <w:t>kullanılmamalıdır</w:t>
      </w:r>
      <w:r w:rsidR="00E92814">
        <w:t>.</w:t>
      </w:r>
    </w:p>
    <w:p w:rsidR="005826EF" w:rsidRDefault="003F7B43" w:rsidP="005826EF">
      <w:pPr>
        <w:pStyle w:val="NormalWeb"/>
        <w:shd w:val="clear" w:color="auto" w:fill="FFFFFF"/>
      </w:pPr>
      <w:r>
        <w:t xml:space="preserve">ABD de </w:t>
      </w:r>
      <w:r w:rsidRPr="003F7B43">
        <w:t>Eyalet yasalarında</w:t>
      </w:r>
      <w:r>
        <w:t>ki farklılıklar nedeniyle, kannabis</w:t>
      </w:r>
      <w:r w:rsidRPr="003F7B43">
        <w:t xml:space="preserve"> kullanan hastalar</w:t>
      </w:r>
      <w:r>
        <w:t>, 30'dan fazla eyalette kannabisi</w:t>
      </w:r>
      <w:r w:rsidRPr="003F7B43">
        <w:t xml:space="preserve"> tıbbi amaçlar için yasallaştırmış olsa da, yarısında</w:t>
      </w:r>
      <w:r>
        <w:t>n daha azının, pozitif bir kannabis</w:t>
      </w:r>
      <w:r w:rsidRPr="003F7B43">
        <w:t xml:space="preserve"> testi sonucunda hastaları kovulmaktan veya bir iş için reddedilmekten koruduğunu anlamalıdır. Son olarak, hastanın onaylanmış bir tıbbi endikasyonu olsa bile eyaletler arası esrar nakliyesi federal bir suçtur.</w:t>
      </w:r>
    </w:p>
    <w:p w:rsidR="005826EF" w:rsidRPr="002A3385" w:rsidRDefault="005826EF" w:rsidP="005826EF">
      <w:pPr>
        <w:pStyle w:val="NormalWeb"/>
        <w:shd w:val="clear" w:color="auto" w:fill="FFFFFF"/>
      </w:pPr>
    </w:p>
    <w:p w:rsidR="00FE550B" w:rsidRPr="006935E1" w:rsidRDefault="00876409" w:rsidP="00B019B1">
      <w:pPr>
        <w:pStyle w:val="NormalWeb"/>
        <w:shd w:val="clear" w:color="auto" w:fill="FFFFFF"/>
        <w:spacing w:before="0" w:beforeAutospacing="0"/>
        <w:ind w:left="567"/>
        <w:rPr>
          <w:i/>
          <w:sz w:val="32"/>
          <w:szCs w:val="32"/>
          <w:u w:val="single"/>
        </w:rPr>
      </w:pPr>
      <w:r w:rsidRPr="006935E1">
        <w:rPr>
          <w:i/>
          <w:sz w:val="32"/>
          <w:szCs w:val="32"/>
          <w:u w:val="single"/>
        </w:rPr>
        <w:t xml:space="preserve">Temel </w:t>
      </w:r>
      <w:r w:rsidR="00FE550B" w:rsidRPr="006935E1">
        <w:rPr>
          <w:i/>
          <w:sz w:val="32"/>
          <w:szCs w:val="32"/>
          <w:u w:val="single"/>
        </w:rPr>
        <w:t xml:space="preserve">Kaynaklar: </w:t>
      </w:r>
    </w:p>
    <w:p w:rsidR="00FE550B" w:rsidRPr="00FE550B" w:rsidRDefault="00FE550B" w:rsidP="00FE550B">
      <w:pPr>
        <w:pStyle w:val="NormalWeb"/>
        <w:numPr>
          <w:ilvl w:val="0"/>
          <w:numId w:val="6"/>
        </w:numPr>
        <w:pBdr>
          <w:bottom w:val="single" w:sz="4" w:space="1" w:color="auto"/>
        </w:pBdr>
        <w:shd w:val="clear" w:color="auto" w:fill="FFFFFF"/>
        <w:spacing w:before="0" w:beforeAutospacing="0"/>
        <w:rPr>
          <w:i/>
        </w:rPr>
      </w:pPr>
      <w:r w:rsidRPr="00FE550B">
        <w:lastRenderedPageBreak/>
        <w:t>Chow CL; Bozkurt B;BakerWL, et al.</w:t>
      </w:r>
      <w:r w:rsidRPr="00FE550B">
        <w:rPr>
          <w:b/>
        </w:rPr>
        <w:t xml:space="preserve"> Complementary and Alternative Medicines in the Management of Heart Failure: A Scientific Statement From the American Heart Association. </w:t>
      </w:r>
      <w:r w:rsidRPr="00FE550B">
        <w:t>Circulation. 2022;</w:t>
      </w:r>
      <w:proofErr w:type="gramStart"/>
      <w:r w:rsidRPr="00FE550B">
        <w:t>146:00</w:t>
      </w:r>
      <w:proofErr w:type="gramEnd"/>
      <w:r w:rsidRPr="00FE550B">
        <w:t>–00.</w:t>
      </w:r>
      <w:r w:rsidRPr="00FE550B">
        <w:rPr>
          <w:b/>
        </w:rPr>
        <w:t xml:space="preserve"> </w:t>
      </w:r>
      <w:r w:rsidRPr="00FE550B">
        <w:rPr>
          <w:i/>
        </w:rPr>
        <w:t>DOI: 10.1161/CIR.0000000000001110</w:t>
      </w:r>
    </w:p>
    <w:p w:rsidR="00FE550B" w:rsidRPr="00FE550B" w:rsidRDefault="00FE550B" w:rsidP="00FE550B">
      <w:pPr>
        <w:pStyle w:val="NormalWeb"/>
        <w:numPr>
          <w:ilvl w:val="0"/>
          <w:numId w:val="6"/>
        </w:numPr>
        <w:pBdr>
          <w:bottom w:val="single" w:sz="4" w:space="1" w:color="auto"/>
        </w:pBdr>
        <w:shd w:val="clear" w:color="auto" w:fill="FFFFFF"/>
        <w:rPr>
          <w:i/>
        </w:rPr>
      </w:pPr>
      <w:r w:rsidRPr="00FE550B">
        <w:t xml:space="preserve">Page II RL, Allen LA, Kloner </w:t>
      </w:r>
      <w:proofErr w:type="gramStart"/>
      <w:r w:rsidRPr="00FE550B">
        <w:t>RA,et</w:t>
      </w:r>
      <w:proofErr w:type="gramEnd"/>
      <w:r w:rsidRPr="00FE550B">
        <w:t xml:space="preserve"> al.  </w:t>
      </w:r>
      <w:r w:rsidRPr="00FE550B">
        <w:rPr>
          <w:b/>
        </w:rPr>
        <w:t xml:space="preserve">Marijuana, Recreational </w:t>
      </w:r>
      <w:proofErr w:type="gramStart"/>
      <w:r w:rsidRPr="00FE550B">
        <w:rPr>
          <w:b/>
        </w:rPr>
        <w:t>Cannabis,and</w:t>
      </w:r>
      <w:proofErr w:type="gramEnd"/>
      <w:r w:rsidRPr="00FE550B">
        <w:rPr>
          <w:b/>
        </w:rPr>
        <w:t xml:space="preserve"> Cardiovascular HealthA Scientific Statement From the American Heart Association.</w:t>
      </w:r>
      <w:r w:rsidRPr="00FE550B">
        <w:t xml:space="preserve"> </w:t>
      </w:r>
      <w:r w:rsidRPr="00FE550B">
        <w:rPr>
          <w:b/>
        </w:rPr>
        <w:t xml:space="preserve">Circulation. 2020;142:e131–e152. </w:t>
      </w:r>
      <w:r w:rsidRPr="00FE550B">
        <w:rPr>
          <w:i/>
        </w:rPr>
        <w:t xml:space="preserve">DOI: </w:t>
      </w:r>
      <w:proofErr w:type="gramStart"/>
      <w:r w:rsidRPr="00FE550B">
        <w:rPr>
          <w:i/>
        </w:rPr>
        <w:t>10.1161</w:t>
      </w:r>
      <w:proofErr w:type="gramEnd"/>
      <w:r w:rsidRPr="00FE550B">
        <w:rPr>
          <w:i/>
        </w:rPr>
        <w:t>/CIR.0000000000000883</w:t>
      </w:r>
    </w:p>
    <w:p w:rsidR="008C1F84" w:rsidRDefault="008C1F84" w:rsidP="004F3542">
      <w:pPr>
        <w:shd w:val="clear" w:color="auto" w:fill="FFFFFF"/>
        <w:spacing w:before="100" w:beforeAutospacing="1" w:after="100" w:afterAutospacing="1" w:line="240" w:lineRule="auto"/>
        <w:outlineLvl w:val="1"/>
        <w:rPr>
          <w:rFonts w:ascii="Times New Roman" w:eastAsia="Times New Roman" w:hAnsi="Times New Roman" w:cs="Times New Roman"/>
          <w:bCs/>
          <w:color w:val="0070C0"/>
          <w:sz w:val="24"/>
          <w:szCs w:val="24"/>
          <w:lang w:eastAsia="tr-TR"/>
        </w:rPr>
      </w:pPr>
    </w:p>
    <w:p w:rsidR="004F3542" w:rsidRPr="00B322C2" w:rsidRDefault="004F3542" w:rsidP="00B6425C">
      <w:pPr>
        <w:rPr>
          <w:rFonts w:ascii="Arial" w:hAnsi="Arial" w:cs="Arial"/>
          <w:sz w:val="24"/>
          <w:szCs w:val="24"/>
        </w:rPr>
      </w:pPr>
    </w:p>
    <w:sectPr w:rsidR="004F3542" w:rsidRPr="00B322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roxima_nova_rgbold">
    <w:altName w:val="Times New Roman"/>
    <w:panose1 w:val="00000000000000000000"/>
    <w:charset w:val="00"/>
    <w:family w:val="roman"/>
    <w:notTrueType/>
    <w:pitch w:val="default"/>
  </w:font>
  <w:font w:name="GandhariUnicode-Roman">
    <w:altName w:val="MS Gothic"/>
    <w:panose1 w:val="00000000000000000000"/>
    <w:charset w:val="80"/>
    <w:family w:val="roman"/>
    <w:notTrueType/>
    <w:pitch w:val="default"/>
    <w:sig w:usb0="00000001" w:usb1="08070000" w:usb2="00000010" w:usb3="00000000" w:csb0="00020000" w:csb1="00000000"/>
  </w:font>
  <w:font w:name="Arial Black">
    <w:panose1 w:val="020B0A04020102020204"/>
    <w:charset w:val="A2"/>
    <w:family w:val="swiss"/>
    <w:pitch w:val="variable"/>
    <w:sig w:usb0="A00002AF" w:usb1="400078FB" w:usb2="00000000" w:usb3="00000000" w:csb0="0000009F" w:csb1="00000000"/>
  </w:font>
  <w:font w:name="FrutigerLTStd-Light">
    <w:altName w:val="Arial"/>
    <w:panose1 w:val="00000000000000000000"/>
    <w:charset w:val="A1"/>
    <w:family w:val="swiss"/>
    <w:notTrueType/>
    <w:pitch w:val="default"/>
    <w:sig w:usb0="00000081" w:usb1="00000000" w:usb2="00000000" w:usb3="00000000" w:csb0="00000008"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732D"/>
    <w:multiLevelType w:val="hybridMultilevel"/>
    <w:tmpl w:val="9182C9D2"/>
    <w:lvl w:ilvl="0" w:tplc="F68604E2">
      <w:numFmt w:val="bullet"/>
      <w:lvlText w:val="-"/>
      <w:lvlJc w:val="left"/>
      <w:pPr>
        <w:ind w:left="720" w:hanging="360"/>
      </w:pPr>
      <w:rPr>
        <w:rFonts w:ascii="Arial" w:eastAsia="Times New Roman" w:hAnsi="Arial" w:cs="Arial" w:hint="default"/>
        <w:b/>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19E7008"/>
    <w:multiLevelType w:val="hybridMultilevel"/>
    <w:tmpl w:val="3EB2B4A6"/>
    <w:lvl w:ilvl="0" w:tplc="8FB0F406">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AB3231"/>
    <w:multiLevelType w:val="hybridMultilevel"/>
    <w:tmpl w:val="E9063D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309A4039"/>
    <w:multiLevelType w:val="hybridMultilevel"/>
    <w:tmpl w:val="4D08C506"/>
    <w:lvl w:ilvl="0" w:tplc="F68604E2">
      <w:numFmt w:val="bullet"/>
      <w:lvlText w:val="-"/>
      <w:lvlJc w:val="left"/>
      <w:pPr>
        <w:ind w:left="927" w:hanging="360"/>
      </w:pPr>
      <w:rPr>
        <w:rFonts w:ascii="Arial" w:eastAsia="Times New Roman" w:hAnsi="Arial" w:cs="Arial" w:hint="default"/>
        <w:b/>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FA45A7"/>
    <w:multiLevelType w:val="hybridMultilevel"/>
    <w:tmpl w:val="EEDCF288"/>
    <w:lvl w:ilvl="0" w:tplc="F68604E2">
      <w:numFmt w:val="bullet"/>
      <w:lvlText w:val="-"/>
      <w:lvlJc w:val="left"/>
      <w:pPr>
        <w:ind w:left="720" w:hanging="360"/>
      </w:pPr>
      <w:rPr>
        <w:rFonts w:ascii="Arial" w:eastAsia="Times New Roman" w:hAnsi="Arial" w:cs="Arial" w:hint="default"/>
        <w:b/>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5C62467"/>
    <w:multiLevelType w:val="hybridMultilevel"/>
    <w:tmpl w:val="A662A80C"/>
    <w:lvl w:ilvl="0" w:tplc="06B6E576">
      <w:start w:val="1"/>
      <w:numFmt w:val="decimal"/>
      <w:lvlText w:val="%1."/>
      <w:lvlJc w:val="left"/>
      <w:pPr>
        <w:ind w:left="927" w:hanging="360"/>
      </w:pPr>
      <w:rPr>
        <w:rFonts w:hint="default"/>
        <w:i w:val="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0D8"/>
    <w:rsid w:val="00005175"/>
    <w:rsid w:val="000238D1"/>
    <w:rsid w:val="00026CE8"/>
    <w:rsid w:val="00027A25"/>
    <w:rsid w:val="00041473"/>
    <w:rsid w:val="00042A64"/>
    <w:rsid w:val="0004388A"/>
    <w:rsid w:val="00046590"/>
    <w:rsid w:val="00056B9F"/>
    <w:rsid w:val="0006588A"/>
    <w:rsid w:val="000921FD"/>
    <w:rsid w:val="0009441C"/>
    <w:rsid w:val="000A1A5D"/>
    <w:rsid w:val="000A4175"/>
    <w:rsid w:val="000A79AA"/>
    <w:rsid w:val="000C56F9"/>
    <w:rsid w:val="000D033C"/>
    <w:rsid w:val="000E25A0"/>
    <w:rsid w:val="000E2924"/>
    <w:rsid w:val="000F34D6"/>
    <w:rsid w:val="000F4832"/>
    <w:rsid w:val="000F5672"/>
    <w:rsid w:val="00113D99"/>
    <w:rsid w:val="0011626A"/>
    <w:rsid w:val="001166DA"/>
    <w:rsid w:val="001171A4"/>
    <w:rsid w:val="00136DBF"/>
    <w:rsid w:val="001632AF"/>
    <w:rsid w:val="0018564A"/>
    <w:rsid w:val="00194875"/>
    <w:rsid w:val="001B17E2"/>
    <w:rsid w:val="001B4DBC"/>
    <w:rsid w:val="001E55A7"/>
    <w:rsid w:val="001F59BE"/>
    <w:rsid w:val="002100EA"/>
    <w:rsid w:val="00210A5A"/>
    <w:rsid w:val="00223BA4"/>
    <w:rsid w:val="00240A71"/>
    <w:rsid w:val="0024327D"/>
    <w:rsid w:val="00243633"/>
    <w:rsid w:val="0025644F"/>
    <w:rsid w:val="002657A8"/>
    <w:rsid w:val="00273C61"/>
    <w:rsid w:val="00291091"/>
    <w:rsid w:val="002A3385"/>
    <w:rsid w:val="002B2627"/>
    <w:rsid w:val="002C6BC2"/>
    <w:rsid w:val="002F395B"/>
    <w:rsid w:val="0030201F"/>
    <w:rsid w:val="00306976"/>
    <w:rsid w:val="003160D7"/>
    <w:rsid w:val="0033492B"/>
    <w:rsid w:val="003474A1"/>
    <w:rsid w:val="00351864"/>
    <w:rsid w:val="003660C7"/>
    <w:rsid w:val="003738DC"/>
    <w:rsid w:val="003801F0"/>
    <w:rsid w:val="00381405"/>
    <w:rsid w:val="00397096"/>
    <w:rsid w:val="003A67A4"/>
    <w:rsid w:val="003A725A"/>
    <w:rsid w:val="003B5277"/>
    <w:rsid w:val="003C3B9E"/>
    <w:rsid w:val="003E0DFA"/>
    <w:rsid w:val="003E5E82"/>
    <w:rsid w:val="003F7B43"/>
    <w:rsid w:val="00415EEB"/>
    <w:rsid w:val="00417331"/>
    <w:rsid w:val="00422555"/>
    <w:rsid w:val="00423519"/>
    <w:rsid w:val="00424C63"/>
    <w:rsid w:val="004364F6"/>
    <w:rsid w:val="004457FD"/>
    <w:rsid w:val="00464496"/>
    <w:rsid w:val="00470001"/>
    <w:rsid w:val="00485C7E"/>
    <w:rsid w:val="00490E6C"/>
    <w:rsid w:val="004935BF"/>
    <w:rsid w:val="004A05B8"/>
    <w:rsid w:val="004B2F50"/>
    <w:rsid w:val="004C03F5"/>
    <w:rsid w:val="004C1739"/>
    <w:rsid w:val="004F3542"/>
    <w:rsid w:val="004F6BED"/>
    <w:rsid w:val="00503D78"/>
    <w:rsid w:val="00534511"/>
    <w:rsid w:val="0054350F"/>
    <w:rsid w:val="0055299D"/>
    <w:rsid w:val="0055604D"/>
    <w:rsid w:val="00561FD6"/>
    <w:rsid w:val="005674C7"/>
    <w:rsid w:val="0057510A"/>
    <w:rsid w:val="005826EF"/>
    <w:rsid w:val="00587B65"/>
    <w:rsid w:val="00592370"/>
    <w:rsid w:val="005A16F9"/>
    <w:rsid w:val="005E6678"/>
    <w:rsid w:val="005F3A6E"/>
    <w:rsid w:val="00603941"/>
    <w:rsid w:val="0061346F"/>
    <w:rsid w:val="00626016"/>
    <w:rsid w:val="00630572"/>
    <w:rsid w:val="006725A9"/>
    <w:rsid w:val="006935E1"/>
    <w:rsid w:val="0069578D"/>
    <w:rsid w:val="006A4A6B"/>
    <w:rsid w:val="006C0795"/>
    <w:rsid w:val="006E3082"/>
    <w:rsid w:val="00700775"/>
    <w:rsid w:val="00711995"/>
    <w:rsid w:val="00726E3A"/>
    <w:rsid w:val="0072708F"/>
    <w:rsid w:val="00741014"/>
    <w:rsid w:val="00741616"/>
    <w:rsid w:val="00742974"/>
    <w:rsid w:val="007455E7"/>
    <w:rsid w:val="00747D27"/>
    <w:rsid w:val="00761EBF"/>
    <w:rsid w:val="00783799"/>
    <w:rsid w:val="00793AD1"/>
    <w:rsid w:val="007D67FE"/>
    <w:rsid w:val="007E6F4A"/>
    <w:rsid w:val="007F1D61"/>
    <w:rsid w:val="00802CC8"/>
    <w:rsid w:val="00807A79"/>
    <w:rsid w:val="00812997"/>
    <w:rsid w:val="00814C0E"/>
    <w:rsid w:val="00815AAC"/>
    <w:rsid w:val="00827A5D"/>
    <w:rsid w:val="00856157"/>
    <w:rsid w:val="0086169F"/>
    <w:rsid w:val="00876409"/>
    <w:rsid w:val="0088194E"/>
    <w:rsid w:val="008946F8"/>
    <w:rsid w:val="008C1EC5"/>
    <w:rsid w:val="008C1F84"/>
    <w:rsid w:val="008C24DD"/>
    <w:rsid w:val="008D0211"/>
    <w:rsid w:val="008E6605"/>
    <w:rsid w:val="008F11AC"/>
    <w:rsid w:val="00912F27"/>
    <w:rsid w:val="009168B7"/>
    <w:rsid w:val="0092131A"/>
    <w:rsid w:val="009312A7"/>
    <w:rsid w:val="00936F4F"/>
    <w:rsid w:val="00955D9D"/>
    <w:rsid w:val="00966CD8"/>
    <w:rsid w:val="009840D8"/>
    <w:rsid w:val="009909A1"/>
    <w:rsid w:val="00991CB0"/>
    <w:rsid w:val="009C677D"/>
    <w:rsid w:val="009E3CD1"/>
    <w:rsid w:val="009F3FE8"/>
    <w:rsid w:val="009F741D"/>
    <w:rsid w:val="00A002CE"/>
    <w:rsid w:val="00A01AB4"/>
    <w:rsid w:val="00A31DF6"/>
    <w:rsid w:val="00A418CE"/>
    <w:rsid w:val="00A60FEC"/>
    <w:rsid w:val="00A851C0"/>
    <w:rsid w:val="00AA28E5"/>
    <w:rsid w:val="00AA2CEB"/>
    <w:rsid w:val="00AB5F2D"/>
    <w:rsid w:val="00AF0096"/>
    <w:rsid w:val="00AF0C47"/>
    <w:rsid w:val="00AF2040"/>
    <w:rsid w:val="00B00301"/>
    <w:rsid w:val="00B019B1"/>
    <w:rsid w:val="00B01E45"/>
    <w:rsid w:val="00B066E8"/>
    <w:rsid w:val="00B1483A"/>
    <w:rsid w:val="00B22A5E"/>
    <w:rsid w:val="00B253AF"/>
    <w:rsid w:val="00B263FD"/>
    <w:rsid w:val="00B322C2"/>
    <w:rsid w:val="00B54657"/>
    <w:rsid w:val="00B6425C"/>
    <w:rsid w:val="00B73DED"/>
    <w:rsid w:val="00B82090"/>
    <w:rsid w:val="00BA10D8"/>
    <w:rsid w:val="00BA57EE"/>
    <w:rsid w:val="00BA7FD9"/>
    <w:rsid w:val="00BB0951"/>
    <w:rsid w:val="00BD1976"/>
    <w:rsid w:val="00BD30FD"/>
    <w:rsid w:val="00BE36F0"/>
    <w:rsid w:val="00BF13D8"/>
    <w:rsid w:val="00BF3469"/>
    <w:rsid w:val="00BF3DA1"/>
    <w:rsid w:val="00BF6F7E"/>
    <w:rsid w:val="00C3109C"/>
    <w:rsid w:val="00C36600"/>
    <w:rsid w:val="00C61A0C"/>
    <w:rsid w:val="00C9023B"/>
    <w:rsid w:val="00C92F04"/>
    <w:rsid w:val="00C9358D"/>
    <w:rsid w:val="00C94B5B"/>
    <w:rsid w:val="00CA2AD4"/>
    <w:rsid w:val="00CF260F"/>
    <w:rsid w:val="00CF7321"/>
    <w:rsid w:val="00D104B9"/>
    <w:rsid w:val="00D3064F"/>
    <w:rsid w:val="00D30C68"/>
    <w:rsid w:val="00D31CF1"/>
    <w:rsid w:val="00D527BB"/>
    <w:rsid w:val="00D575F2"/>
    <w:rsid w:val="00D62384"/>
    <w:rsid w:val="00D7090E"/>
    <w:rsid w:val="00D82025"/>
    <w:rsid w:val="00D97C33"/>
    <w:rsid w:val="00DA203D"/>
    <w:rsid w:val="00DB0A6F"/>
    <w:rsid w:val="00DC2E53"/>
    <w:rsid w:val="00DE5C36"/>
    <w:rsid w:val="00E05167"/>
    <w:rsid w:val="00E1127E"/>
    <w:rsid w:val="00E31917"/>
    <w:rsid w:val="00E33EF2"/>
    <w:rsid w:val="00E36D6E"/>
    <w:rsid w:val="00E401FF"/>
    <w:rsid w:val="00E47FF5"/>
    <w:rsid w:val="00E50B96"/>
    <w:rsid w:val="00E609F1"/>
    <w:rsid w:val="00E72310"/>
    <w:rsid w:val="00E7722F"/>
    <w:rsid w:val="00E82D37"/>
    <w:rsid w:val="00E839A6"/>
    <w:rsid w:val="00E92814"/>
    <w:rsid w:val="00EA7F96"/>
    <w:rsid w:val="00EB6EBF"/>
    <w:rsid w:val="00ED0A83"/>
    <w:rsid w:val="00ED7842"/>
    <w:rsid w:val="00EF0148"/>
    <w:rsid w:val="00EF13C4"/>
    <w:rsid w:val="00F0160E"/>
    <w:rsid w:val="00F02AF2"/>
    <w:rsid w:val="00F156D7"/>
    <w:rsid w:val="00F42A2B"/>
    <w:rsid w:val="00F446C1"/>
    <w:rsid w:val="00F5116E"/>
    <w:rsid w:val="00F82120"/>
    <w:rsid w:val="00F95FEF"/>
    <w:rsid w:val="00FA1474"/>
    <w:rsid w:val="00FA20C1"/>
    <w:rsid w:val="00FC1884"/>
    <w:rsid w:val="00FC7176"/>
    <w:rsid w:val="00FD71A0"/>
    <w:rsid w:val="00FD7B2F"/>
    <w:rsid w:val="00FE55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2C2E1-D1BC-4FC9-86C4-783FDA70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4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94875"/>
    <w:pPr>
      <w:ind w:left="720"/>
      <w:contextualSpacing/>
    </w:pPr>
  </w:style>
  <w:style w:type="character" w:styleId="Kpr">
    <w:name w:val="Hyperlink"/>
    <w:basedOn w:val="VarsaylanParagrafYazTipi"/>
    <w:uiPriority w:val="99"/>
    <w:unhideWhenUsed/>
    <w:rsid w:val="00417331"/>
    <w:rPr>
      <w:color w:val="0000FF"/>
      <w:u w:val="single"/>
    </w:rPr>
  </w:style>
  <w:style w:type="paragraph" w:styleId="NormalWeb">
    <w:name w:val="Normal (Web)"/>
    <w:basedOn w:val="Normal"/>
    <w:uiPriority w:val="99"/>
    <w:semiHidden/>
    <w:unhideWhenUsed/>
    <w:rsid w:val="008C1F8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oi.org/10.1161/CIR.0000000000000883%20Circul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ahajournals.org/doi/10.1161/CIR.0000000000000883"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ahajournals.org/doi/10.1161/CIR.0000000000000883"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ahajournals.org/doi/10.1161/CIR.000000000000088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hajournals.org/doi/10.1161/CIR.0000000000000883" TargetMode="External"/><Relationship Id="rId1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5FFAA-5A5F-4258-AB09-A16BF2EE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31</Pages>
  <Words>11460</Words>
  <Characters>65322</Characters>
  <Application>Microsoft Office Word</Application>
  <DocSecurity>0</DocSecurity>
  <Lines>544</Lines>
  <Paragraphs>153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DR.RASİM ENAR</dc:creator>
  <cp:keywords/>
  <dc:description/>
  <cp:lastModifiedBy>DR.RASİM ENAR</cp:lastModifiedBy>
  <cp:revision>200</cp:revision>
  <dcterms:created xsi:type="dcterms:W3CDTF">2023-03-08T15:03:00Z</dcterms:created>
  <dcterms:modified xsi:type="dcterms:W3CDTF">2023-03-17T13:25:00Z</dcterms:modified>
</cp:coreProperties>
</file>