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1C2F" w14:textId="542A2266" w:rsidR="00E11FDF" w:rsidRPr="00953990" w:rsidRDefault="00C103DD" w:rsidP="004A4AA3">
      <w:pPr>
        <w:spacing w:beforeLines="1800" w:before="4320" w:after="0"/>
        <w:rPr>
          <w:bCs/>
          <w:sz w:val="80"/>
          <w:szCs w:val="80"/>
        </w:rPr>
      </w:pPr>
      <w:bookmarkStart w:id="0" w:name="_GoBack"/>
      <w:bookmarkEnd w:id="0"/>
      <w:r w:rsidRPr="00953990">
        <w:rPr>
          <w:bCs/>
          <w:sz w:val="80"/>
          <w:szCs w:val="80"/>
        </w:rPr>
        <w:t>Program Evaluation Toolkit</w:t>
      </w:r>
      <w:r w:rsidR="00E11FDF" w:rsidRPr="00953990">
        <w:rPr>
          <w:bCs/>
          <w:sz w:val="80"/>
          <w:szCs w:val="80"/>
        </w:rPr>
        <w:t xml:space="preserve"> Calculator:</w:t>
      </w:r>
    </w:p>
    <w:p w14:paraId="34E12EEE" w14:textId="39492E55" w:rsidR="00E11FDF" w:rsidRDefault="00E11FDF" w:rsidP="00953990">
      <w:pPr>
        <w:spacing w:after="0"/>
        <w:rPr>
          <w:bCs/>
          <w:sz w:val="80"/>
          <w:szCs w:val="80"/>
        </w:rPr>
      </w:pPr>
      <w:r w:rsidRPr="00953990">
        <w:rPr>
          <w:bCs/>
          <w:sz w:val="80"/>
          <w:szCs w:val="80"/>
        </w:rPr>
        <w:t>User’s Guide</w:t>
      </w:r>
    </w:p>
    <w:p w14:paraId="3A3339C7" w14:textId="279EF0A1" w:rsidR="00456FFD" w:rsidRPr="00065F6A" w:rsidRDefault="00456FFD" w:rsidP="004A4AA3">
      <w:pPr>
        <w:spacing w:beforeLines="2000" w:before="4800" w:after="0"/>
        <w:jc w:val="right"/>
      </w:pPr>
      <w:r w:rsidRPr="00065F6A">
        <w:t>Version 1.3</w:t>
      </w:r>
    </w:p>
    <w:p w14:paraId="5A3C6A6C" w14:textId="64005DF3" w:rsidR="00456FFD" w:rsidRPr="00065F6A" w:rsidRDefault="002B79C6" w:rsidP="008C3910">
      <w:pPr>
        <w:spacing w:after="0"/>
        <w:jc w:val="right"/>
      </w:pPr>
      <w:r>
        <w:t>TBD Date</w:t>
      </w:r>
    </w:p>
    <w:p w14:paraId="5ACB96FC" w14:textId="77777777" w:rsidR="00991AC5" w:rsidRDefault="00991AC5" w:rsidP="00C72794"/>
    <w:p w14:paraId="4F6C3503" w14:textId="77777777" w:rsidR="003A32CF" w:rsidRDefault="003A32CF" w:rsidP="00C72794">
      <w:pPr>
        <w:sectPr w:rsidR="003A32CF" w:rsidSect="00C304BF">
          <w:headerReference w:type="default" r:id="rId11"/>
          <w:pgSz w:w="12240" w:h="15840"/>
          <w:pgMar w:top="1008" w:right="1008" w:bottom="1008" w:left="1008" w:header="504" w:footer="504" w:gutter="0"/>
          <w:cols w:space="720"/>
          <w:docGrid w:linePitch="360"/>
        </w:sectPr>
      </w:pPr>
    </w:p>
    <w:sdt>
      <w:sdtPr>
        <w:rPr>
          <w:rFonts w:asciiTheme="minorHAnsi" w:eastAsiaTheme="minorHAnsi" w:hAnsiTheme="minorHAnsi" w:cstheme="minorBidi"/>
          <w:b w:val="0"/>
          <w:color w:val="auto"/>
          <w:sz w:val="22"/>
          <w:szCs w:val="22"/>
        </w:rPr>
        <w:id w:val="1032619920"/>
        <w:docPartObj>
          <w:docPartGallery w:val="Table of Contents"/>
          <w:docPartUnique/>
        </w:docPartObj>
      </w:sdtPr>
      <w:sdtEndPr>
        <w:rPr>
          <w:rFonts w:ascii="Times New Roman" w:hAnsi="Times New Roman"/>
          <w:bCs/>
          <w:noProof/>
          <w:sz w:val="24"/>
        </w:rPr>
      </w:sdtEndPr>
      <w:sdtContent>
        <w:p w14:paraId="053A8A69" w14:textId="77777777" w:rsidR="00456FFD" w:rsidRDefault="00456FFD" w:rsidP="00456FFD">
          <w:pPr>
            <w:pStyle w:val="TOCHeading"/>
          </w:pPr>
          <w:r>
            <w:t>Table of Contents</w:t>
          </w:r>
        </w:p>
        <w:p w14:paraId="6C70D6E3" w14:textId="151CC07B" w:rsidR="00AA7B35" w:rsidRDefault="00456FFD">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3400663" w:history="1">
            <w:r w:rsidR="00AA7B35" w:rsidRPr="007F6817">
              <w:rPr>
                <w:rStyle w:val="Hyperlink"/>
                <w:noProof/>
              </w:rPr>
              <w:t>Overview</w:t>
            </w:r>
            <w:r w:rsidR="00AA7B35">
              <w:rPr>
                <w:noProof/>
                <w:webHidden/>
              </w:rPr>
              <w:tab/>
            </w:r>
            <w:r w:rsidR="00AA7B35">
              <w:rPr>
                <w:noProof/>
                <w:webHidden/>
              </w:rPr>
              <w:fldChar w:fldCharType="begin"/>
            </w:r>
            <w:r w:rsidR="00AA7B35">
              <w:rPr>
                <w:noProof/>
                <w:webHidden/>
              </w:rPr>
              <w:instrText xml:space="preserve"> PAGEREF _Toc53400663 \h </w:instrText>
            </w:r>
            <w:r w:rsidR="00AA7B35">
              <w:rPr>
                <w:noProof/>
                <w:webHidden/>
              </w:rPr>
            </w:r>
            <w:r w:rsidR="00AA7B35">
              <w:rPr>
                <w:noProof/>
                <w:webHidden/>
              </w:rPr>
              <w:fldChar w:fldCharType="separate"/>
            </w:r>
            <w:r w:rsidR="00AA7B35">
              <w:rPr>
                <w:noProof/>
                <w:webHidden/>
              </w:rPr>
              <w:t>2</w:t>
            </w:r>
            <w:r w:rsidR="00AA7B35">
              <w:rPr>
                <w:noProof/>
                <w:webHidden/>
              </w:rPr>
              <w:fldChar w:fldCharType="end"/>
            </w:r>
          </w:hyperlink>
        </w:p>
        <w:p w14:paraId="3FF0BC00" w14:textId="18EA8DD6" w:rsidR="00AA7B35" w:rsidRDefault="00800463">
          <w:pPr>
            <w:pStyle w:val="TOC2"/>
            <w:tabs>
              <w:tab w:val="right" w:leader="dot" w:pos="9350"/>
            </w:tabs>
            <w:rPr>
              <w:rFonts w:asciiTheme="minorHAnsi" w:eastAsiaTheme="minorEastAsia" w:hAnsiTheme="minorHAnsi"/>
              <w:noProof/>
              <w:sz w:val="22"/>
            </w:rPr>
          </w:pPr>
          <w:hyperlink w:anchor="_Toc53400664" w:history="1">
            <w:r w:rsidR="00AA7B35" w:rsidRPr="007F6817">
              <w:rPr>
                <w:rStyle w:val="Hyperlink"/>
                <w:noProof/>
              </w:rPr>
              <w:t>Getting Started</w:t>
            </w:r>
            <w:r w:rsidR="00AA7B35">
              <w:rPr>
                <w:noProof/>
                <w:webHidden/>
              </w:rPr>
              <w:tab/>
            </w:r>
            <w:r w:rsidR="00AA7B35">
              <w:rPr>
                <w:noProof/>
                <w:webHidden/>
              </w:rPr>
              <w:fldChar w:fldCharType="begin"/>
            </w:r>
            <w:r w:rsidR="00AA7B35">
              <w:rPr>
                <w:noProof/>
                <w:webHidden/>
              </w:rPr>
              <w:instrText xml:space="preserve"> PAGEREF _Toc53400664 \h </w:instrText>
            </w:r>
            <w:r w:rsidR="00AA7B35">
              <w:rPr>
                <w:noProof/>
                <w:webHidden/>
              </w:rPr>
            </w:r>
            <w:r w:rsidR="00AA7B35">
              <w:rPr>
                <w:noProof/>
                <w:webHidden/>
              </w:rPr>
              <w:fldChar w:fldCharType="separate"/>
            </w:r>
            <w:r w:rsidR="00AA7B35">
              <w:rPr>
                <w:noProof/>
                <w:webHidden/>
              </w:rPr>
              <w:t>2</w:t>
            </w:r>
            <w:r w:rsidR="00AA7B35">
              <w:rPr>
                <w:noProof/>
                <w:webHidden/>
              </w:rPr>
              <w:fldChar w:fldCharType="end"/>
            </w:r>
          </w:hyperlink>
        </w:p>
        <w:p w14:paraId="11691775" w14:textId="59833F35" w:rsidR="00AA7B35" w:rsidRDefault="00800463">
          <w:pPr>
            <w:pStyle w:val="TOC3"/>
            <w:tabs>
              <w:tab w:val="right" w:leader="dot" w:pos="9350"/>
            </w:tabs>
            <w:rPr>
              <w:rFonts w:asciiTheme="minorHAnsi" w:eastAsiaTheme="minorEastAsia" w:hAnsiTheme="minorHAnsi"/>
              <w:noProof/>
              <w:sz w:val="22"/>
            </w:rPr>
          </w:pPr>
          <w:hyperlink w:anchor="_Toc53400665" w:history="1">
            <w:r w:rsidR="00AA7B35" w:rsidRPr="007F6817">
              <w:rPr>
                <w:rStyle w:val="Hyperlink"/>
                <w:i/>
                <w:iCs/>
                <w:noProof/>
              </w:rPr>
              <w:t>Loading the ToolPaks</w:t>
            </w:r>
            <w:r w:rsidR="00AA7B35">
              <w:rPr>
                <w:noProof/>
                <w:webHidden/>
              </w:rPr>
              <w:tab/>
            </w:r>
            <w:r w:rsidR="00AA7B35">
              <w:rPr>
                <w:noProof/>
                <w:webHidden/>
              </w:rPr>
              <w:fldChar w:fldCharType="begin"/>
            </w:r>
            <w:r w:rsidR="00AA7B35">
              <w:rPr>
                <w:noProof/>
                <w:webHidden/>
              </w:rPr>
              <w:instrText xml:space="preserve"> PAGEREF _Toc53400665 \h </w:instrText>
            </w:r>
            <w:r w:rsidR="00AA7B35">
              <w:rPr>
                <w:noProof/>
                <w:webHidden/>
              </w:rPr>
            </w:r>
            <w:r w:rsidR="00AA7B35">
              <w:rPr>
                <w:noProof/>
                <w:webHidden/>
              </w:rPr>
              <w:fldChar w:fldCharType="separate"/>
            </w:r>
            <w:r w:rsidR="00AA7B35">
              <w:rPr>
                <w:noProof/>
                <w:webHidden/>
              </w:rPr>
              <w:t>2</w:t>
            </w:r>
            <w:r w:rsidR="00AA7B35">
              <w:rPr>
                <w:noProof/>
                <w:webHidden/>
              </w:rPr>
              <w:fldChar w:fldCharType="end"/>
            </w:r>
          </w:hyperlink>
        </w:p>
        <w:p w14:paraId="07B5939D" w14:textId="76009F75" w:rsidR="00AA7B35" w:rsidRDefault="00800463">
          <w:pPr>
            <w:pStyle w:val="TOC3"/>
            <w:tabs>
              <w:tab w:val="right" w:leader="dot" w:pos="9350"/>
            </w:tabs>
            <w:rPr>
              <w:rFonts w:asciiTheme="minorHAnsi" w:eastAsiaTheme="minorEastAsia" w:hAnsiTheme="minorHAnsi"/>
              <w:noProof/>
              <w:sz w:val="22"/>
            </w:rPr>
          </w:pPr>
          <w:hyperlink w:anchor="_Toc53400666" w:history="1">
            <w:r w:rsidR="00AA7B35" w:rsidRPr="007F6817">
              <w:rPr>
                <w:rStyle w:val="Hyperlink"/>
                <w:i/>
                <w:iCs/>
                <w:noProof/>
              </w:rPr>
              <w:t>Preparing the Dataset</w:t>
            </w:r>
            <w:r w:rsidR="00AA7B35">
              <w:rPr>
                <w:noProof/>
                <w:webHidden/>
              </w:rPr>
              <w:tab/>
            </w:r>
            <w:r w:rsidR="00AA7B35">
              <w:rPr>
                <w:noProof/>
                <w:webHidden/>
              </w:rPr>
              <w:fldChar w:fldCharType="begin"/>
            </w:r>
            <w:r w:rsidR="00AA7B35">
              <w:rPr>
                <w:noProof/>
                <w:webHidden/>
              </w:rPr>
              <w:instrText xml:space="preserve"> PAGEREF _Toc53400666 \h </w:instrText>
            </w:r>
            <w:r w:rsidR="00AA7B35">
              <w:rPr>
                <w:noProof/>
                <w:webHidden/>
              </w:rPr>
            </w:r>
            <w:r w:rsidR="00AA7B35">
              <w:rPr>
                <w:noProof/>
                <w:webHidden/>
              </w:rPr>
              <w:fldChar w:fldCharType="separate"/>
            </w:r>
            <w:r w:rsidR="00AA7B35">
              <w:rPr>
                <w:noProof/>
                <w:webHidden/>
              </w:rPr>
              <w:t>2</w:t>
            </w:r>
            <w:r w:rsidR="00AA7B35">
              <w:rPr>
                <w:noProof/>
                <w:webHidden/>
              </w:rPr>
              <w:fldChar w:fldCharType="end"/>
            </w:r>
          </w:hyperlink>
        </w:p>
        <w:p w14:paraId="5BEC92AC" w14:textId="5E7526EF" w:rsidR="00AA7B35" w:rsidRDefault="00800463">
          <w:pPr>
            <w:pStyle w:val="TOC3"/>
            <w:tabs>
              <w:tab w:val="right" w:leader="dot" w:pos="9350"/>
            </w:tabs>
            <w:rPr>
              <w:rFonts w:asciiTheme="minorHAnsi" w:eastAsiaTheme="minorEastAsia" w:hAnsiTheme="minorHAnsi"/>
              <w:noProof/>
              <w:sz w:val="22"/>
            </w:rPr>
          </w:pPr>
          <w:hyperlink w:anchor="_Toc53400667" w:history="1">
            <w:r w:rsidR="00AA7B35" w:rsidRPr="007F6817">
              <w:rPr>
                <w:rStyle w:val="Hyperlink"/>
                <w:i/>
                <w:iCs/>
                <w:noProof/>
              </w:rPr>
              <w:t>Access</w:t>
            </w:r>
            <w:r w:rsidR="00AA7B35">
              <w:rPr>
                <w:noProof/>
                <w:webHidden/>
              </w:rPr>
              <w:tab/>
            </w:r>
            <w:r w:rsidR="00AA7B35">
              <w:rPr>
                <w:noProof/>
                <w:webHidden/>
              </w:rPr>
              <w:fldChar w:fldCharType="begin"/>
            </w:r>
            <w:r w:rsidR="00AA7B35">
              <w:rPr>
                <w:noProof/>
                <w:webHidden/>
              </w:rPr>
              <w:instrText xml:space="preserve"> PAGEREF _Toc53400667 \h </w:instrText>
            </w:r>
            <w:r w:rsidR="00AA7B35">
              <w:rPr>
                <w:noProof/>
                <w:webHidden/>
              </w:rPr>
            </w:r>
            <w:r w:rsidR="00AA7B35">
              <w:rPr>
                <w:noProof/>
                <w:webHidden/>
              </w:rPr>
              <w:fldChar w:fldCharType="separate"/>
            </w:r>
            <w:r w:rsidR="00AA7B35">
              <w:rPr>
                <w:noProof/>
                <w:webHidden/>
              </w:rPr>
              <w:t>3</w:t>
            </w:r>
            <w:r w:rsidR="00AA7B35">
              <w:rPr>
                <w:noProof/>
                <w:webHidden/>
              </w:rPr>
              <w:fldChar w:fldCharType="end"/>
            </w:r>
          </w:hyperlink>
        </w:p>
        <w:p w14:paraId="1DC3C9DF" w14:textId="1DF440F3" w:rsidR="00AA7B35" w:rsidRDefault="00800463">
          <w:pPr>
            <w:pStyle w:val="TOC1"/>
            <w:tabs>
              <w:tab w:val="right" w:leader="dot" w:pos="9350"/>
            </w:tabs>
            <w:rPr>
              <w:rFonts w:asciiTheme="minorHAnsi" w:eastAsiaTheme="minorEastAsia" w:hAnsiTheme="minorHAnsi"/>
              <w:noProof/>
              <w:sz w:val="22"/>
            </w:rPr>
          </w:pPr>
          <w:hyperlink w:anchor="_Toc53400668" w:history="1">
            <w:r w:rsidR="00AA7B35" w:rsidRPr="007F6817">
              <w:rPr>
                <w:rStyle w:val="Hyperlink"/>
                <w:noProof/>
              </w:rPr>
              <w:t>Using the Program Evaluation Toolkit Calculator</w:t>
            </w:r>
            <w:r w:rsidR="00AA7B35">
              <w:rPr>
                <w:noProof/>
                <w:webHidden/>
              </w:rPr>
              <w:tab/>
            </w:r>
            <w:r w:rsidR="00AA7B35">
              <w:rPr>
                <w:noProof/>
                <w:webHidden/>
              </w:rPr>
              <w:fldChar w:fldCharType="begin"/>
            </w:r>
            <w:r w:rsidR="00AA7B35">
              <w:rPr>
                <w:noProof/>
                <w:webHidden/>
              </w:rPr>
              <w:instrText xml:space="preserve"> PAGEREF _Toc53400668 \h </w:instrText>
            </w:r>
            <w:r w:rsidR="00AA7B35">
              <w:rPr>
                <w:noProof/>
                <w:webHidden/>
              </w:rPr>
            </w:r>
            <w:r w:rsidR="00AA7B35">
              <w:rPr>
                <w:noProof/>
                <w:webHidden/>
              </w:rPr>
              <w:fldChar w:fldCharType="separate"/>
            </w:r>
            <w:r w:rsidR="00AA7B35">
              <w:rPr>
                <w:noProof/>
                <w:webHidden/>
              </w:rPr>
              <w:t>5</w:t>
            </w:r>
            <w:r w:rsidR="00AA7B35">
              <w:rPr>
                <w:noProof/>
                <w:webHidden/>
              </w:rPr>
              <w:fldChar w:fldCharType="end"/>
            </w:r>
          </w:hyperlink>
        </w:p>
        <w:p w14:paraId="7B242D60" w14:textId="2A0EC153" w:rsidR="00AA7B35" w:rsidRDefault="00800463">
          <w:pPr>
            <w:pStyle w:val="TOC2"/>
            <w:tabs>
              <w:tab w:val="right" w:leader="dot" w:pos="9350"/>
            </w:tabs>
            <w:rPr>
              <w:rFonts w:asciiTheme="minorHAnsi" w:eastAsiaTheme="minorEastAsia" w:hAnsiTheme="minorHAnsi"/>
              <w:noProof/>
              <w:sz w:val="22"/>
            </w:rPr>
          </w:pPr>
          <w:hyperlink w:anchor="_Toc53400669" w:history="1">
            <w:r w:rsidR="00AA7B35" w:rsidRPr="007F6817">
              <w:rPr>
                <w:rStyle w:val="Hyperlink"/>
                <w:noProof/>
              </w:rPr>
              <w:t>Select Data</w:t>
            </w:r>
            <w:r w:rsidR="00AA7B35">
              <w:rPr>
                <w:noProof/>
                <w:webHidden/>
              </w:rPr>
              <w:tab/>
            </w:r>
            <w:r w:rsidR="00AA7B35">
              <w:rPr>
                <w:noProof/>
                <w:webHidden/>
              </w:rPr>
              <w:fldChar w:fldCharType="begin"/>
            </w:r>
            <w:r w:rsidR="00AA7B35">
              <w:rPr>
                <w:noProof/>
                <w:webHidden/>
              </w:rPr>
              <w:instrText xml:space="preserve"> PAGEREF _Toc53400669 \h </w:instrText>
            </w:r>
            <w:r w:rsidR="00AA7B35">
              <w:rPr>
                <w:noProof/>
                <w:webHidden/>
              </w:rPr>
            </w:r>
            <w:r w:rsidR="00AA7B35">
              <w:rPr>
                <w:noProof/>
                <w:webHidden/>
              </w:rPr>
              <w:fldChar w:fldCharType="separate"/>
            </w:r>
            <w:r w:rsidR="00AA7B35">
              <w:rPr>
                <w:noProof/>
                <w:webHidden/>
              </w:rPr>
              <w:t>5</w:t>
            </w:r>
            <w:r w:rsidR="00AA7B35">
              <w:rPr>
                <w:noProof/>
                <w:webHidden/>
              </w:rPr>
              <w:fldChar w:fldCharType="end"/>
            </w:r>
          </w:hyperlink>
        </w:p>
        <w:p w14:paraId="35EDB303" w14:textId="5C2F7D4B" w:rsidR="00AA7B35" w:rsidRDefault="00800463">
          <w:pPr>
            <w:pStyle w:val="TOC2"/>
            <w:tabs>
              <w:tab w:val="right" w:leader="dot" w:pos="9350"/>
            </w:tabs>
            <w:rPr>
              <w:rFonts w:asciiTheme="minorHAnsi" w:eastAsiaTheme="minorEastAsia" w:hAnsiTheme="minorHAnsi"/>
              <w:noProof/>
              <w:sz w:val="22"/>
            </w:rPr>
          </w:pPr>
          <w:hyperlink w:anchor="_Toc53400670" w:history="1">
            <w:r w:rsidR="00AA7B35" w:rsidRPr="007F6817">
              <w:rPr>
                <w:rStyle w:val="Hyperlink"/>
                <w:noProof/>
              </w:rPr>
              <w:t>Transformations</w:t>
            </w:r>
            <w:r w:rsidR="00AA7B35">
              <w:rPr>
                <w:noProof/>
                <w:webHidden/>
              </w:rPr>
              <w:tab/>
            </w:r>
            <w:r w:rsidR="00AA7B35">
              <w:rPr>
                <w:noProof/>
                <w:webHidden/>
              </w:rPr>
              <w:fldChar w:fldCharType="begin"/>
            </w:r>
            <w:r w:rsidR="00AA7B35">
              <w:rPr>
                <w:noProof/>
                <w:webHidden/>
              </w:rPr>
              <w:instrText xml:space="preserve"> PAGEREF _Toc53400670 \h </w:instrText>
            </w:r>
            <w:r w:rsidR="00AA7B35">
              <w:rPr>
                <w:noProof/>
                <w:webHidden/>
              </w:rPr>
            </w:r>
            <w:r w:rsidR="00AA7B35">
              <w:rPr>
                <w:noProof/>
                <w:webHidden/>
              </w:rPr>
              <w:fldChar w:fldCharType="separate"/>
            </w:r>
            <w:r w:rsidR="00AA7B35">
              <w:rPr>
                <w:noProof/>
                <w:webHidden/>
              </w:rPr>
              <w:t>5</w:t>
            </w:r>
            <w:r w:rsidR="00AA7B35">
              <w:rPr>
                <w:noProof/>
                <w:webHidden/>
              </w:rPr>
              <w:fldChar w:fldCharType="end"/>
            </w:r>
          </w:hyperlink>
        </w:p>
        <w:p w14:paraId="7AF94CBC" w14:textId="3D60BAE8" w:rsidR="00AA7B35" w:rsidRDefault="00800463">
          <w:pPr>
            <w:pStyle w:val="TOC2"/>
            <w:tabs>
              <w:tab w:val="right" w:leader="dot" w:pos="9350"/>
            </w:tabs>
            <w:rPr>
              <w:rFonts w:asciiTheme="minorHAnsi" w:eastAsiaTheme="minorEastAsia" w:hAnsiTheme="minorHAnsi"/>
              <w:noProof/>
              <w:sz w:val="22"/>
            </w:rPr>
          </w:pPr>
          <w:hyperlink w:anchor="_Toc53400671" w:history="1">
            <w:r w:rsidR="00AA7B35" w:rsidRPr="007F6817">
              <w:rPr>
                <w:rStyle w:val="Hyperlink"/>
                <w:noProof/>
              </w:rPr>
              <w:t>Dummy Variables</w:t>
            </w:r>
            <w:r w:rsidR="00AA7B35">
              <w:rPr>
                <w:noProof/>
                <w:webHidden/>
              </w:rPr>
              <w:tab/>
            </w:r>
            <w:r w:rsidR="00AA7B35">
              <w:rPr>
                <w:noProof/>
                <w:webHidden/>
              </w:rPr>
              <w:fldChar w:fldCharType="begin"/>
            </w:r>
            <w:r w:rsidR="00AA7B35">
              <w:rPr>
                <w:noProof/>
                <w:webHidden/>
              </w:rPr>
              <w:instrText xml:space="preserve"> PAGEREF _Toc53400671 \h </w:instrText>
            </w:r>
            <w:r w:rsidR="00AA7B35">
              <w:rPr>
                <w:noProof/>
                <w:webHidden/>
              </w:rPr>
            </w:r>
            <w:r w:rsidR="00AA7B35">
              <w:rPr>
                <w:noProof/>
                <w:webHidden/>
              </w:rPr>
              <w:fldChar w:fldCharType="separate"/>
            </w:r>
            <w:r w:rsidR="00AA7B35">
              <w:rPr>
                <w:noProof/>
                <w:webHidden/>
              </w:rPr>
              <w:t>5</w:t>
            </w:r>
            <w:r w:rsidR="00AA7B35">
              <w:rPr>
                <w:noProof/>
                <w:webHidden/>
              </w:rPr>
              <w:fldChar w:fldCharType="end"/>
            </w:r>
          </w:hyperlink>
        </w:p>
        <w:p w14:paraId="4901AF8C" w14:textId="5944213D" w:rsidR="00AA7B35" w:rsidRDefault="00800463">
          <w:pPr>
            <w:pStyle w:val="TOC2"/>
            <w:tabs>
              <w:tab w:val="right" w:leader="dot" w:pos="9350"/>
            </w:tabs>
            <w:rPr>
              <w:rFonts w:asciiTheme="minorHAnsi" w:eastAsiaTheme="minorEastAsia" w:hAnsiTheme="minorHAnsi"/>
              <w:noProof/>
              <w:sz w:val="22"/>
            </w:rPr>
          </w:pPr>
          <w:hyperlink w:anchor="_Toc53400672" w:history="1">
            <w:r w:rsidR="00AA7B35" w:rsidRPr="007F6817">
              <w:rPr>
                <w:rStyle w:val="Hyperlink"/>
                <w:noProof/>
              </w:rPr>
              <w:t>Interactions</w:t>
            </w:r>
            <w:r w:rsidR="00AA7B35">
              <w:rPr>
                <w:noProof/>
                <w:webHidden/>
              </w:rPr>
              <w:tab/>
            </w:r>
            <w:r w:rsidR="00AA7B35">
              <w:rPr>
                <w:noProof/>
                <w:webHidden/>
              </w:rPr>
              <w:fldChar w:fldCharType="begin"/>
            </w:r>
            <w:r w:rsidR="00AA7B35">
              <w:rPr>
                <w:noProof/>
                <w:webHidden/>
              </w:rPr>
              <w:instrText xml:space="preserve"> PAGEREF _Toc53400672 \h </w:instrText>
            </w:r>
            <w:r w:rsidR="00AA7B35">
              <w:rPr>
                <w:noProof/>
                <w:webHidden/>
              </w:rPr>
            </w:r>
            <w:r w:rsidR="00AA7B35">
              <w:rPr>
                <w:noProof/>
                <w:webHidden/>
              </w:rPr>
              <w:fldChar w:fldCharType="separate"/>
            </w:r>
            <w:r w:rsidR="00AA7B35">
              <w:rPr>
                <w:noProof/>
                <w:webHidden/>
              </w:rPr>
              <w:t>6</w:t>
            </w:r>
            <w:r w:rsidR="00AA7B35">
              <w:rPr>
                <w:noProof/>
                <w:webHidden/>
              </w:rPr>
              <w:fldChar w:fldCharType="end"/>
            </w:r>
          </w:hyperlink>
        </w:p>
        <w:p w14:paraId="60B87363" w14:textId="2291837A" w:rsidR="00AA7B35" w:rsidRDefault="00800463">
          <w:pPr>
            <w:pStyle w:val="TOC2"/>
            <w:tabs>
              <w:tab w:val="right" w:leader="dot" w:pos="9350"/>
            </w:tabs>
            <w:rPr>
              <w:rFonts w:asciiTheme="minorHAnsi" w:eastAsiaTheme="minorEastAsia" w:hAnsiTheme="minorHAnsi"/>
              <w:noProof/>
              <w:sz w:val="22"/>
            </w:rPr>
          </w:pPr>
          <w:hyperlink w:anchor="_Toc53400673" w:history="1">
            <w:r w:rsidR="00AA7B35" w:rsidRPr="007F6817">
              <w:rPr>
                <w:rStyle w:val="Hyperlink"/>
                <w:noProof/>
              </w:rPr>
              <w:t>Descriptive Statistics</w:t>
            </w:r>
            <w:r w:rsidR="00AA7B35">
              <w:rPr>
                <w:noProof/>
                <w:webHidden/>
              </w:rPr>
              <w:tab/>
            </w:r>
            <w:r w:rsidR="00AA7B35">
              <w:rPr>
                <w:noProof/>
                <w:webHidden/>
              </w:rPr>
              <w:fldChar w:fldCharType="begin"/>
            </w:r>
            <w:r w:rsidR="00AA7B35">
              <w:rPr>
                <w:noProof/>
                <w:webHidden/>
              </w:rPr>
              <w:instrText xml:space="preserve"> PAGEREF _Toc53400673 \h </w:instrText>
            </w:r>
            <w:r w:rsidR="00AA7B35">
              <w:rPr>
                <w:noProof/>
                <w:webHidden/>
              </w:rPr>
            </w:r>
            <w:r w:rsidR="00AA7B35">
              <w:rPr>
                <w:noProof/>
                <w:webHidden/>
              </w:rPr>
              <w:fldChar w:fldCharType="separate"/>
            </w:r>
            <w:r w:rsidR="00AA7B35">
              <w:rPr>
                <w:noProof/>
                <w:webHidden/>
              </w:rPr>
              <w:t>6</w:t>
            </w:r>
            <w:r w:rsidR="00AA7B35">
              <w:rPr>
                <w:noProof/>
                <w:webHidden/>
              </w:rPr>
              <w:fldChar w:fldCharType="end"/>
            </w:r>
          </w:hyperlink>
        </w:p>
        <w:p w14:paraId="1F2F7B87" w14:textId="720748C4" w:rsidR="00AA7B35" w:rsidRDefault="00800463">
          <w:pPr>
            <w:pStyle w:val="TOC2"/>
            <w:tabs>
              <w:tab w:val="right" w:leader="dot" w:pos="9350"/>
            </w:tabs>
            <w:rPr>
              <w:rFonts w:asciiTheme="minorHAnsi" w:eastAsiaTheme="minorEastAsia" w:hAnsiTheme="minorHAnsi"/>
              <w:noProof/>
              <w:sz w:val="22"/>
            </w:rPr>
          </w:pPr>
          <w:hyperlink w:anchor="_Toc53400674" w:history="1">
            <w:r w:rsidR="00AA7B35" w:rsidRPr="007F6817">
              <w:rPr>
                <w:rStyle w:val="Hyperlink"/>
                <w:noProof/>
              </w:rPr>
              <w:t>Correlation Matrix</w:t>
            </w:r>
            <w:r w:rsidR="00AA7B35">
              <w:rPr>
                <w:noProof/>
                <w:webHidden/>
              </w:rPr>
              <w:tab/>
            </w:r>
            <w:r w:rsidR="00AA7B35">
              <w:rPr>
                <w:noProof/>
                <w:webHidden/>
              </w:rPr>
              <w:fldChar w:fldCharType="begin"/>
            </w:r>
            <w:r w:rsidR="00AA7B35">
              <w:rPr>
                <w:noProof/>
                <w:webHidden/>
              </w:rPr>
              <w:instrText xml:space="preserve"> PAGEREF _Toc53400674 \h </w:instrText>
            </w:r>
            <w:r w:rsidR="00AA7B35">
              <w:rPr>
                <w:noProof/>
                <w:webHidden/>
              </w:rPr>
            </w:r>
            <w:r w:rsidR="00AA7B35">
              <w:rPr>
                <w:noProof/>
                <w:webHidden/>
              </w:rPr>
              <w:fldChar w:fldCharType="separate"/>
            </w:r>
            <w:r w:rsidR="00AA7B35">
              <w:rPr>
                <w:noProof/>
                <w:webHidden/>
              </w:rPr>
              <w:t>6</w:t>
            </w:r>
            <w:r w:rsidR="00AA7B35">
              <w:rPr>
                <w:noProof/>
                <w:webHidden/>
              </w:rPr>
              <w:fldChar w:fldCharType="end"/>
            </w:r>
          </w:hyperlink>
        </w:p>
        <w:p w14:paraId="7BA2A65B" w14:textId="467AF15F" w:rsidR="00AA7B35" w:rsidRDefault="00800463">
          <w:pPr>
            <w:pStyle w:val="TOC2"/>
            <w:tabs>
              <w:tab w:val="right" w:leader="dot" w:pos="9350"/>
            </w:tabs>
            <w:rPr>
              <w:rFonts w:asciiTheme="minorHAnsi" w:eastAsiaTheme="minorEastAsia" w:hAnsiTheme="minorHAnsi"/>
              <w:noProof/>
              <w:sz w:val="22"/>
            </w:rPr>
          </w:pPr>
          <w:hyperlink w:anchor="_Toc53400675" w:history="1">
            <w:r w:rsidR="00AA7B35" w:rsidRPr="007F6817">
              <w:rPr>
                <w:rStyle w:val="Hyperlink"/>
                <w:noProof/>
              </w:rPr>
              <w:t>Linear Regression</w:t>
            </w:r>
            <w:r w:rsidR="00AA7B35">
              <w:rPr>
                <w:noProof/>
                <w:webHidden/>
              </w:rPr>
              <w:tab/>
            </w:r>
            <w:r w:rsidR="00AA7B35">
              <w:rPr>
                <w:noProof/>
                <w:webHidden/>
              </w:rPr>
              <w:fldChar w:fldCharType="begin"/>
            </w:r>
            <w:r w:rsidR="00AA7B35">
              <w:rPr>
                <w:noProof/>
                <w:webHidden/>
              </w:rPr>
              <w:instrText xml:space="preserve"> PAGEREF _Toc53400675 \h </w:instrText>
            </w:r>
            <w:r w:rsidR="00AA7B35">
              <w:rPr>
                <w:noProof/>
                <w:webHidden/>
              </w:rPr>
            </w:r>
            <w:r w:rsidR="00AA7B35">
              <w:rPr>
                <w:noProof/>
                <w:webHidden/>
              </w:rPr>
              <w:fldChar w:fldCharType="separate"/>
            </w:r>
            <w:r w:rsidR="00AA7B35">
              <w:rPr>
                <w:noProof/>
                <w:webHidden/>
              </w:rPr>
              <w:t>6</w:t>
            </w:r>
            <w:r w:rsidR="00AA7B35">
              <w:rPr>
                <w:noProof/>
                <w:webHidden/>
              </w:rPr>
              <w:fldChar w:fldCharType="end"/>
            </w:r>
          </w:hyperlink>
        </w:p>
        <w:p w14:paraId="29D4F9BB" w14:textId="2352E0AF" w:rsidR="00AA7B35" w:rsidRDefault="00800463">
          <w:pPr>
            <w:pStyle w:val="TOC3"/>
            <w:tabs>
              <w:tab w:val="right" w:leader="dot" w:pos="9350"/>
            </w:tabs>
            <w:rPr>
              <w:rFonts w:asciiTheme="minorHAnsi" w:eastAsiaTheme="minorEastAsia" w:hAnsiTheme="minorHAnsi"/>
              <w:noProof/>
              <w:sz w:val="22"/>
            </w:rPr>
          </w:pPr>
          <w:hyperlink w:anchor="_Toc53400676" w:history="1">
            <w:r w:rsidR="00AA7B35" w:rsidRPr="007F6817">
              <w:rPr>
                <w:rStyle w:val="Hyperlink"/>
                <w:noProof/>
              </w:rPr>
              <w:t>Regression Statistics</w:t>
            </w:r>
            <w:r w:rsidR="00AA7B35">
              <w:rPr>
                <w:noProof/>
                <w:webHidden/>
              </w:rPr>
              <w:tab/>
            </w:r>
            <w:r w:rsidR="00AA7B35">
              <w:rPr>
                <w:noProof/>
                <w:webHidden/>
              </w:rPr>
              <w:fldChar w:fldCharType="begin"/>
            </w:r>
            <w:r w:rsidR="00AA7B35">
              <w:rPr>
                <w:noProof/>
                <w:webHidden/>
              </w:rPr>
              <w:instrText xml:space="preserve"> PAGEREF _Toc53400676 \h </w:instrText>
            </w:r>
            <w:r w:rsidR="00AA7B35">
              <w:rPr>
                <w:noProof/>
                <w:webHidden/>
              </w:rPr>
            </w:r>
            <w:r w:rsidR="00AA7B35">
              <w:rPr>
                <w:noProof/>
                <w:webHidden/>
              </w:rPr>
              <w:fldChar w:fldCharType="separate"/>
            </w:r>
            <w:r w:rsidR="00AA7B35">
              <w:rPr>
                <w:noProof/>
                <w:webHidden/>
              </w:rPr>
              <w:t>6</w:t>
            </w:r>
            <w:r w:rsidR="00AA7B35">
              <w:rPr>
                <w:noProof/>
                <w:webHidden/>
              </w:rPr>
              <w:fldChar w:fldCharType="end"/>
            </w:r>
          </w:hyperlink>
        </w:p>
        <w:p w14:paraId="6A7D3A65" w14:textId="4FFCE3CB" w:rsidR="00AA7B35" w:rsidRDefault="00800463">
          <w:pPr>
            <w:pStyle w:val="TOC2"/>
            <w:tabs>
              <w:tab w:val="right" w:leader="dot" w:pos="9350"/>
            </w:tabs>
            <w:rPr>
              <w:rFonts w:asciiTheme="minorHAnsi" w:eastAsiaTheme="minorEastAsia" w:hAnsiTheme="minorHAnsi"/>
              <w:noProof/>
              <w:sz w:val="22"/>
            </w:rPr>
          </w:pPr>
          <w:hyperlink w:anchor="_Toc53400677" w:history="1">
            <w:r w:rsidR="00AA7B35" w:rsidRPr="007F6817">
              <w:rPr>
                <w:rStyle w:val="Hyperlink"/>
                <w:noProof/>
              </w:rPr>
              <w:t>Model Summaries</w:t>
            </w:r>
            <w:r w:rsidR="00AA7B35">
              <w:rPr>
                <w:noProof/>
                <w:webHidden/>
              </w:rPr>
              <w:tab/>
            </w:r>
            <w:r w:rsidR="00AA7B35">
              <w:rPr>
                <w:noProof/>
                <w:webHidden/>
              </w:rPr>
              <w:fldChar w:fldCharType="begin"/>
            </w:r>
            <w:r w:rsidR="00AA7B35">
              <w:rPr>
                <w:noProof/>
                <w:webHidden/>
              </w:rPr>
              <w:instrText xml:space="preserve"> PAGEREF _Toc53400677 \h </w:instrText>
            </w:r>
            <w:r w:rsidR="00AA7B35">
              <w:rPr>
                <w:noProof/>
                <w:webHidden/>
              </w:rPr>
            </w:r>
            <w:r w:rsidR="00AA7B35">
              <w:rPr>
                <w:noProof/>
                <w:webHidden/>
              </w:rPr>
              <w:fldChar w:fldCharType="separate"/>
            </w:r>
            <w:r w:rsidR="00AA7B35">
              <w:rPr>
                <w:noProof/>
                <w:webHidden/>
              </w:rPr>
              <w:t>10</w:t>
            </w:r>
            <w:r w:rsidR="00AA7B35">
              <w:rPr>
                <w:noProof/>
                <w:webHidden/>
              </w:rPr>
              <w:fldChar w:fldCharType="end"/>
            </w:r>
          </w:hyperlink>
        </w:p>
        <w:p w14:paraId="61362F1F" w14:textId="686E878B" w:rsidR="00AA7B35" w:rsidRDefault="00800463">
          <w:pPr>
            <w:pStyle w:val="TOC2"/>
            <w:tabs>
              <w:tab w:val="right" w:leader="dot" w:pos="9350"/>
            </w:tabs>
            <w:rPr>
              <w:rFonts w:asciiTheme="minorHAnsi" w:eastAsiaTheme="minorEastAsia" w:hAnsiTheme="minorHAnsi"/>
              <w:noProof/>
              <w:sz w:val="22"/>
            </w:rPr>
          </w:pPr>
          <w:hyperlink w:anchor="_Toc53400678" w:history="1">
            <w:r w:rsidR="00AA7B35" w:rsidRPr="007F6817">
              <w:rPr>
                <w:rStyle w:val="Hyperlink"/>
                <w:noProof/>
              </w:rPr>
              <w:t>Instructions/Help</w:t>
            </w:r>
            <w:r w:rsidR="00AA7B35">
              <w:rPr>
                <w:noProof/>
                <w:webHidden/>
              </w:rPr>
              <w:tab/>
            </w:r>
            <w:r w:rsidR="00AA7B35">
              <w:rPr>
                <w:noProof/>
                <w:webHidden/>
              </w:rPr>
              <w:fldChar w:fldCharType="begin"/>
            </w:r>
            <w:r w:rsidR="00AA7B35">
              <w:rPr>
                <w:noProof/>
                <w:webHidden/>
              </w:rPr>
              <w:instrText xml:space="preserve"> PAGEREF _Toc53400678 \h </w:instrText>
            </w:r>
            <w:r w:rsidR="00AA7B35">
              <w:rPr>
                <w:noProof/>
                <w:webHidden/>
              </w:rPr>
            </w:r>
            <w:r w:rsidR="00AA7B35">
              <w:rPr>
                <w:noProof/>
                <w:webHidden/>
              </w:rPr>
              <w:fldChar w:fldCharType="separate"/>
            </w:r>
            <w:r w:rsidR="00AA7B35">
              <w:rPr>
                <w:noProof/>
                <w:webHidden/>
              </w:rPr>
              <w:t>10</w:t>
            </w:r>
            <w:r w:rsidR="00AA7B35">
              <w:rPr>
                <w:noProof/>
                <w:webHidden/>
              </w:rPr>
              <w:fldChar w:fldCharType="end"/>
            </w:r>
          </w:hyperlink>
        </w:p>
        <w:p w14:paraId="3C65EF21" w14:textId="76BAB0D1" w:rsidR="00456FFD" w:rsidRDefault="00456FFD" w:rsidP="00456FFD">
          <w:pPr>
            <w:spacing w:after="160"/>
            <w:rPr>
              <w:b/>
              <w:bCs/>
              <w:noProof/>
            </w:rPr>
          </w:pPr>
          <w:r>
            <w:rPr>
              <w:b/>
              <w:bCs/>
              <w:noProof/>
            </w:rPr>
            <w:fldChar w:fldCharType="end"/>
          </w:r>
        </w:p>
      </w:sdtContent>
    </w:sdt>
    <w:p w14:paraId="2D938A00" w14:textId="77777777" w:rsidR="00456FFD" w:rsidRDefault="00456FFD">
      <w:pPr>
        <w:spacing w:after="160"/>
      </w:pPr>
      <w:r>
        <w:br w:type="page"/>
      </w:r>
    </w:p>
    <w:p w14:paraId="1021E0A5" w14:textId="77777777" w:rsidR="00456FFD" w:rsidRPr="00456FFD" w:rsidRDefault="00456FFD" w:rsidP="00456FFD">
      <w:pPr>
        <w:pStyle w:val="Heading1"/>
      </w:pPr>
      <w:bookmarkStart w:id="1" w:name="_Toc53400663"/>
      <w:r>
        <w:lastRenderedPageBreak/>
        <w:t>Overview</w:t>
      </w:r>
      <w:bookmarkEnd w:id="1"/>
    </w:p>
    <w:p w14:paraId="7EB3C7B8" w14:textId="71457550" w:rsidR="00456FFD" w:rsidRPr="002F1095" w:rsidRDefault="00456FFD" w:rsidP="00BD77B4">
      <w:r w:rsidRPr="002F1095">
        <w:t xml:space="preserve">The Program Evaluation Toolkit Calculator is a free Microsoft Excel add-in that serves as a statistical tool for multivariate descriptive data and regression analysis. It was developed to accompany an online course for program evaluation. This </w:t>
      </w:r>
      <w:r w:rsidR="00487A14">
        <w:t>user’s guide</w:t>
      </w:r>
      <w:r w:rsidR="00487A14" w:rsidRPr="002F1095">
        <w:t xml:space="preserve"> </w:t>
      </w:r>
      <w:r w:rsidR="00487A14">
        <w:t>provides</w:t>
      </w:r>
      <w:r w:rsidR="00487A14" w:rsidRPr="002F1095">
        <w:t xml:space="preserve"> </w:t>
      </w:r>
      <w:r w:rsidRPr="002F1095">
        <w:t xml:space="preserve">an overview of the features </w:t>
      </w:r>
      <w:r w:rsidR="00E42C52">
        <w:t>in the Program Evaluation Toolkit Calculator as well as</w:t>
      </w:r>
      <w:r w:rsidRPr="002F1095">
        <w:t xml:space="preserve"> additional details and definitions. </w:t>
      </w:r>
    </w:p>
    <w:p w14:paraId="2C966559" w14:textId="6432EB53" w:rsidR="00456FFD" w:rsidRPr="002F1095" w:rsidRDefault="00BE244B" w:rsidP="00BD77B4">
      <w:r>
        <w:t xml:space="preserve">In </w:t>
      </w:r>
      <w:r w:rsidR="00DF0F42">
        <w:t>V</w:t>
      </w:r>
      <w:r w:rsidR="00456FFD" w:rsidRPr="002F1095">
        <w:t>ersion</w:t>
      </w:r>
      <w:r w:rsidR="00DF0F42">
        <w:t xml:space="preserve"> 1.3</w:t>
      </w:r>
      <w:r>
        <w:t xml:space="preserve"> of the Program Evaluation Toolkit Calculator,</w:t>
      </w:r>
      <w:r w:rsidR="00456FFD" w:rsidRPr="002F1095">
        <w:t xml:space="preserve"> the following user-friendly ribbon controls every aspect of generating, navigating, and presenting your data analysis. </w:t>
      </w:r>
    </w:p>
    <w:p w14:paraId="3871F3CB" w14:textId="77777777" w:rsidR="00456FFD" w:rsidRDefault="00456FFD" w:rsidP="00BD77B4">
      <w:r>
        <w:rPr>
          <w:noProof/>
        </w:rPr>
        <w:drawing>
          <wp:inline distT="0" distB="0" distL="0" distR="0" wp14:anchorId="2ADACC5D" wp14:editId="0880D1E6">
            <wp:extent cx="5522066" cy="889077"/>
            <wp:effectExtent l="0" t="0" r="2540" b="635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522066" cy="889077"/>
                    </a:xfrm>
                    <a:prstGeom prst="rect">
                      <a:avLst/>
                    </a:prstGeom>
                  </pic:spPr>
                </pic:pic>
              </a:graphicData>
            </a:graphic>
          </wp:inline>
        </w:drawing>
      </w:r>
    </w:p>
    <w:p w14:paraId="21F8AAB2" w14:textId="51803298" w:rsidR="00456FFD" w:rsidRPr="002F1095" w:rsidRDefault="00456FFD" w:rsidP="00BD77B4">
      <w:r w:rsidRPr="002F1095">
        <w:t xml:space="preserve">The first four buttons </w:t>
      </w:r>
      <w:r w:rsidR="002B1448">
        <w:t>on</w:t>
      </w:r>
      <w:r w:rsidR="002B1448" w:rsidRPr="002F1095">
        <w:t xml:space="preserve"> </w:t>
      </w:r>
      <w:r w:rsidRPr="002F1095">
        <w:t>the ribbon</w:t>
      </w:r>
      <w:proofErr w:type="gramStart"/>
      <w:r w:rsidRPr="002F1095">
        <w:t>—</w:t>
      </w:r>
      <w:r w:rsidR="00D121C6">
        <w:t>“</w:t>
      </w:r>
      <w:proofErr w:type="gramEnd"/>
      <w:r w:rsidRPr="002F1095">
        <w:t>Select Data,</w:t>
      </w:r>
      <w:r w:rsidR="00D121C6">
        <w:t>”</w:t>
      </w:r>
      <w:r w:rsidRPr="002F1095">
        <w:t xml:space="preserve"> </w:t>
      </w:r>
      <w:r w:rsidR="00D121C6">
        <w:t>“</w:t>
      </w:r>
      <w:r w:rsidRPr="002F1095">
        <w:t>Transformations,</w:t>
      </w:r>
      <w:r w:rsidR="00D121C6">
        <w:t>”</w:t>
      </w:r>
      <w:r w:rsidRPr="002F1095">
        <w:t xml:space="preserve"> </w:t>
      </w:r>
      <w:r w:rsidR="00D121C6">
        <w:t>“</w:t>
      </w:r>
      <w:r w:rsidRPr="002F1095">
        <w:t>Dummy Variables,</w:t>
      </w:r>
      <w:r w:rsidR="00D121C6">
        <w:t>”</w:t>
      </w:r>
      <w:r w:rsidRPr="002F1095">
        <w:t xml:space="preserve"> and </w:t>
      </w:r>
      <w:r w:rsidR="00D121C6">
        <w:t>“</w:t>
      </w:r>
      <w:r w:rsidRPr="002F1095">
        <w:t>Interactions</w:t>
      </w:r>
      <w:r w:rsidR="00D121C6">
        <w:t>”</w:t>
      </w:r>
      <w:r w:rsidRPr="002F1095">
        <w:t>—allow you to select and preprocess the data elements in a dataset. The next three buttons</w:t>
      </w:r>
      <w:proofErr w:type="gramStart"/>
      <w:r w:rsidRPr="002F1095">
        <w:t>—</w:t>
      </w:r>
      <w:r w:rsidR="005D5A28">
        <w:t>“</w:t>
      </w:r>
      <w:proofErr w:type="gramEnd"/>
      <w:r w:rsidRPr="002F1095">
        <w:t>Descriptive Statistics,</w:t>
      </w:r>
      <w:r w:rsidR="005D5A28">
        <w:t>”</w:t>
      </w:r>
      <w:r w:rsidRPr="002F1095">
        <w:t xml:space="preserve"> </w:t>
      </w:r>
      <w:r w:rsidR="005D5A28">
        <w:t>“</w:t>
      </w:r>
      <w:r w:rsidRPr="002F1095">
        <w:t>Correlation Matrix,</w:t>
      </w:r>
      <w:r w:rsidR="005D5A28">
        <w:t>”</w:t>
      </w:r>
      <w:r w:rsidRPr="002F1095">
        <w:t xml:space="preserve"> and </w:t>
      </w:r>
      <w:r w:rsidR="005D5A28">
        <w:t>“</w:t>
      </w:r>
      <w:r w:rsidRPr="002F1095">
        <w:t>Linear Regression</w:t>
      </w:r>
      <w:r w:rsidR="005D5A28">
        <w:t>”</w:t>
      </w:r>
      <w:r w:rsidRPr="002F1095">
        <w:t xml:space="preserve">—allow you to analyze the data and perform regression analysis. The </w:t>
      </w:r>
      <w:r w:rsidR="005D5A28">
        <w:t>“</w:t>
      </w:r>
      <w:r w:rsidRPr="002F1095">
        <w:t>Instructions/Help</w:t>
      </w:r>
      <w:r w:rsidR="005D5A28">
        <w:t>”</w:t>
      </w:r>
      <w:r w:rsidRPr="002F1095">
        <w:t xml:space="preserve"> button provides you with an abbreviated set of instructions on how to use the tool. </w:t>
      </w:r>
    </w:p>
    <w:p w14:paraId="6C398464" w14:textId="77777777" w:rsidR="00456FFD" w:rsidRPr="00456FFD" w:rsidRDefault="00456FFD" w:rsidP="00456FFD">
      <w:pPr>
        <w:pStyle w:val="Heading2"/>
      </w:pPr>
      <w:bookmarkStart w:id="2" w:name="_Toc53400664"/>
      <w:r>
        <w:t>Getting Started</w:t>
      </w:r>
      <w:bookmarkEnd w:id="2"/>
    </w:p>
    <w:p w14:paraId="7598CFA2" w14:textId="77777777" w:rsidR="00456FFD" w:rsidRPr="00752EFC" w:rsidRDefault="00456FFD" w:rsidP="00456FFD">
      <w:pPr>
        <w:pStyle w:val="Heading3"/>
        <w:rPr>
          <w:i/>
          <w:iCs/>
        </w:rPr>
      </w:pPr>
      <w:bookmarkStart w:id="3" w:name="_Toc53400665"/>
      <w:r w:rsidRPr="00752EFC">
        <w:rPr>
          <w:i/>
          <w:iCs/>
        </w:rPr>
        <w:t>Load</w:t>
      </w:r>
      <w:r>
        <w:rPr>
          <w:i/>
          <w:iCs/>
        </w:rPr>
        <w:t>ing</w:t>
      </w:r>
      <w:r w:rsidRPr="00752EFC">
        <w:rPr>
          <w:i/>
          <w:iCs/>
        </w:rPr>
        <w:t xml:space="preserve"> the </w:t>
      </w:r>
      <w:proofErr w:type="spellStart"/>
      <w:r w:rsidRPr="00752EFC">
        <w:rPr>
          <w:i/>
          <w:iCs/>
        </w:rPr>
        <w:t>ToolPaks</w:t>
      </w:r>
      <w:bookmarkEnd w:id="3"/>
      <w:proofErr w:type="spellEnd"/>
    </w:p>
    <w:p w14:paraId="02627BDB" w14:textId="721E89FE" w:rsidR="00456FFD" w:rsidRPr="00B210B7" w:rsidRDefault="00456FFD" w:rsidP="00BD77B4">
      <w:r w:rsidRPr="002F1095">
        <w:t xml:space="preserve">To </w:t>
      </w:r>
      <w:r w:rsidR="00306B5F">
        <w:t>ensure</w:t>
      </w:r>
      <w:r w:rsidRPr="002F1095">
        <w:t xml:space="preserve"> that the Program Evaluation Toolkit Calculator</w:t>
      </w:r>
      <w:r w:rsidRPr="002F1095">
        <w:rPr>
          <w:i/>
          <w:iCs/>
        </w:rPr>
        <w:t xml:space="preserve"> </w:t>
      </w:r>
      <w:r w:rsidRPr="002F1095">
        <w:t>operate</w:t>
      </w:r>
      <w:r w:rsidR="00306B5F">
        <w:t>s</w:t>
      </w:r>
      <w:r w:rsidRPr="002F1095">
        <w:t xml:space="preserve"> optimally, first confirm that the </w:t>
      </w:r>
      <w:r w:rsidRPr="00923D26">
        <w:t xml:space="preserve">Analysis </w:t>
      </w:r>
      <w:proofErr w:type="spellStart"/>
      <w:r w:rsidRPr="00923D26">
        <w:t>ToolPak</w:t>
      </w:r>
      <w:proofErr w:type="spellEnd"/>
      <w:r w:rsidRPr="002F1095">
        <w:t xml:space="preserve"> and </w:t>
      </w:r>
      <w:r w:rsidRPr="00923D26">
        <w:t xml:space="preserve">Analysis </w:t>
      </w:r>
      <w:proofErr w:type="spellStart"/>
      <w:r w:rsidRPr="00923D26">
        <w:t>ToolPak</w:t>
      </w:r>
      <w:proofErr w:type="spellEnd"/>
      <w:r w:rsidRPr="00923D26">
        <w:t xml:space="preserve"> – VBA</w:t>
      </w:r>
      <w:r w:rsidRPr="002F1095">
        <w:t xml:space="preserve"> add-ins have been loaded in Excel. The Microsoft Office support site has detailed directions on how to load these </w:t>
      </w:r>
      <w:proofErr w:type="spellStart"/>
      <w:r w:rsidRPr="002F1095">
        <w:t>ToolPaks</w:t>
      </w:r>
      <w:proofErr w:type="spellEnd"/>
      <w:r w:rsidRPr="002F1095">
        <w:t xml:space="preserve"> </w:t>
      </w:r>
      <w:hyperlink r:id="rId13" w:history="1">
        <w:r w:rsidRPr="00B210B7">
          <w:rPr>
            <w:rStyle w:val="Hyperlink"/>
          </w:rPr>
          <w:t>here</w:t>
        </w:r>
      </w:hyperlink>
      <w:r>
        <w:t>.</w:t>
      </w:r>
    </w:p>
    <w:p w14:paraId="1651851E" w14:textId="24C61613" w:rsidR="00456FFD" w:rsidRPr="002F1095" w:rsidRDefault="00456FFD" w:rsidP="00BD77B4">
      <w:r w:rsidRPr="002F1095">
        <w:t xml:space="preserve">Once the </w:t>
      </w:r>
      <w:proofErr w:type="spellStart"/>
      <w:r w:rsidRPr="002F1095">
        <w:t>ToolPaks</w:t>
      </w:r>
      <w:proofErr w:type="spellEnd"/>
      <w:r w:rsidRPr="002F1095">
        <w:t xml:space="preserve"> have been loaded, launch the Program Evaluation Toolkit Calculator by </w:t>
      </w:r>
      <w:r w:rsidR="0096181E">
        <w:t xml:space="preserve">either </w:t>
      </w:r>
      <w:r w:rsidRPr="002F1095">
        <w:t xml:space="preserve">opening the associated </w:t>
      </w:r>
      <w:r w:rsidR="0065034F">
        <w:t>XLAM</w:t>
      </w:r>
      <w:r w:rsidRPr="002F1095">
        <w:t xml:space="preserve"> file or installing it on the Excel Add-ins menu. </w:t>
      </w:r>
      <w:r w:rsidR="00CE44AB">
        <w:t xml:space="preserve">To access the </w:t>
      </w:r>
      <w:r w:rsidR="0099580E">
        <w:t xml:space="preserve">Add-ins menu, </w:t>
      </w:r>
      <w:r w:rsidR="00723412">
        <w:t>go to</w:t>
      </w:r>
      <w:r w:rsidR="0099580E">
        <w:t xml:space="preserve"> the “File” tab, select “Options,” and click the “Add-ins” category. </w:t>
      </w:r>
      <w:r w:rsidRPr="002F1095">
        <w:t>On a PC, a newly downloaded file must be unblocked before it will work</w:t>
      </w:r>
      <w:r w:rsidR="00E0486C">
        <w:t xml:space="preserve"> (see the “Access” section below)</w:t>
      </w:r>
      <w:r w:rsidRPr="002F1095">
        <w:t xml:space="preserve">, and </w:t>
      </w:r>
      <w:r w:rsidR="00B05D2B">
        <w:t xml:space="preserve">the </w:t>
      </w:r>
      <w:r w:rsidRPr="002F1095">
        <w:t xml:space="preserve">macro security level </w:t>
      </w:r>
      <w:r w:rsidR="00B05D2B">
        <w:t xml:space="preserve">in Excel </w:t>
      </w:r>
      <w:r w:rsidRPr="002F1095">
        <w:t>must be set to “disable all macros with notification.”</w:t>
      </w:r>
    </w:p>
    <w:p w14:paraId="70688F7B" w14:textId="7F64CA84" w:rsidR="00456FFD" w:rsidRPr="002F1095" w:rsidRDefault="00456FFD" w:rsidP="00BD77B4">
      <w:r w:rsidRPr="002F1095">
        <w:t xml:space="preserve">When the </w:t>
      </w:r>
      <w:r w:rsidR="005600CD">
        <w:t>tool</w:t>
      </w:r>
      <w:r w:rsidR="005600CD" w:rsidRPr="002F1095">
        <w:t xml:space="preserve"> </w:t>
      </w:r>
      <w:r w:rsidRPr="002F1095">
        <w:t xml:space="preserve">is running, a </w:t>
      </w:r>
      <w:r w:rsidR="005600CD">
        <w:t>“</w:t>
      </w:r>
      <w:r w:rsidRPr="002F1095">
        <w:t>Program Evaluation Toolkit Calculator</w:t>
      </w:r>
      <w:r w:rsidR="005600CD">
        <w:t>”</w:t>
      </w:r>
      <w:r w:rsidRPr="002F1095">
        <w:t xml:space="preserve"> </w:t>
      </w:r>
      <w:r w:rsidR="00670FA9">
        <w:t>tab</w:t>
      </w:r>
      <w:r w:rsidR="00670FA9" w:rsidRPr="002F1095">
        <w:t xml:space="preserve"> </w:t>
      </w:r>
      <w:r w:rsidRPr="002F1095">
        <w:t>is added to</w:t>
      </w:r>
      <w:r w:rsidR="00C94BD1">
        <w:t xml:space="preserve"> the menu bar at the </w:t>
      </w:r>
      <w:r w:rsidR="00AF0FA8">
        <w:t>top of</w:t>
      </w:r>
      <w:r w:rsidRPr="002F1095">
        <w:t xml:space="preserve"> Excel</w:t>
      </w:r>
      <w:r w:rsidR="002E2A1D">
        <w:t>.</w:t>
      </w:r>
      <w:r w:rsidRPr="002F1095">
        <w:t xml:space="preserve"> </w:t>
      </w:r>
      <w:r w:rsidR="002E2A1D">
        <w:t>C</w:t>
      </w:r>
      <w:r w:rsidRPr="002F1095">
        <w:t xml:space="preserve">licking the </w:t>
      </w:r>
      <w:r w:rsidR="00F92946">
        <w:t>tab</w:t>
      </w:r>
      <w:r w:rsidRPr="002F1095">
        <w:t xml:space="preserve"> reveals the ribbon pictured above. </w:t>
      </w:r>
    </w:p>
    <w:p w14:paraId="42BEC8A0" w14:textId="77777777" w:rsidR="00456FFD" w:rsidRPr="00752EFC" w:rsidRDefault="00456FFD" w:rsidP="00456FFD">
      <w:pPr>
        <w:pStyle w:val="Heading3"/>
        <w:rPr>
          <w:i/>
          <w:iCs/>
        </w:rPr>
      </w:pPr>
      <w:bookmarkStart w:id="4" w:name="_Toc53400666"/>
      <w:r w:rsidRPr="00752EFC">
        <w:rPr>
          <w:i/>
          <w:iCs/>
        </w:rPr>
        <w:t>Prepar</w:t>
      </w:r>
      <w:r>
        <w:rPr>
          <w:i/>
          <w:iCs/>
        </w:rPr>
        <w:t>ing</w:t>
      </w:r>
      <w:r w:rsidRPr="00752EFC">
        <w:rPr>
          <w:i/>
          <w:iCs/>
        </w:rPr>
        <w:t xml:space="preserve"> the Dataset</w:t>
      </w:r>
      <w:bookmarkEnd w:id="4"/>
    </w:p>
    <w:p w14:paraId="2C237EF6" w14:textId="47BE0572" w:rsidR="00456FFD" w:rsidRPr="002F1095" w:rsidRDefault="00456FFD" w:rsidP="00BD77B4">
      <w:r w:rsidRPr="002F1095">
        <w:t xml:space="preserve">To analyze data and perform regression analysis, first open and prepare your dataset. The only requirements are that all variables have the same number of elements and that variable names appear in </w:t>
      </w:r>
      <w:r w:rsidR="004B1240">
        <w:t>r</w:t>
      </w:r>
      <w:r w:rsidRPr="002F1095">
        <w:t>ow 1 of your data worksheet.</w:t>
      </w:r>
    </w:p>
    <w:p w14:paraId="3B7FC86F" w14:textId="414778C8" w:rsidR="00456FFD" w:rsidRDefault="00456FFD" w:rsidP="00BD77B4">
      <w:r>
        <w:lastRenderedPageBreak/>
        <w:t xml:space="preserve">If a dataset has rows with missing values, the Program Evaluation Toolkit Calculator will </w:t>
      </w:r>
      <w:r w:rsidR="00622B31">
        <w:t xml:space="preserve">only </w:t>
      </w:r>
      <w:r>
        <w:t>analyze data and perform regression analysis on complete cases (that is,</w:t>
      </w:r>
      <w:r w:rsidR="00A13FB9">
        <w:t xml:space="preserve"> it </w:t>
      </w:r>
      <w:r w:rsidR="00BC45B6">
        <w:t xml:space="preserve">will </w:t>
      </w:r>
      <w:r w:rsidR="00A13FB9">
        <w:t>only include</w:t>
      </w:r>
      <w:r>
        <w:t xml:space="preserve"> rows with no missing values).</w:t>
      </w:r>
    </w:p>
    <w:p w14:paraId="76C367FF" w14:textId="77777777" w:rsidR="348ECD00" w:rsidRPr="00741448" w:rsidRDefault="348ECD00" w:rsidP="00741448">
      <w:pPr>
        <w:pStyle w:val="Heading3"/>
        <w:rPr>
          <w:i/>
          <w:iCs/>
        </w:rPr>
      </w:pPr>
      <w:bookmarkStart w:id="5" w:name="_Toc53400667"/>
      <w:r w:rsidRPr="00741448">
        <w:rPr>
          <w:i/>
          <w:iCs/>
        </w:rPr>
        <w:t>Access</w:t>
      </w:r>
      <w:bookmarkEnd w:id="5"/>
    </w:p>
    <w:p w14:paraId="3789126B" w14:textId="17364CF4" w:rsidR="348ECD00" w:rsidRDefault="348ECD00">
      <w:r>
        <w:t xml:space="preserve">Some external XLAM files are automatically blocked due to system settings. If you </w:t>
      </w:r>
      <w:r w:rsidR="006E11EB">
        <w:t>have</w:t>
      </w:r>
      <w:r>
        <w:t xml:space="preserve"> trouble accessing the Program Evaluation Toolkit Calculator, right-click the XLAM file in Windows Explorer and choose </w:t>
      </w:r>
      <w:r w:rsidR="00B453B2">
        <w:t>“</w:t>
      </w:r>
      <w:r>
        <w:t>Properties.</w:t>
      </w:r>
      <w:r w:rsidR="00B453B2">
        <w:t>”</w:t>
      </w:r>
      <w:r>
        <w:t xml:space="preserve"> In the </w:t>
      </w:r>
      <w:r w:rsidR="00B453B2">
        <w:t>“</w:t>
      </w:r>
      <w:r>
        <w:t>General</w:t>
      </w:r>
      <w:r w:rsidR="00B453B2">
        <w:t>”</w:t>
      </w:r>
      <w:r>
        <w:t xml:space="preserve"> tab, </w:t>
      </w:r>
      <w:r w:rsidR="00B453B2">
        <w:t>select</w:t>
      </w:r>
      <w:r>
        <w:t xml:space="preserve"> </w:t>
      </w:r>
      <w:r w:rsidR="00B453B2">
        <w:t>“</w:t>
      </w:r>
      <w:r>
        <w:t>Unblock,</w:t>
      </w:r>
      <w:r w:rsidR="00AA655D">
        <w:t>”</w:t>
      </w:r>
      <w:r>
        <w:t xml:space="preserve"> </w:t>
      </w:r>
      <w:r w:rsidR="004C224B">
        <w:t xml:space="preserve">and </w:t>
      </w:r>
      <w:r>
        <w:t xml:space="preserve">then click </w:t>
      </w:r>
      <w:r w:rsidR="00AA655D">
        <w:t>“</w:t>
      </w:r>
      <w:r>
        <w:t>Apply</w:t>
      </w:r>
      <w:r w:rsidR="004C224B">
        <w:t>”</w:t>
      </w:r>
      <w:r>
        <w:t xml:space="preserve"> to have full access to the tool (figure 1).</w:t>
      </w:r>
    </w:p>
    <w:p w14:paraId="3D635E8F" w14:textId="4F053FC4" w:rsidR="348ECD00" w:rsidRPr="00741448" w:rsidRDefault="348ECD00" w:rsidP="2EDAEA7C">
      <w:r w:rsidRPr="00741448">
        <w:t xml:space="preserve">Figure 1. Unblocking </w:t>
      </w:r>
      <w:r w:rsidR="00622B31">
        <w:t>the Program Evaluation Toolkit Calculator</w:t>
      </w:r>
    </w:p>
    <w:p w14:paraId="129B9186" w14:textId="5DADFB23" w:rsidR="348ECD00" w:rsidRDefault="00D34FD6" w:rsidP="00741448">
      <w:pPr>
        <w:jc w:val="center"/>
      </w:pPr>
      <w:r>
        <w:rPr>
          <w:noProof/>
        </w:rPr>
        <mc:AlternateContent>
          <mc:Choice Requires="wps">
            <w:drawing>
              <wp:anchor distT="0" distB="0" distL="114300" distR="114300" simplePos="0" relativeHeight="251658240" behindDoc="0" locked="0" layoutInCell="1" allowOverlap="1" wp14:anchorId="7543415A" wp14:editId="41D32CA8">
                <wp:simplePos x="0" y="0"/>
                <wp:positionH relativeFrom="column">
                  <wp:posOffset>3648075</wp:posOffset>
                </wp:positionH>
                <wp:positionV relativeFrom="paragraph">
                  <wp:posOffset>3655695</wp:posOffset>
                </wp:positionV>
                <wp:extent cx="762000" cy="295275"/>
                <wp:effectExtent l="57150" t="38100" r="57150" b="104775"/>
                <wp:wrapNone/>
                <wp:docPr id="332618681" name="Rectangle 6"/>
                <wp:cNvGraphicFramePr/>
                <a:graphic xmlns:a="http://schemas.openxmlformats.org/drawingml/2006/main">
                  <a:graphicData uri="http://schemas.microsoft.com/office/word/2010/wordprocessingShape">
                    <wps:wsp>
                      <wps:cNvSpPr/>
                      <wps:spPr>
                        <a:xfrm>
                          <a:off x="0" y="0"/>
                          <a:ext cx="762000" cy="29527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7E810B9" id="Rectangle 6" o:spid="_x0000_s1026" style="position:absolute;margin-left:287.25pt;margin-top:287.85pt;width:60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" filled="f" strokecolor="red" strokeweight="2.25pt">
                <v:shadow on="t" color="black" opacity="22937f" origin=",.5" offset="0,.63889mm"/>
              </v:rect>
            </w:pict>
          </mc:Fallback>
        </mc:AlternateContent>
      </w:r>
      <w:r w:rsidR="348ECD00">
        <w:rPr>
          <w:noProof/>
        </w:rPr>
        <w:drawing>
          <wp:inline distT="0" distB="0" distL="0" distR="0" wp14:anchorId="19739C20" wp14:editId="4658EA36">
            <wp:extent cx="3528060" cy="4693922"/>
            <wp:effectExtent l="0" t="0" r="15240" b="11430"/>
            <wp:docPr id="1284626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bwMode="auto">
                    <a:xfrm>
                      <a:off x="0" y="0"/>
                      <a:ext cx="3528060" cy="4693922"/>
                    </a:xfrm>
                    <a:prstGeom prst="rect">
                      <a:avLst/>
                    </a:prstGeom>
                    <a:noFill/>
                    <a:ln>
                      <a:noFill/>
                    </a:ln>
                  </pic:spPr>
                </pic:pic>
              </a:graphicData>
            </a:graphic>
          </wp:inline>
        </w:drawing>
      </w:r>
    </w:p>
    <w:p w14:paraId="0B7667AD" w14:textId="0F63209E" w:rsidR="000A5863" w:rsidRDefault="348ECD00">
      <w:r>
        <w:t>If you encounter a </w:t>
      </w:r>
      <w:r w:rsidR="00906127">
        <w:t>r</w:t>
      </w:r>
      <w:r>
        <w:t>un</w:t>
      </w:r>
      <w:r w:rsidR="00906127">
        <w:t>-</w:t>
      </w:r>
      <w:r>
        <w:t xml:space="preserve">time error </w:t>
      </w:r>
      <w:r w:rsidR="00815764">
        <w:t>“</w:t>
      </w:r>
      <w:r>
        <w:t>1004</w:t>
      </w:r>
      <w:r w:rsidR="00815764">
        <w:t>”</w:t>
      </w:r>
      <w:r>
        <w:t xml:space="preserve"> message, confirm that </w:t>
      </w:r>
      <w:r w:rsidRPr="006C154A">
        <w:t xml:space="preserve">the </w:t>
      </w:r>
      <w:r w:rsidRPr="00622B31">
        <w:t xml:space="preserve">Analysis </w:t>
      </w:r>
      <w:proofErr w:type="spellStart"/>
      <w:r w:rsidRPr="00622B31">
        <w:t>ToolPak</w:t>
      </w:r>
      <w:proofErr w:type="spellEnd"/>
      <w:r>
        <w:t xml:space="preserve"> and </w:t>
      </w:r>
      <w:r w:rsidRPr="00622B31">
        <w:t xml:space="preserve">Analysis </w:t>
      </w:r>
      <w:proofErr w:type="spellStart"/>
      <w:r w:rsidRPr="00622B31">
        <w:t>ToolPak</w:t>
      </w:r>
      <w:proofErr w:type="spellEnd"/>
      <w:r w:rsidRPr="00622B31">
        <w:t xml:space="preserve"> – VBA</w:t>
      </w:r>
      <w:r w:rsidRPr="006C154A">
        <w:t xml:space="preserve"> </w:t>
      </w:r>
      <w:r>
        <w:t xml:space="preserve">add-ins have been loaded in Excel and are currently enabled with a checkmark </w:t>
      </w:r>
      <w:r w:rsidR="005662B9">
        <w:t>in</w:t>
      </w:r>
      <w:r w:rsidR="00B46FAC">
        <w:t xml:space="preserve"> </w:t>
      </w:r>
      <w:r w:rsidR="005662B9">
        <w:t xml:space="preserve">the </w:t>
      </w:r>
      <w:r w:rsidR="00B46FAC">
        <w:t xml:space="preserve">“Excel Add-ins” </w:t>
      </w:r>
      <w:r w:rsidR="005662B9">
        <w:t xml:space="preserve">dialog box </w:t>
      </w:r>
      <w:r w:rsidR="00B46FAC">
        <w:t>on the</w:t>
      </w:r>
      <w:r w:rsidRPr="2EDAEA7C">
        <w:rPr>
          <w:i/>
          <w:iCs/>
        </w:rPr>
        <w:t xml:space="preserve"> </w:t>
      </w:r>
      <w:r w:rsidR="00B46FAC">
        <w:t>“</w:t>
      </w:r>
      <w:r w:rsidRPr="00BF5335">
        <w:t>Developer</w:t>
      </w:r>
      <w:r w:rsidR="00B46FAC">
        <w:t>”</w:t>
      </w:r>
      <w:r w:rsidRPr="00BF5335">
        <w:t xml:space="preserve"> </w:t>
      </w:r>
      <w:r w:rsidR="00B46FAC">
        <w:t>ribbon</w:t>
      </w:r>
      <w:r w:rsidRPr="00474405">
        <w:t>.</w:t>
      </w:r>
      <w:r w:rsidR="00C71851">
        <w:t xml:space="preserve"> If the “Developer” ribbon is not visible to you, you can add it by clicking on the “File” tab, </w:t>
      </w:r>
      <w:r w:rsidR="002B778A">
        <w:t>click on</w:t>
      </w:r>
      <w:r w:rsidR="00C71851">
        <w:t xml:space="preserve"> “Options”, and click on “Customize Ribbon.” Under “Main Tabs</w:t>
      </w:r>
      <w:r w:rsidR="00CA426E">
        <w:t>,</w:t>
      </w:r>
      <w:r w:rsidR="00C71851">
        <w:t>” check the box next to “Developer.”</w:t>
      </w:r>
      <w:r>
        <w:t xml:space="preserve"> If the </w:t>
      </w:r>
      <w:r w:rsidR="00D3183B">
        <w:lastRenderedPageBreak/>
        <w:t>“</w:t>
      </w:r>
      <w:r>
        <w:t>1004</w:t>
      </w:r>
      <w:r w:rsidR="00D3183B">
        <w:t>”</w:t>
      </w:r>
      <w:r>
        <w:t xml:space="preserve"> error still </w:t>
      </w:r>
      <w:r w:rsidR="00164385">
        <w:t>appears</w:t>
      </w:r>
      <w:r>
        <w:t xml:space="preserve"> </w:t>
      </w:r>
      <w:r w:rsidR="00164385">
        <w:t>after loading and enabling</w:t>
      </w:r>
      <w:r>
        <w:t xml:space="preserve"> both </w:t>
      </w:r>
      <w:proofErr w:type="spellStart"/>
      <w:r>
        <w:t>ToolPak</w:t>
      </w:r>
      <w:proofErr w:type="spellEnd"/>
      <w:r>
        <w:t xml:space="preserve"> add-ins, try disabling both add-ins</w:t>
      </w:r>
      <w:r w:rsidR="006B6D6F">
        <w:t xml:space="preserve"> by deselecting them in the “Excel Add</w:t>
      </w:r>
      <w:r w:rsidR="00B4546D">
        <w:t>-ins” box on the “</w:t>
      </w:r>
      <w:r w:rsidR="0065567D">
        <w:t>Developer” ribbon,</w:t>
      </w:r>
      <w:r>
        <w:t xml:space="preserve"> clicking </w:t>
      </w:r>
      <w:r w:rsidR="00A03B0D">
        <w:t>“</w:t>
      </w:r>
      <w:r>
        <w:t>OK,</w:t>
      </w:r>
      <w:r w:rsidR="00A03B0D">
        <w:t>”</w:t>
      </w:r>
      <w:r>
        <w:t xml:space="preserve"> and closing Excel. Finally, restart Excel and enable the </w:t>
      </w:r>
      <w:proofErr w:type="spellStart"/>
      <w:r>
        <w:t>ToolPak</w:t>
      </w:r>
      <w:proofErr w:type="spellEnd"/>
      <w:r>
        <w:t xml:space="preserve"> add-ins again. </w:t>
      </w:r>
    </w:p>
    <w:p w14:paraId="5560EFD7" w14:textId="2209FC1B" w:rsidR="008861F2" w:rsidRDefault="008861F2">
      <w:r>
        <w:t xml:space="preserve">If the above steps do not resolve the “1004” error, </w:t>
      </w:r>
      <w:r w:rsidR="002B778A">
        <w:t>click on the “File” tab, click on “Options</w:t>
      </w:r>
      <w:r w:rsidR="000C0026">
        <w:t>,</w:t>
      </w:r>
      <w:r w:rsidR="002B778A">
        <w:t xml:space="preserve">” </w:t>
      </w:r>
      <w:r w:rsidR="00B01B57">
        <w:t xml:space="preserve">and click on “Add-ins.” </w:t>
      </w:r>
      <w:r w:rsidR="003F454B">
        <w:t>By “Manage” click “Go…”</w:t>
      </w:r>
      <w:r w:rsidR="009A0A23">
        <w:t xml:space="preserve"> check the box next to “Analysis </w:t>
      </w:r>
      <w:proofErr w:type="spellStart"/>
      <w:r w:rsidR="009A0A23">
        <w:t>ToolPak</w:t>
      </w:r>
      <w:proofErr w:type="spellEnd"/>
      <w:r w:rsidR="009A0A23">
        <w:t xml:space="preserve">” and “Analysis </w:t>
      </w:r>
      <w:proofErr w:type="spellStart"/>
      <w:r w:rsidR="009A0A23">
        <w:t>ToolPak</w:t>
      </w:r>
      <w:proofErr w:type="spellEnd"/>
      <w:r w:rsidR="009A0A23">
        <w:t xml:space="preserve"> – VBA</w:t>
      </w:r>
      <w:r w:rsidR="00115ECB">
        <w:t>,</w:t>
      </w:r>
      <w:r w:rsidR="009A0A23">
        <w:t>”</w:t>
      </w:r>
      <w:r w:rsidR="00FF58B1">
        <w:t xml:space="preserve"> and click “O</w:t>
      </w:r>
      <w:r w:rsidR="007A7DD3">
        <w:t>K</w:t>
      </w:r>
      <w:r w:rsidR="00FF58B1">
        <w:t>.”</w:t>
      </w:r>
    </w:p>
    <w:p w14:paraId="40DB4137" w14:textId="45D1824E" w:rsidR="348ECD00" w:rsidRDefault="348ECD00">
      <w:r>
        <w:t xml:space="preserve">If the </w:t>
      </w:r>
      <w:r w:rsidR="00CD5D09">
        <w:t>above steps do</w:t>
      </w:r>
      <w:r>
        <w:t xml:space="preserve"> not resolve the </w:t>
      </w:r>
      <w:r w:rsidR="00CD5D09">
        <w:t>“</w:t>
      </w:r>
      <w:r>
        <w:t>1004</w:t>
      </w:r>
      <w:r w:rsidR="00CD5D09">
        <w:t>”</w:t>
      </w:r>
      <w:r>
        <w:t xml:space="preserve"> error, add an explicit reference to the atpvbaen.xls file</w:t>
      </w:r>
      <w:r w:rsidR="000D69B6">
        <w:t xml:space="preserve"> in the Analysis </w:t>
      </w:r>
      <w:proofErr w:type="spellStart"/>
      <w:r w:rsidR="000D69B6">
        <w:t>ToolPak</w:t>
      </w:r>
      <w:proofErr w:type="spellEnd"/>
      <w:r w:rsidR="006079AC">
        <w:t>.</w:t>
      </w:r>
      <w:r w:rsidR="000D69B6">
        <w:t xml:space="preserve"> To do this, c</w:t>
      </w:r>
      <w:r>
        <w:t xml:space="preserve">lick the </w:t>
      </w:r>
      <w:r w:rsidR="00C46077">
        <w:t>“</w:t>
      </w:r>
      <w:r>
        <w:t>Visual Basic</w:t>
      </w:r>
      <w:r w:rsidR="00C46077">
        <w:t>”</w:t>
      </w:r>
      <w:r>
        <w:t xml:space="preserve"> button on the </w:t>
      </w:r>
      <w:r w:rsidR="00C46077">
        <w:t>“</w:t>
      </w:r>
      <w:r>
        <w:t>Developer</w:t>
      </w:r>
      <w:r w:rsidR="008B213F">
        <w:t>”</w:t>
      </w:r>
      <w:r>
        <w:t xml:space="preserve"> ribbon in Excel. When </w:t>
      </w:r>
      <w:r w:rsidR="00A56DEA">
        <w:t>the window</w:t>
      </w:r>
      <w:r>
        <w:t xml:space="preserve"> opens, </w:t>
      </w:r>
      <w:r w:rsidR="005A4B59">
        <w:t>click the</w:t>
      </w:r>
      <w:r w:rsidR="006850D3">
        <w:t xml:space="preserve"> </w:t>
      </w:r>
      <w:r w:rsidR="005A4B59">
        <w:t>“</w:t>
      </w:r>
      <w:r w:rsidRPr="0065567D">
        <w:t>Tools</w:t>
      </w:r>
      <w:r w:rsidR="005A4B59">
        <w:t>” tab and th</w:t>
      </w:r>
      <w:r w:rsidR="00B57208">
        <w:t>en select</w:t>
      </w:r>
      <w:r w:rsidRPr="00800463">
        <w:t xml:space="preserve"> </w:t>
      </w:r>
      <w:r w:rsidR="00B57208">
        <w:t>“</w:t>
      </w:r>
      <w:r w:rsidRPr="0065567D">
        <w:t>References</w:t>
      </w:r>
      <w:r w:rsidR="006850D3">
        <w:t>.</w:t>
      </w:r>
      <w:r w:rsidR="00B57208">
        <w:t>”</w:t>
      </w:r>
      <w:r w:rsidR="006850D3">
        <w:t xml:space="preserve"> </w:t>
      </w:r>
      <w:r w:rsidR="006464E0">
        <w:t>Scroll down</w:t>
      </w:r>
      <w:r w:rsidR="00325392">
        <w:t xml:space="preserve"> the list and</w:t>
      </w:r>
      <w:r w:rsidR="00002B0F">
        <w:t xml:space="preserve"> check the box next to</w:t>
      </w:r>
      <w:r w:rsidR="006850D3">
        <w:t xml:space="preserve"> </w:t>
      </w:r>
      <w:r w:rsidR="00325392">
        <w:t>“</w:t>
      </w:r>
      <w:r w:rsidRPr="0065567D">
        <w:t>atpvbaen.xls</w:t>
      </w:r>
      <w:r w:rsidR="00325392">
        <w:t>,”</w:t>
      </w:r>
      <w:r w:rsidRPr="006464E0">
        <w:t xml:space="preserve"> </w:t>
      </w:r>
      <w:r w:rsidR="00325392">
        <w:t xml:space="preserve">but </w:t>
      </w:r>
      <w:r>
        <w:t>do not deselect any other options that are checked</w:t>
      </w:r>
      <w:r w:rsidR="00325392">
        <w:t>.</w:t>
      </w:r>
      <w:r>
        <w:t xml:space="preserve"> </w:t>
      </w:r>
      <w:r w:rsidR="00325392">
        <w:t>Finally,</w:t>
      </w:r>
      <w:r>
        <w:t xml:space="preserve"> click </w:t>
      </w:r>
      <w:r w:rsidR="00A03B0D">
        <w:t>“</w:t>
      </w:r>
      <w:r>
        <w:t>OK.</w:t>
      </w:r>
      <w:r w:rsidR="00A03B0D">
        <w:t>”</w:t>
      </w:r>
    </w:p>
    <w:p w14:paraId="1A14A64A" w14:textId="23E25EF3" w:rsidR="00BD77B4" w:rsidRDefault="00BD77B4" w:rsidP="00BD77B4"/>
    <w:p w14:paraId="79DFC5F2" w14:textId="77777777" w:rsidR="00BD77B4" w:rsidRDefault="00BD77B4" w:rsidP="00BD77B4">
      <w:pPr>
        <w:sectPr w:rsidR="00BD77B4" w:rsidSect="002821AA">
          <w:headerReference w:type="default" r:id="rId15"/>
          <w:footerReference w:type="default" r:id="rId16"/>
          <w:footerReference w:type="first" r:id="rId17"/>
          <w:pgSz w:w="12240" w:h="15840"/>
          <w:pgMar w:top="1440" w:right="1440" w:bottom="1440" w:left="1440" w:header="504" w:footer="504" w:gutter="0"/>
          <w:pgNumType w:start="1"/>
          <w:cols w:space="720"/>
          <w:docGrid w:linePitch="360"/>
        </w:sectPr>
      </w:pPr>
    </w:p>
    <w:p w14:paraId="1BAE8B1D" w14:textId="77777777" w:rsidR="00456FFD" w:rsidRDefault="00456FFD" w:rsidP="00456FFD">
      <w:pPr>
        <w:pStyle w:val="Heading1"/>
      </w:pPr>
      <w:bookmarkStart w:id="6" w:name="_Toc53400668"/>
      <w:r>
        <w:lastRenderedPageBreak/>
        <w:t xml:space="preserve">Using the </w:t>
      </w:r>
      <w:r w:rsidRPr="004605E5">
        <w:t>Program Evaluation Toolkit Calculator</w:t>
      </w:r>
      <w:bookmarkEnd w:id="6"/>
    </w:p>
    <w:p w14:paraId="121B90EF" w14:textId="1180C168" w:rsidR="00456FFD" w:rsidRPr="002F1095" w:rsidRDefault="009D7A8B" w:rsidP="00BD77B4">
      <w:r>
        <w:t>This section</w:t>
      </w:r>
      <w:r w:rsidR="00456FFD" w:rsidRPr="002F1095">
        <w:t xml:space="preserve"> explain</w:t>
      </w:r>
      <w:r>
        <w:t>s</w:t>
      </w:r>
      <w:r w:rsidR="00456FFD" w:rsidRPr="002F1095">
        <w:t xml:space="preserve"> the functionality of the Program Evaluation Toolkit Calculator. Each subheading corresponds to a button on the ribbon.</w:t>
      </w:r>
    </w:p>
    <w:p w14:paraId="310D9698" w14:textId="77777777" w:rsidR="00456FFD" w:rsidRDefault="00456FFD" w:rsidP="00456FFD">
      <w:pPr>
        <w:pStyle w:val="Heading2"/>
      </w:pPr>
      <w:bookmarkStart w:id="7" w:name="_Toc53400669"/>
      <w:r>
        <w:t>Select Data</w:t>
      </w:r>
      <w:bookmarkEnd w:id="7"/>
    </w:p>
    <w:p w14:paraId="71570AAD" w14:textId="138868CF" w:rsidR="00456FFD" w:rsidRPr="002F1095" w:rsidRDefault="00456FFD" w:rsidP="00BD77B4">
      <w:r w:rsidRPr="002F1095">
        <w:t xml:space="preserve">Clicking the </w:t>
      </w:r>
      <w:r w:rsidR="00B1264D">
        <w:t>“</w:t>
      </w:r>
      <w:r w:rsidRPr="002F1095">
        <w:t>Select Data</w:t>
      </w:r>
      <w:r w:rsidR="00B1264D">
        <w:t>”</w:t>
      </w:r>
      <w:r w:rsidRPr="002F1095">
        <w:t xml:space="preserve"> button highlight</w:t>
      </w:r>
      <w:r w:rsidR="00291F91">
        <w:t>s</w:t>
      </w:r>
      <w:r w:rsidRPr="002F1095">
        <w:t xml:space="preserve"> all variable names and data elements in the dataset. You will be informed that variable names were created from the top row of the selected data. </w:t>
      </w:r>
    </w:p>
    <w:p w14:paraId="718A808A" w14:textId="73297F40" w:rsidR="00456FFD" w:rsidRPr="002F1095" w:rsidRDefault="00456FFD" w:rsidP="00BD77B4">
      <w:r w:rsidRPr="002F1095">
        <w:t xml:space="preserve">The tool allows missing values for data elements but will prompt you if any variable names are missing. </w:t>
      </w:r>
    </w:p>
    <w:p w14:paraId="58FBB282" w14:textId="77777777" w:rsidR="00456FFD" w:rsidRDefault="00456FFD" w:rsidP="00456FFD">
      <w:pPr>
        <w:pStyle w:val="Heading2"/>
      </w:pPr>
      <w:bookmarkStart w:id="8" w:name="_Toc53400670"/>
      <w:r>
        <w:t>Transformations</w:t>
      </w:r>
      <w:bookmarkEnd w:id="8"/>
    </w:p>
    <w:p w14:paraId="5FB357AD" w14:textId="77777777" w:rsidR="003923F1" w:rsidRDefault="003923F1" w:rsidP="00BD77B4">
      <w:r>
        <w:t xml:space="preserve">Transformations are commonly used to make non-normal data fit the normality assumption of regression more closely. </w:t>
      </w:r>
    </w:p>
    <w:p w14:paraId="4AFC037C" w14:textId="7B927A38" w:rsidR="00456FFD" w:rsidRPr="002F1095" w:rsidRDefault="00456FFD" w:rsidP="00BD77B4">
      <w:r w:rsidRPr="002F1095">
        <w:t xml:space="preserve">Clicking the </w:t>
      </w:r>
      <w:r w:rsidR="00B1264D">
        <w:t>“</w:t>
      </w:r>
      <w:r w:rsidRPr="002F1095">
        <w:t>Transformations</w:t>
      </w:r>
      <w:r w:rsidR="00B1264D">
        <w:t>”</w:t>
      </w:r>
      <w:r w:rsidRPr="002F1095">
        <w:t xml:space="preserve"> button on the ribbon </w:t>
      </w:r>
      <w:r w:rsidR="001878B3">
        <w:t>opens</w:t>
      </w:r>
      <w:r w:rsidRPr="002F1095">
        <w:t xml:space="preserve"> a dialog box with a drop-down list of all numeric variables that can be transformed and radio buttons </w:t>
      </w:r>
      <w:r w:rsidR="00577F22">
        <w:t>for</w:t>
      </w:r>
      <w:r w:rsidRPr="002F1095">
        <w:t xml:space="preserve"> five mathematical transformation</w:t>
      </w:r>
      <w:r w:rsidR="00577F22">
        <w:t>s</w:t>
      </w:r>
      <w:r w:rsidRPr="002F1095">
        <w:t>:</w:t>
      </w:r>
    </w:p>
    <w:p w14:paraId="4DE8C5C5" w14:textId="77777777" w:rsidR="00456FFD" w:rsidRDefault="00456FFD" w:rsidP="00BD77B4">
      <w:r>
        <w:rPr>
          <w:noProof/>
        </w:rPr>
        <w:drawing>
          <wp:inline distT="0" distB="0" distL="0" distR="0" wp14:anchorId="4F94E2E0" wp14:editId="22B81A0C">
            <wp:extent cx="1559668" cy="1156654"/>
            <wp:effectExtent l="0" t="0" r="2540" b="571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9668" cy="1156654"/>
                    </a:xfrm>
                    <a:prstGeom prst="rect">
                      <a:avLst/>
                    </a:prstGeom>
                  </pic:spPr>
                </pic:pic>
              </a:graphicData>
            </a:graphic>
          </wp:inline>
        </w:drawing>
      </w:r>
    </w:p>
    <w:p w14:paraId="3616FF60" w14:textId="09552B3D" w:rsidR="00456FFD" w:rsidRDefault="002B6716" w:rsidP="00BD77B4">
      <w:r>
        <w:t>After selecting</w:t>
      </w:r>
      <w:r w:rsidR="00456FFD" w:rsidRPr="002F1095">
        <w:t xml:space="preserve"> a variable and </w:t>
      </w:r>
      <w:r>
        <w:t xml:space="preserve">a </w:t>
      </w:r>
      <w:r w:rsidR="00456FFD" w:rsidRPr="002F1095">
        <w:t xml:space="preserve">mathematical transformation, click </w:t>
      </w:r>
      <w:r>
        <w:t>“</w:t>
      </w:r>
      <w:r w:rsidR="00456FFD" w:rsidRPr="002F1095">
        <w:t>Transform Variable</w:t>
      </w:r>
      <w:r w:rsidR="00292307">
        <w:t>.</w:t>
      </w:r>
      <w:r>
        <w:t xml:space="preserve">” </w:t>
      </w:r>
      <w:r w:rsidR="00130BFC">
        <w:t>A</w:t>
      </w:r>
      <w:r w:rsidR="00456FFD" w:rsidRPr="002F1095">
        <w:t xml:space="preserve"> new column </w:t>
      </w:r>
      <w:r w:rsidR="0005244F">
        <w:t xml:space="preserve">of data </w:t>
      </w:r>
      <w:r w:rsidR="00456FFD" w:rsidRPr="002F1095">
        <w:t xml:space="preserve">is created </w:t>
      </w:r>
      <w:r w:rsidR="001F69F5">
        <w:t>for</w:t>
      </w:r>
      <w:r w:rsidR="001F69F5" w:rsidRPr="002F1095">
        <w:t xml:space="preserve"> </w:t>
      </w:r>
      <w:r w:rsidR="00456FFD" w:rsidRPr="002F1095">
        <w:t>the newly transformed variable. Th</w:t>
      </w:r>
      <w:r w:rsidR="00402507">
        <w:t>is</w:t>
      </w:r>
      <w:r w:rsidR="00456FFD" w:rsidRPr="002F1095">
        <w:t xml:space="preserve"> new column is inserted next to the column of the parent variable on the data worksheet (for example, </w:t>
      </w:r>
      <w:r w:rsidR="00402507">
        <w:t>“</w:t>
      </w:r>
      <w:proofErr w:type="spellStart"/>
      <w:proofErr w:type="gramStart"/>
      <w:r w:rsidR="00456FFD" w:rsidRPr="002F1095">
        <w:t>age.Sqr</w:t>
      </w:r>
      <w:proofErr w:type="spellEnd"/>
      <w:proofErr w:type="gramEnd"/>
      <w:r w:rsidR="00402507">
        <w:t>”</w:t>
      </w:r>
      <w:r w:rsidR="00456FFD" w:rsidRPr="002F1095">
        <w:t>).</w:t>
      </w:r>
    </w:p>
    <w:p w14:paraId="2B4FC9C3" w14:textId="77777777" w:rsidR="00456FFD" w:rsidRDefault="00456FFD" w:rsidP="00456FFD">
      <w:pPr>
        <w:pStyle w:val="Heading2"/>
      </w:pPr>
      <w:bookmarkStart w:id="9" w:name="_Toc53400671"/>
      <w:r>
        <w:t>Dummy Variables</w:t>
      </w:r>
      <w:bookmarkEnd w:id="9"/>
    </w:p>
    <w:p w14:paraId="2EFC070C" w14:textId="42C05851" w:rsidR="00456FFD" w:rsidRPr="002F1095" w:rsidRDefault="008015EB">
      <w:r>
        <w:t>To</w:t>
      </w:r>
      <w:r w:rsidR="00A56FA6">
        <w:t xml:space="preserve"> incorporate a qualitative predictor (also known as a categorical predictor or factor) into your regression model, first create an indicator or dummy variable. </w:t>
      </w:r>
      <w:r w:rsidR="00180FB7">
        <w:t>A</w:t>
      </w:r>
      <w:r w:rsidR="00180FB7" w:rsidRPr="002F1095">
        <w:t xml:space="preserve"> </w:t>
      </w:r>
      <w:r w:rsidR="00456FFD" w:rsidRPr="002F1095">
        <w:t>dummy variable has only two possible values: 0 and 1.</w:t>
      </w:r>
      <w:r w:rsidR="00A56FA6">
        <w:t xml:space="preserve"> Once created, the dummy variable </w:t>
      </w:r>
      <w:r w:rsidR="001F4F39">
        <w:t>has numerical values, so it can be included alongside quantitative predictors in your regression model.</w:t>
      </w:r>
      <w:r w:rsidR="00A56FA6">
        <w:t xml:space="preserve"> </w:t>
      </w:r>
    </w:p>
    <w:p w14:paraId="4700C6C4" w14:textId="2F5D336C" w:rsidR="00456FFD" w:rsidRPr="002F1095" w:rsidRDefault="00456FFD" w:rsidP="00BD77B4">
      <w:r w:rsidRPr="002F1095">
        <w:t xml:space="preserve">Clicking the </w:t>
      </w:r>
      <w:r w:rsidR="00180FB7">
        <w:t>“</w:t>
      </w:r>
      <w:r w:rsidRPr="002F1095">
        <w:t>Dummy Variables</w:t>
      </w:r>
      <w:r w:rsidR="00180FB7">
        <w:t>”</w:t>
      </w:r>
      <w:r w:rsidRPr="002F1095">
        <w:t xml:space="preserve"> button on the ribbon </w:t>
      </w:r>
      <w:r w:rsidR="00180FB7">
        <w:t>opens</w:t>
      </w:r>
      <w:r w:rsidRPr="002F1095">
        <w:t xml:space="preserve"> a dialog box with a drop-down list of all categorical variables. </w:t>
      </w:r>
      <w:r w:rsidR="00DD5E8D">
        <w:t>Select</w:t>
      </w:r>
      <w:r w:rsidR="00DD5E8D" w:rsidRPr="002F1095">
        <w:t xml:space="preserve"> </w:t>
      </w:r>
      <w:r w:rsidRPr="002F1095">
        <w:t xml:space="preserve">a categorical variable from the drop-down list and </w:t>
      </w:r>
      <w:r w:rsidR="004D5C5D">
        <w:t>click</w:t>
      </w:r>
      <w:r w:rsidR="004D5C5D" w:rsidRPr="002F1095">
        <w:t xml:space="preserve"> </w:t>
      </w:r>
      <w:r w:rsidRPr="002F1095">
        <w:t xml:space="preserve">the </w:t>
      </w:r>
      <w:r w:rsidR="004D5C5D">
        <w:t>“</w:t>
      </w:r>
      <w:r w:rsidRPr="002F1095">
        <w:t>Create Dummy Variable</w:t>
      </w:r>
      <w:r w:rsidR="004D5C5D">
        <w:t>”</w:t>
      </w:r>
      <w:r w:rsidRPr="002F1095">
        <w:t xml:space="preserve"> button</w:t>
      </w:r>
      <w:r w:rsidR="004D5C5D">
        <w:t>.</w:t>
      </w:r>
      <w:r w:rsidRPr="002F1095">
        <w:t xml:space="preserve"> </w:t>
      </w:r>
      <w:r w:rsidR="004D5C5D">
        <w:t>This</w:t>
      </w:r>
      <w:r w:rsidRPr="002F1095">
        <w:t xml:space="preserve"> results in a new 0-1 column for each value of the </w:t>
      </w:r>
      <w:r w:rsidR="00ED3DB7">
        <w:t xml:space="preserve">selected </w:t>
      </w:r>
      <w:r w:rsidR="00296374">
        <w:t xml:space="preserve">categorical </w:t>
      </w:r>
      <w:r w:rsidRPr="002F1095">
        <w:t xml:space="preserve">variable. For example, creating dummy variables for a </w:t>
      </w:r>
      <w:r w:rsidR="005653C0">
        <w:t>“</w:t>
      </w:r>
      <w:proofErr w:type="spellStart"/>
      <w:r w:rsidRPr="002F1095">
        <w:t>SchoolType</w:t>
      </w:r>
      <w:proofErr w:type="spellEnd"/>
      <w:r w:rsidR="005653C0">
        <w:t>”</w:t>
      </w:r>
      <w:r w:rsidRPr="002F1095">
        <w:t xml:space="preserve"> column that contains two unique values</w:t>
      </w:r>
      <w:proofErr w:type="gramStart"/>
      <w:r w:rsidRPr="002F1095">
        <w:t>—</w:t>
      </w:r>
      <w:r w:rsidR="005653C0">
        <w:t>“</w:t>
      </w:r>
      <w:proofErr w:type="gramEnd"/>
      <w:r w:rsidRPr="002F1095">
        <w:t>Elementary</w:t>
      </w:r>
      <w:r w:rsidR="005653C0">
        <w:t>”</w:t>
      </w:r>
      <w:r w:rsidRPr="002F1095">
        <w:t xml:space="preserve"> and </w:t>
      </w:r>
      <w:r w:rsidR="005653C0">
        <w:t>“</w:t>
      </w:r>
      <w:r w:rsidRPr="002F1095">
        <w:t>Secondary</w:t>
      </w:r>
      <w:r w:rsidR="005653C0">
        <w:t>”</w:t>
      </w:r>
      <w:r w:rsidRPr="002F1095">
        <w:t>—result</w:t>
      </w:r>
      <w:r w:rsidR="0003510E">
        <w:t>s</w:t>
      </w:r>
      <w:r w:rsidRPr="002F1095">
        <w:t xml:space="preserve"> in two new 0-1 variables: </w:t>
      </w:r>
      <w:r w:rsidR="00874E55">
        <w:t>“</w:t>
      </w:r>
      <w:proofErr w:type="spellStart"/>
      <w:r w:rsidRPr="002F1095">
        <w:t>SchoolType.Eq.Elementary</w:t>
      </w:r>
      <w:proofErr w:type="spellEnd"/>
      <w:r w:rsidR="00874E55">
        <w:t>”</w:t>
      </w:r>
      <w:r w:rsidRPr="002F1095">
        <w:t xml:space="preserve"> and </w:t>
      </w:r>
      <w:r w:rsidR="00874E55">
        <w:t>“</w:t>
      </w:r>
      <w:proofErr w:type="spellStart"/>
      <w:r w:rsidRPr="002F1095">
        <w:t>SchoolType.Eq.Secondary</w:t>
      </w:r>
      <w:proofErr w:type="spellEnd"/>
      <w:r w:rsidRPr="002F1095">
        <w:t>.</w:t>
      </w:r>
      <w:r w:rsidR="00874E55">
        <w:t>”</w:t>
      </w:r>
      <w:r w:rsidR="001F4F39">
        <w:t xml:space="preserve"> Elementary schools </w:t>
      </w:r>
      <w:r w:rsidR="001F4F39">
        <w:lastRenderedPageBreak/>
        <w:t>in the file will have “</w:t>
      </w:r>
      <w:proofErr w:type="spellStart"/>
      <w:proofErr w:type="gramStart"/>
      <w:r w:rsidR="001F4F39" w:rsidRPr="002F1095">
        <w:t>SchoolType.Eq.Elementary</w:t>
      </w:r>
      <w:proofErr w:type="spellEnd"/>
      <w:proofErr w:type="gramEnd"/>
      <w:r w:rsidR="001F4F39">
        <w:t>” equal to 1 and “</w:t>
      </w:r>
      <w:proofErr w:type="spellStart"/>
      <w:r w:rsidR="001F4F39">
        <w:t>SchoolType.Eq.Secondary</w:t>
      </w:r>
      <w:proofErr w:type="spellEnd"/>
      <w:r w:rsidR="001F4F39">
        <w:t>” equal to 0. Conversely, secondary school</w:t>
      </w:r>
      <w:r w:rsidR="006B037A">
        <w:t>s</w:t>
      </w:r>
      <w:r w:rsidR="001F4F39">
        <w:t xml:space="preserve"> in the file will have “</w:t>
      </w:r>
      <w:proofErr w:type="spellStart"/>
      <w:proofErr w:type="gramStart"/>
      <w:r w:rsidR="001F4F39" w:rsidRPr="002F1095">
        <w:t>SchoolType.Eq.Elementary</w:t>
      </w:r>
      <w:proofErr w:type="spellEnd"/>
      <w:proofErr w:type="gramEnd"/>
      <w:r w:rsidR="001F4F39">
        <w:t>” equal to 0 and “</w:t>
      </w:r>
      <w:proofErr w:type="spellStart"/>
      <w:r w:rsidR="001F4F39">
        <w:t>SchoolType.Eq.Secondary</w:t>
      </w:r>
      <w:proofErr w:type="spellEnd"/>
      <w:r w:rsidR="001F4F39">
        <w:t xml:space="preserve">” equal to 1. </w:t>
      </w:r>
    </w:p>
    <w:p w14:paraId="46EFE1D6" w14:textId="4FC31AB4" w:rsidR="00456FFD" w:rsidRPr="002F1095" w:rsidRDefault="00874E55" w:rsidP="00BD77B4">
      <w:r>
        <w:t>You can create d</w:t>
      </w:r>
      <w:r w:rsidR="00456FFD" w:rsidRPr="002F1095">
        <w:t>ummy variables for any categorical variable with 12 or fewer unique values.</w:t>
      </w:r>
    </w:p>
    <w:p w14:paraId="4F1615F3" w14:textId="77777777" w:rsidR="00456FFD" w:rsidRDefault="00456FFD" w:rsidP="00BD77B4">
      <w:pPr>
        <w:pStyle w:val="Heading2"/>
        <w:keepNext/>
      </w:pPr>
      <w:bookmarkStart w:id="10" w:name="_Toc53400672"/>
      <w:r>
        <w:t>Interactions</w:t>
      </w:r>
      <w:bookmarkEnd w:id="10"/>
    </w:p>
    <w:p w14:paraId="1D54DBD4" w14:textId="57F507D6" w:rsidR="00456FFD" w:rsidRPr="002F1095" w:rsidRDefault="00456FFD" w:rsidP="00BD77B4">
      <w:r w:rsidRPr="002F1095">
        <w:t xml:space="preserve">Clicking the </w:t>
      </w:r>
      <w:r w:rsidR="00E2140D">
        <w:t>“</w:t>
      </w:r>
      <w:r w:rsidRPr="002F1095">
        <w:t>Interactions</w:t>
      </w:r>
      <w:r w:rsidR="00E2140D">
        <w:t>”</w:t>
      </w:r>
      <w:r w:rsidRPr="002F1095">
        <w:t xml:space="preserve"> button on the ribbon </w:t>
      </w:r>
      <w:r w:rsidR="00E2140D">
        <w:t>opens</w:t>
      </w:r>
      <w:r w:rsidRPr="002F1095">
        <w:t xml:space="preserve"> a dialog box </w:t>
      </w:r>
      <w:r w:rsidR="00E2140D">
        <w:t>where</w:t>
      </w:r>
      <w:r w:rsidRPr="002F1095">
        <w:t xml:space="preserve"> you </w:t>
      </w:r>
      <w:r w:rsidR="00E2140D">
        <w:t>can</w:t>
      </w:r>
      <w:r w:rsidR="00E2140D" w:rsidRPr="002F1095">
        <w:t xml:space="preserve"> </w:t>
      </w:r>
      <w:r w:rsidRPr="002F1095">
        <w:t>select any two numeric variables between which an interaction effect can be applied via multiplication. The new column of data for the interaction is inserted on the data worksheet</w:t>
      </w:r>
      <w:r w:rsidR="000C10D3">
        <w:t>,</w:t>
      </w:r>
      <w:r w:rsidRPr="002F1095">
        <w:t xml:space="preserve"> and the corresponding variable name includes both variables included in the interaction (for example, </w:t>
      </w:r>
      <w:r w:rsidR="000C10D3">
        <w:t>“</w:t>
      </w:r>
      <w:proofErr w:type="spellStart"/>
      <w:r w:rsidRPr="002F1095">
        <w:t>age.Times.bmi</w:t>
      </w:r>
      <w:proofErr w:type="spellEnd"/>
      <w:r w:rsidR="000C10D3">
        <w:t>”</w:t>
      </w:r>
      <w:r w:rsidRPr="002F1095">
        <w:t>).</w:t>
      </w:r>
    </w:p>
    <w:p w14:paraId="27EA4CFD" w14:textId="77777777" w:rsidR="00456FFD" w:rsidRDefault="00456FFD" w:rsidP="00456FFD">
      <w:pPr>
        <w:pStyle w:val="Heading2"/>
      </w:pPr>
      <w:bookmarkStart w:id="11" w:name="_Toc53400673"/>
      <w:r>
        <w:t>Descriptive Statistics</w:t>
      </w:r>
      <w:bookmarkEnd w:id="11"/>
    </w:p>
    <w:p w14:paraId="62984C0B" w14:textId="56C102D2" w:rsidR="00456FFD" w:rsidRPr="002F1095" w:rsidRDefault="00456FFD" w:rsidP="00BD77B4">
      <w:r w:rsidRPr="002F1095">
        <w:t xml:space="preserve">Clicking the </w:t>
      </w:r>
      <w:r w:rsidR="00762C89">
        <w:t>“</w:t>
      </w:r>
      <w:r w:rsidRPr="002F1095">
        <w:t>Descriptive Statistics</w:t>
      </w:r>
      <w:r w:rsidR="00762C89">
        <w:t>”</w:t>
      </w:r>
      <w:r w:rsidRPr="002F1095">
        <w:t xml:space="preserve"> button on the ribbon allows you to generate a new worksheet containing a table of descriptive statistics based on selected variables from the dataset. The calculations include all rows containing complete cases for the</w:t>
      </w:r>
      <w:r w:rsidR="00BF5D95">
        <w:t xml:space="preserve"> selected</w:t>
      </w:r>
      <w:r w:rsidRPr="002F1095">
        <w:t xml:space="preserve"> variables, and the descriptive statistics include mean, standard error, median, mode, standard deviation, sample variance, skewness, range, minimum, maximum, sum, and count.</w:t>
      </w:r>
    </w:p>
    <w:p w14:paraId="2411B162" w14:textId="77777777" w:rsidR="00456FFD" w:rsidRDefault="00456FFD" w:rsidP="00456FFD">
      <w:pPr>
        <w:pStyle w:val="Heading2"/>
      </w:pPr>
      <w:bookmarkStart w:id="12" w:name="_Toc53400674"/>
      <w:r>
        <w:t>Correlation Matrix</w:t>
      </w:r>
      <w:bookmarkEnd w:id="12"/>
    </w:p>
    <w:p w14:paraId="55CEB506" w14:textId="2BCBB817" w:rsidR="00456FFD" w:rsidRPr="002F1095" w:rsidRDefault="00456FFD" w:rsidP="00BD77B4">
      <w:r w:rsidRPr="002F1095">
        <w:t xml:space="preserve">Clicking the </w:t>
      </w:r>
      <w:r w:rsidR="00BF408D">
        <w:t>“</w:t>
      </w:r>
      <w:r w:rsidRPr="002F1095">
        <w:t>Correlation Matrix</w:t>
      </w:r>
      <w:r w:rsidR="00BF408D">
        <w:t>”</w:t>
      </w:r>
      <w:r w:rsidRPr="002F1095">
        <w:t xml:space="preserve"> button on the ribbon allows you to generate a new worksheet displaying the lower-left triangle of the correlation matrix for the selected variables from the dataset. The correlation matrix is based on all rows containing complete cases for the </w:t>
      </w:r>
      <w:r w:rsidR="008105F0">
        <w:t xml:space="preserve">selected </w:t>
      </w:r>
      <w:r w:rsidRPr="002F1095">
        <w:t>variables.</w:t>
      </w:r>
    </w:p>
    <w:p w14:paraId="7E2EDD5B" w14:textId="77777777" w:rsidR="00456FFD" w:rsidRDefault="00456FFD" w:rsidP="00456FFD">
      <w:pPr>
        <w:pStyle w:val="Heading2"/>
      </w:pPr>
      <w:bookmarkStart w:id="13" w:name="_Toc53400675"/>
      <w:r>
        <w:t>Linear Regression</w:t>
      </w:r>
      <w:bookmarkEnd w:id="13"/>
    </w:p>
    <w:p w14:paraId="66EEF972" w14:textId="674784F2" w:rsidR="00456FFD" w:rsidRPr="002F1095" w:rsidRDefault="00456FFD" w:rsidP="00BD77B4">
      <w:r w:rsidRPr="002F1095">
        <w:t xml:space="preserve">Clicking the </w:t>
      </w:r>
      <w:r w:rsidR="008105F0">
        <w:t>“</w:t>
      </w:r>
      <w:r w:rsidRPr="002F1095">
        <w:t>Linear Regression</w:t>
      </w:r>
      <w:r w:rsidR="008105F0">
        <w:t>”</w:t>
      </w:r>
      <w:r w:rsidRPr="002F1095">
        <w:t xml:space="preserve"> button on the ribbon allows you to specify a dependent variable and independent variables on which to run regression analysis for all complete cases in the dataset. </w:t>
      </w:r>
    </w:p>
    <w:p w14:paraId="7142311B" w14:textId="77777777" w:rsidR="00456FFD" w:rsidRDefault="00456FFD" w:rsidP="00456FFD">
      <w:pPr>
        <w:pStyle w:val="Heading3"/>
      </w:pPr>
      <w:bookmarkStart w:id="14" w:name="_Toc53400676"/>
      <w:r>
        <w:t>Regression Statistics</w:t>
      </w:r>
      <w:bookmarkEnd w:id="14"/>
    </w:p>
    <w:p w14:paraId="1362BEA4" w14:textId="77777777" w:rsidR="00456FFD" w:rsidRPr="002F1095" w:rsidRDefault="00456FFD" w:rsidP="00BD77B4">
      <w:r w:rsidRPr="002F1095">
        <w:t>For each model, a numbered Model worksheet is created that includes the following:</w:t>
      </w:r>
    </w:p>
    <w:p w14:paraId="1D582826" w14:textId="5E92C2D8" w:rsidR="003D0EE5" w:rsidRPr="002F1095" w:rsidRDefault="00456FFD" w:rsidP="003D0EE5">
      <w:pPr>
        <w:pStyle w:val="ListParagraph"/>
        <w:spacing w:before="0"/>
        <w:contextualSpacing w:val="0"/>
      </w:pPr>
      <w:r w:rsidRPr="002F1095">
        <w:t>R-SQUARED:</w:t>
      </w:r>
      <w:r w:rsidR="00733AB3">
        <w:rPr>
          <w:i/>
          <w:iCs/>
        </w:rPr>
        <w:t xml:space="preserve"> </w:t>
      </w:r>
      <w:r w:rsidRPr="000E2402">
        <w:rPr>
          <w:i/>
          <w:iCs/>
        </w:rPr>
        <w:t>R</w:t>
      </w:r>
      <w:r w:rsidRPr="002F1095">
        <w:t>-squared is the fraction by which the sample variance of the model’s errors is less than the sample variance of the dependent variable</w:t>
      </w:r>
      <w:r w:rsidR="000E2402">
        <w:t>.</w:t>
      </w:r>
      <w:r w:rsidRPr="002F1095">
        <w:t xml:space="preserve"> </w:t>
      </w:r>
      <w:r w:rsidR="000E2402">
        <w:t>T</w:t>
      </w:r>
      <w:r w:rsidRPr="002F1095">
        <w:t xml:space="preserve">hat is, </w:t>
      </w:r>
      <w:r w:rsidR="000E2402" w:rsidRPr="000E2402">
        <w:rPr>
          <w:i/>
          <w:iCs/>
        </w:rPr>
        <w:t>R</w:t>
      </w:r>
      <w:r w:rsidR="000E2402" w:rsidRPr="002F1095">
        <w:t xml:space="preserve">-squared </w:t>
      </w:r>
      <w:r w:rsidRPr="002F1095">
        <w:t xml:space="preserve">is the fractional reduction in error variance compared to what would be obtained with a constant-only model. </w:t>
      </w:r>
      <w:r w:rsidR="00FC7E16">
        <w:t>I</w:t>
      </w:r>
      <w:r w:rsidRPr="002F1095">
        <w:t>t is equal to 1 minus the square of the sample standard deviation of the errors divided by the sample standard deviation of the dependent variable.</w:t>
      </w:r>
    </w:p>
    <w:p w14:paraId="095BDD78" w14:textId="3F49C869" w:rsidR="00456FFD" w:rsidRPr="002F1095" w:rsidRDefault="003D0EE5" w:rsidP="003D0EE5">
      <w:pPr>
        <w:pStyle w:val="ListParagraph"/>
        <w:spacing w:before="0"/>
        <w:contextualSpacing w:val="0"/>
      </w:pPr>
      <w:r w:rsidRPr="000E2402">
        <w:rPr>
          <w:i/>
          <w:iCs/>
        </w:rPr>
        <w:t>R</w:t>
      </w:r>
      <w:r w:rsidRPr="002F1095">
        <w:t>-squared</w:t>
      </w:r>
      <w:r>
        <w:t xml:space="preserve"> is the proportion of variance in the dependent variable that is explained by the independent variables in the model.</w:t>
      </w:r>
    </w:p>
    <w:p w14:paraId="0F39B614" w14:textId="4211258B" w:rsidR="00456FFD" w:rsidRPr="002F1095" w:rsidRDefault="00456FFD" w:rsidP="00FC7E16">
      <w:pPr>
        <w:ind w:left="720"/>
      </w:pPr>
      <w:r w:rsidRPr="002F1095">
        <w:lastRenderedPageBreak/>
        <w:t xml:space="preserve">There is no absolute standard for an acceptable value of </w:t>
      </w:r>
      <w:r w:rsidR="004817DE" w:rsidRPr="00336FBC">
        <w:rPr>
          <w:i/>
          <w:iCs/>
        </w:rPr>
        <w:t>R</w:t>
      </w:r>
      <w:r w:rsidR="004817DE">
        <w:t>-squared</w:t>
      </w:r>
      <w:r w:rsidRPr="002F1095">
        <w:t xml:space="preserve">. </w:t>
      </w:r>
      <w:r w:rsidR="009E5A92">
        <w:t>The value</w:t>
      </w:r>
      <w:r w:rsidR="009E5A92" w:rsidRPr="002F1095">
        <w:t xml:space="preserve"> </w:t>
      </w:r>
      <w:r w:rsidRPr="002F1095">
        <w:t>depends on the nature of the data, the variance-changing transformations (if any) that have already been applied to the dependent variable, the decision or inference context in which the model is to be used, and the reasonableness of the model’s assumptions in that context.</w:t>
      </w:r>
    </w:p>
    <w:p w14:paraId="340AE2E0" w14:textId="26DA0F9A" w:rsidR="00456FFD" w:rsidRPr="002F1095" w:rsidRDefault="00456FFD" w:rsidP="00FC7E16">
      <w:pPr>
        <w:ind w:left="720"/>
      </w:pPr>
      <w:r w:rsidRPr="002F1095">
        <w:t xml:space="preserve">If the </w:t>
      </w:r>
      <w:r w:rsidR="004A306F">
        <w:t>context</w:t>
      </w:r>
      <w:r w:rsidR="004A306F" w:rsidRPr="002F1095">
        <w:t xml:space="preserve"> </w:t>
      </w:r>
      <w:r w:rsidRPr="002F1095">
        <w:t xml:space="preserve">is one in which the model equation is given (as in a designed experiment) and interest centers on whether the effects of independent variables are non-zero rather than on their predictive accuracy in individual cases, then a low value of </w:t>
      </w:r>
      <w:r w:rsidRPr="002F1095">
        <w:rPr>
          <w:i/>
          <w:iCs/>
        </w:rPr>
        <w:t>R</w:t>
      </w:r>
      <w:r w:rsidRPr="002F1095">
        <w:t xml:space="preserve">-squared may not be a cause for concern. The </w:t>
      </w:r>
      <w:r w:rsidRPr="002F1095">
        <w:rPr>
          <w:i/>
          <w:iCs/>
        </w:rPr>
        <w:t>F</w:t>
      </w:r>
      <w:r w:rsidRPr="002F1095">
        <w:t>-statistic may be relatively more important in that case.</w:t>
      </w:r>
    </w:p>
    <w:p w14:paraId="4F7D4E67" w14:textId="479C36B4" w:rsidR="00E21A8C" w:rsidRDefault="00456FFD">
      <w:pPr>
        <w:pStyle w:val="ListParagraph"/>
        <w:numPr>
          <w:ilvl w:val="0"/>
          <w:numId w:val="2"/>
        </w:numPr>
        <w:spacing w:before="0"/>
        <w:contextualSpacing w:val="0"/>
      </w:pPr>
      <w:r w:rsidRPr="002F1095">
        <w:t>F-STATISTIC:</w:t>
      </w:r>
      <w:r w:rsidR="004772E7">
        <w:t xml:space="preserve"> </w:t>
      </w:r>
      <w:r w:rsidRPr="00E21A8C">
        <w:rPr>
          <w:i/>
          <w:iCs/>
        </w:rPr>
        <w:t>F</w:t>
      </w:r>
      <w:r w:rsidRPr="002F1095">
        <w:t xml:space="preserve">-statistics can assess multiple coefficients simultaneously and help answer the question </w:t>
      </w:r>
      <w:r w:rsidR="00EE647F">
        <w:t>“</w:t>
      </w:r>
      <w:r w:rsidRPr="004A306F">
        <w:t>Is at least one predictor useful?</w:t>
      </w:r>
      <w:r w:rsidR="00EE647F">
        <w:t>”</w:t>
      </w:r>
      <w:r w:rsidR="00E21A8C">
        <w:t xml:space="preserve"> </w:t>
      </w:r>
      <w:r w:rsidR="0000419A">
        <w:t>T</w:t>
      </w:r>
      <w:r w:rsidR="00E21A8C" w:rsidRPr="00E21A8C">
        <w:t xml:space="preserve">he </w:t>
      </w:r>
      <w:r w:rsidR="00E21A8C" w:rsidRPr="00336FBC">
        <w:rPr>
          <w:i/>
          <w:iCs/>
        </w:rPr>
        <w:t>F</w:t>
      </w:r>
      <w:r w:rsidR="00E21A8C" w:rsidRPr="00E21A8C">
        <w:t xml:space="preserve">-test of the overall significance compares a model with no predictors </w:t>
      </w:r>
      <w:r w:rsidR="00E21A8C">
        <w:t xml:space="preserve">(also known as the intercept-only model) </w:t>
      </w:r>
      <w:r w:rsidR="00E21A8C" w:rsidRPr="00E21A8C">
        <w:t>to the model yo</w:t>
      </w:r>
      <w:r w:rsidR="00E21A8C">
        <w:t>u specify.</w:t>
      </w:r>
    </w:p>
    <w:p w14:paraId="21DCCC50" w14:textId="70CAE02D" w:rsidR="00146DFB" w:rsidRDefault="00146DFB" w:rsidP="00CB4FC7">
      <w:pPr>
        <w:pStyle w:val="ListParagraph"/>
        <w:spacing w:before="0"/>
        <w:contextualSpacing w:val="0"/>
      </w:pPr>
      <w:r>
        <w:t xml:space="preserve">The formula for the </w:t>
      </w:r>
      <w:r w:rsidRPr="00336FBC">
        <w:rPr>
          <w:i/>
          <w:iCs/>
        </w:rPr>
        <w:t>F</w:t>
      </w:r>
      <w:r>
        <w:t>-statistic incorporates the residual sum of squares (RSS</w:t>
      </w:r>
      <w:r w:rsidR="0010209D">
        <w:t xml:space="preserve">; the </w:t>
      </w:r>
      <w:r w:rsidR="0010209D" w:rsidRPr="0010209D">
        <w:t>sum of squared errors of prediction</w:t>
      </w:r>
      <w:r>
        <w:t>) and total sum of squares (TSS</w:t>
      </w:r>
      <w:r w:rsidR="00997977">
        <w:t>; the total variance in the outcome or dependent variable</w:t>
      </w:r>
      <w:r>
        <w:t>), as well as the number of observations (n) and predictors (p).</w:t>
      </w:r>
    </w:p>
    <w:p w14:paraId="320721D9" w14:textId="4A28D6C8" w:rsidR="0010209D" w:rsidRDefault="0010209D" w:rsidP="00CB4FC7">
      <w:pPr>
        <w:pStyle w:val="ListParagraph"/>
        <w:spacing w:before="0"/>
        <w:contextualSpacing w:val="0"/>
      </w:pPr>
      <m:oMathPara>
        <m:oMath>
          <m:r>
            <w:rPr>
              <w:rFonts w:ascii="Cambria Math" w:hAnsi="Cambria Math"/>
            </w:rPr>
            <m:t xml:space="preserve">F = </m:t>
          </m:r>
          <m:f>
            <m:fPr>
              <m:ctrlPr>
                <w:rPr>
                  <w:rFonts w:ascii="Cambria Math" w:hAnsi="Cambria Math"/>
                  <w:i/>
                </w:rPr>
              </m:ctrlPr>
            </m:fPr>
            <m:num>
              <m:r>
                <w:rPr>
                  <w:rFonts w:ascii="Cambria Math" w:hAnsi="Cambria Math"/>
                </w:rPr>
                <m:t>(TSS-RSS)/p</m:t>
              </m:r>
            </m:num>
            <m:den>
              <m:r>
                <w:rPr>
                  <w:rFonts w:ascii="Cambria Math" w:hAnsi="Cambria Math"/>
                </w:rPr>
                <m:t>RSS/(n-p-1)</m:t>
              </m:r>
            </m:den>
          </m:f>
        </m:oMath>
      </m:oMathPara>
    </w:p>
    <w:p w14:paraId="636723F8" w14:textId="4EEB7BA5" w:rsidR="0010209D" w:rsidRPr="00FB4C12" w:rsidRDefault="0010209D" w:rsidP="00CB4FC7">
      <w:pPr>
        <w:pStyle w:val="ListParagraph"/>
        <w:spacing w:before="0"/>
        <w:contextualSpacing w:val="0"/>
      </w:pPr>
      <w:r>
        <w:t xml:space="preserve">where TSS = </w:t>
      </w:r>
      <w:proofErr w:type="gramStart"/>
      <w:r>
        <w:t>Σ(</w:t>
      </w:r>
      <w:proofErr w:type="spellStart"/>
      <w:proofErr w:type="gramEnd"/>
      <w:r>
        <w:t>y</w:t>
      </w:r>
      <w:r w:rsidR="00FB4C12" w:rsidRPr="004D0F26">
        <w:rPr>
          <w:vertAlign w:val="subscript"/>
        </w:rPr>
        <w:t>i</w:t>
      </w:r>
      <w:proofErr w:type="spellEnd"/>
      <w:r w:rsidR="00FB4C12">
        <w:t xml:space="preserve"> </w:t>
      </w:r>
      <w:r>
        <w:t>-</w:t>
      </w:r>
      <w:r w:rsidRPr="0010209D">
        <w:t xml:space="preserve"> ȳ</w:t>
      </w:r>
      <w:r w:rsidR="00FB4C12">
        <w:t>)</w:t>
      </w:r>
      <w:r w:rsidR="00FB4C12" w:rsidRPr="00FB4C12">
        <w:rPr>
          <w:vertAlign w:val="superscript"/>
        </w:rPr>
        <w:t xml:space="preserve"> </w:t>
      </w:r>
      <w:r w:rsidR="00FB4C12" w:rsidRPr="004D0F26">
        <w:rPr>
          <w:vertAlign w:val="superscript"/>
        </w:rPr>
        <w:t>2</w:t>
      </w:r>
      <w:r w:rsidR="00FB4C12">
        <w:t xml:space="preserve"> and RSS = </w:t>
      </w:r>
      <w:r>
        <w:t xml:space="preserve"> </w:t>
      </w:r>
      <w:r w:rsidR="00FB4C12">
        <w:t>Σ(y</w:t>
      </w:r>
      <w:r w:rsidR="00FB4C12" w:rsidRPr="00CB4FC7">
        <w:rPr>
          <w:vertAlign w:val="subscript"/>
        </w:rPr>
        <w:t>i</w:t>
      </w:r>
      <w:r w:rsidR="00FB4C12">
        <w:t xml:space="preserve"> -</w:t>
      </w:r>
      <w:r w:rsidR="00FB4C12" w:rsidRPr="0010209D">
        <w:t xml:space="preserve"> </w:t>
      </w:r>
      <w:r w:rsidR="00FB4C12" w:rsidRPr="00FB4C12">
        <w:t>ŷ</w:t>
      </w:r>
      <w:r w:rsidR="00FB4C12">
        <w:t>)</w:t>
      </w:r>
      <w:r w:rsidR="00FB4C12" w:rsidRPr="00CB4FC7">
        <w:rPr>
          <w:vertAlign w:val="superscript"/>
        </w:rPr>
        <w:t>2</w:t>
      </w:r>
      <w:r w:rsidR="00FB4C12">
        <w:t>.</w:t>
      </w:r>
    </w:p>
    <w:p w14:paraId="5CF776F9" w14:textId="7F23F1FC" w:rsidR="00456FFD" w:rsidRPr="002F1095" w:rsidRDefault="00456FFD" w:rsidP="00B50E71">
      <w:pPr>
        <w:pStyle w:val="ListParagraph"/>
        <w:numPr>
          <w:ilvl w:val="0"/>
          <w:numId w:val="2"/>
        </w:numPr>
        <w:spacing w:before="0"/>
        <w:contextualSpacing w:val="0"/>
      </w:pPr>
      <w:r w:rsidRPr="002F1095">
        <w:t>RESIDUAL STANDARD ERROR:</w:t>
      </w:r>
      <w:r w:rsidR="00AF0F31">
        <w:t xml:space="preserve"> </w:t>
      </w:r>
      <w:r w:rsidR="000D22A9">
        <w:t>“</w:t>
      </w:r>
      <w:r w:rsidRPr="002F1095">
        <w:t>A fitted regression model uses the parameters to generate point estimate predictions, which are the means of observed responses if you were to replicate the study with the same X values an infinite number of times (and when the linear model is true). The difference between these predicted values and the ones used to fit the model are called “residuals,” which, when replicating the data collection process, have properties of random variables with 0 means.</w:t>
      </w:r>
    </w:p>
    <w:p w14:paraId="2916BBDC" w14:textId="4BCD2FC6" w:rsidR="00456FFD" w:rsidRPr="002F1095" w:rsidRDefault="00456FFD" w:rsidP="00B50E71">
      <w:pPr>
        <w:ind w:left="720"/>
      </w:pPr>
      <w:r w:rsidRPr="002F1095">
        <w:t>The observed residuals are then used to subsequently estimate the variability in these values and the sampling distribution of the parameters. When the residual standard error is exactly 0, the model fits the data perfectly (likely due to overfitting). If the residual standard error cannot be shown to be significantly different from the variability in the unconditional response, then there is little evidence to suggest the linear model has any predictive ability</w:t>
      </w:r>
      <w:r w:rsidR="006B2522">
        <w:t>.”</w:t>
      </w:r>
      <w:r w:rsidR="006B2522">
        <w:rPr>
          <w:rStyle w:val="FootnoteReference"/>
        </w:rPr>
        <w:footnoteReference w:id="2"/>
      </w:r>
    </w:p>
    <w:p w14:paraId="5B76E9CD" w14:textId="476E74EF" w:rsidR="00456FFD" w:rsidRPr="002F1095" w:rsidRDefault="00456FFD" w:rsidP="00B50E71">
      <w:pPr>
        <w:pStyle w:val="ListParagraph"/>
        <w:numPr>
          <w:ilvl w:val="0"/>
          <w:numId w:val="2"/>
        </w:numPr>
        <w:spacing w:before="0"/>
        <w:contextualSpacing w:val="0"/>
      </w:pPr>
      <w:r w:rsidRPr="002F1095">
        <w:t>OBSERVATIONS:</w:t>
      </w:r>
      <w:r w:rsidR="00EE4F0B">
        <w:t xml:space="preserve"> </w:t>
      </w:r>
      <w:r w:rsidRPr="002F1095">
        <w:t>This is the count of complete cases in your dataset that include the dependent variable and all independent variables.</w:t>
      </w:r>
    </w:p>
    <w:p w14:paraId="64F8BDCB" w14:textId="1F31DC13" w:rsidR="00456FFD" w:rsidRPr="002F1095" w:rsidRDefault="00456FFD" w:rsidP="00B50E71">
      <w:pPr>
        <w:pStyle w:val="ListParagraph"/>
        <w:numPr>
          <w:ilvl w:val="0"/>
          <w:numId w:val="2"/>
        </w:numPr>
        <w:spacing w:before="0"/>
        <w:contextualSpacing w:val="0"/>
      </w:pPr>
      <w:r w:rsidRPr="002F1095">
        <w:lastRenderedPageBreak/>
        <w:t>COEFFICIENT:</w:t>
      </w:r>
      <w:r w:rsidR="00DA0B38">
        <w:t xml:space="preserve"> </w:t>
      </w:r>
      <w:r w:rsidRPr="002F1095">
        <w:t>The coefficient of an independent variable is the change in the predicted value of the dependent variable per unit of change in that variable, holding the other variables fixed at any values of their own. In a multiple regression model, the value of the coefficient depends to some extent on which other variables are included</w:t>
      </w:r>
      <w:r w:rsidR="00EF6939">
        <w:t>,</w:t>
      </w:r>
      <w:r w:rsidRPr="002F1095">
        <w:t xml:space="preserve"> and its magnitude </w:t>
      </w:r>
      <w:r w:rsidR="009B222C">
        <w:t>or</w:t>
      </w:r>
      <w:r w:rsidRPr="002F1095">
        <w:t xml:space="preserve"> sign may change if other variables with which it is correlated are added or removed.</w:t>
      </w:r>
    </w:p>
    <w:p w14:paraId="55F14B04" w14:textId="12E0C043" w:rsidR="00456FFD" w:rsidRPr="002F1095" w:rsidRDefault="00456FFD" w:rsidP="00B50E71">
      <w:pPr>
        <w:ind w:left="720"/>
      </w:pPr>
      <w:r w:rsidRPr="002F1095">
        <w:t xml:space="preserve">In all linear regression models, the intercept has the same definition: the mean of the response, Y, when all predictors equal 0. The intercept is not always meaningful </w:t>
      </w:r>
      <w:r w:rsidR="00432C45">
        <w:t>because</w:t>
      </w:r>
      <w:r w:rsidR="00432C45" w:rsidRPr="002F1095">
        <w:t xml:space="preserve"> </w:t>
      </w:r>
      <w:r w:rsidRPr="002F1095">
        <w:t>there are cases in which some predictors in the model do not have any values near 0.</w:t>
      </w:r>
      <w:r w:rsidR="00661863">
        <w:rPr>
          <w:rStyle w:val="FootnoteReference"/>
        </w:rPr>
        <w:footnoteReference w:id="3"/>
      </w:r>
      <w:r w:rsidRPr="002F1095">
        <w:t xml:space="preserve"> For instance, when </w:t>
      </w:r>
      <w:r w:rsidR="005E5824">
        <w:t xml:space="preserve">using retirement age as a predictor to </w:t>
      </w:r>
      <w:r w:rsidR="005E5824" w:rsidRPr="002F1095">
        <w:t>estimat</w:t>
      </w:r>
      <w:r w:rsidR="005E5824">
        <w:t>e</w:t>
      </w:r>
      <w:r w:rsidR="005E5824" w:rsidRPr="002F1095">
        <w:t xml:space="preserve"> </w:t>
      </w:r>
      <w:r w:rsidR="00432C45">
        <w:t>s</w:t>
      </w:r>
      <w:r w:rsidRPr="002F1095">
        <w:t xml:space="preserve">ocial </w:t>
      </w:r>
      <w:r w:rsidR="00432C45">
        <w:t>s</w:t>
      </w:r>
      <w:r w:rsidRPr="002F1095">
        <w:t xml:space="preserve">ecurity benefits, the retirement age has a minimum value of 62.  </w:t>
      </w:r>
    </w:p>
    <w:p w14:paraId="007E28D4" w14:textId="77777777" w:rsidR="00456FFD" w:rsidRPr="002F1095" w:rsidRDefault="00456FFD" w:rsidP="00B50E71">
      <w:pPr>
        <w:ind w:left="720"/>
      </w:pPr>
      <w:r w:rsidRPr="002F1095">
        <w:t>The coefficient is measured in units of the dependent variable divided by units of the independent variable, so its value depends on how the variables are scaled as well as on the estimated strength of their statistical relationships.</w:t>
      </w:r>
    </w:p>
    <w:p w14:paraId="73D4C61F" w14:textId="6BB9F141" w:rsidR="00456FFD" w:rsidRPr="002F1095" w:rsidRDefault="00456FFD" w:rsidP="005E5824">
      <w:pPr>
        <w:ind w:left="720"/>
      </w:pPr>
      <w:r w:rsidRPr="002F1095">
        <w:t xml:space="preserve">If the coefficient of an important variable is </w:t>
      </w:r>
      <w:r w:rsidR="00717660">
        <w:t>very large or very small</w:t>
      </w:r>
      <w:r w:rsidRPr="002F1095">
        <w:t xml:space="preserve"> relative to the number of digits visible in the cell in all of your models, then, for easier reading of the results, you </w:t>
      </w:r>
      <w:r w:rsidR="00EC6056">
        <w:t>might</w:t>
      </w:r>
      <w:r w:rsidR="00EC6056" w:rsidRPr="002F1095">
        <w:t xml:space="preserve"> </w:t>
      </w:r>
      <w:r w:rsidRPr="002F1095">
        <w:t>consider changing its units by rescaling it by several powers of 10 before doing your analysis.</w:t>
      </w:r>
    </w:p>
    <w:p w14:paraId="6389644C" w14:textId="32028949" w:rsidR="00456FFD" w:rsidRPr="002F1095" w:rsidRDefault="00456FFD" w:rsidP="005E5824">
      <w:pPr>
        <w:pStyle w:val="ListParagraph"/>
        <w:numPr>
          <w:ilvl w:val="0"/>
          <w:numId w:val="2"/>
        </w:numPr>
        <w:spacing w:before="0"/>
        <w:contextualSpacing w:val="0"/>
      </w:pPr>
      <w:r w:rsidRPr="002F1095">
        <w:t>STANDARD ERROR:</w:t>
      </w:r>
      <w:r w:rsidR="00EC6056">
        <w:t xml:space="preserve"> </w:t>
      </w:r>
      <w:r w:rsidRPr="002F1095">
        <w:t xml:space="preserve">The standard error is the estimated standard deviation of a coefficient from the given sample of data. </w:t>
      </w:r>
    </w:p>
    <w:p w14:paraId="3E7131A8" w14:textId="770EC7F4" w:rsidR="00456FFD" w:rsidRPr="002F1095" w:rsidRDefault="00456FFD" w:rsidP="005E5824">
      <w:pPr>
        <w:ind w:left="720"/>
      </w:pPr>
      <w:r w:rsidRPr="002F1095">
        <w:t xml:space="preserve">In general, standard error becomes smaller in proportion to 1 divided by the square root of the sample size as the sample size increases. Thus, </w:t>
      </w:r>
      <w:r w:rsidR="00AE7149">
        <w:t xml:space="preserve">you would expect </w:t>
      </w:r>
      <w:r w:rsidRPr="002F1095">
        <w:t xml:space="preserve">four times as </w:t>
      </w:r>
      <w:r w:rsidR="00361413">
        <w:t>many</w:t>
      </w:r>
      <w:r w:rsidR="00361413" w:rsidRPr="002F1095">
        <w:t xml:space="preserve"> </w:t>
      </w:r>
      <w:r w:rsidRPr="002F1095">
        <w:t>data to reduce the standard errors of all the coefficient estimates by a factor of two (approximately), assuming that the additional data are described by the same model.</w:t>
      </w:r>
    </w:p>
    <w:p w14:paraId="761287AC" w14:textId="5C2CFFE6" w:rsidR="00456FFD" w:rsidRPr="002F1095" w:rsidRDefault="00456FFD" w:rsidP="005E5824">
      <w:pPr>
        <w:pStyle w:val="ListParagraph"/>
        <w:numPr>
          <w:ilvl w:val="0"/>
          <w:numId w:val="2"/>
        </w:numPr>
        <w:spacing w:before="0"/>
        <w:contextualSpacing w:val="0"/>
      </w:pPr>
      <w:r w:rsidRPr="002F1095">
        <w:t>t-STATISTIC:</w:t>
      </w:r>
      <w:r w:rsidR="00AE7149">
        <w:t xml:space="preserve"> </w:t>
      </w:r>
      <w:r w:rsidRPr="002F1095">
        <w:t xml:space="preserve">The </w:t>
      </w:r>
      <w:r w:rsidRPr="00B62769">
        <w:rPr>
          <w:i/>
          <w:iCs/>
        </w:rPr>
        <w:t>t</w:t>
      </w:r>
      <w:r w:rsidRPr="002F1095">
        <w:t>-statistic of an independent variable is its estimated coefficient divided by the coefficient</w:t>
      </w:r>
      <w:r w:rsidR="007A4628">
        <w:t>’</w:t>
      </w:r>
      <w:r w:rsidRPr="002F1095">
        <w:t xml:space="preserve">s own standard error—that is, its number of standard errors away from 0. The </w:t>
      </w:r>
      <w:r w:rsidRPr="00B62769">
        <w:rPr>
          <w:i/>
          <w:iCs/>
        </w:rPr>
        <w:t>t</w:t>
      </w:r>
      <w:r w:rsidRPr="002F1095">
        <w:t>-statistic value (which has the same sign as the coefficient) is an indicator of whether that variable has been found to have a measurably non-zero effect in explaining or predicting variations in the dependent variable, in the context of other variables included in the same model.</w:t>
      </w:r>
    </w:p>
    <w:p w14:paraId="6C5B4759" w14:textId="5E67ADEE" w:rsidR="00456FFD" w:rsidRPr="002F1095" w:rsidRDefault="00456FFD" w:rsidP="005E5824">
      <w:pPr>
        <w:ind w:left="720"/>
      </w:pPr>
      <w:r w:rsidRPr="002F1095">
        <w:t xml:space="preserve">The </w:t>
      </w:r>
      <w:r w:rsidRPr="002F1095">
        <w:rPr>
          <w:i/>
          <w:iCs/>
        </w:rPr>
        <w:t>t</w:t>
      </w:r>
      <w:r w:rsidRPr="002F1095">
        <w:t xml:space="preserve">-statistic associated with any variable is model-dependent. Its value may change, sometimes significantly, if other related variables are added or removed. Also, the </w:t>
      </w:r>
      <w:r w:rsidRPr="002F1095">
        <w:rPr>
          <w:i/>
          <w:iCs/>
        </w:rPr>
        <w:t>t</w:t>
      </w:r>
      <w:r w:rsidRPr="002F1095">
        <w:t>-statistic of a variable whose true coefficient is non-zero tends to grow larger in magnitude as the sample size increases because standard errors of coefficients grow smaller as the sample size increases.</w:t>
      </w:r>
    </w:p>
    <w:p w14:paraId="4CE292A3" w14:textId="5EAB7E3B" w:rsidR="00456FFD" w:rsidRPr="002F1095" w:rsidRDefault="00456FFD" w:rsidP="005E5824">
      <w:pPr>
        <w:ind w:left="720"/>
      </w:pPr>
      <w:r w:rsidRPr="002F1095">
        <w:lastRenderedPageBreak/>
        <w:t>A commonly used rule of thumb is that a variable</w:t>
      </w:r>
      <w:r w:rsidR="001501C8">
        <w:t>’</w:t>
      </w:r>
      <w:r w:rsidRPr="002F1095">
        <w:t xml:space="preserve">s contribution to a model is not statistically significant if its </w:t>
      </w:r>
      <w:r w:rsidRPr="002F1095">
        <w:rPr>
          <w:i/>
          <w:iCs/>
        </w:rPr>
        <w:t>t</w:t>
      </w:r>
      <w:r w:rsidRPr="002F1095">
        <w:t xml:space="preserve">-statistic is less than 2 in absolute value—that is, if its estimated value is less than 2 standard errors away from 0, which is the approximate standard for significance at the 0.05 level. This is not a hard-and-fast rule, but as a practical matter the removal of a variable whose </w:t>
      </w:r>
      <w:r w:rsidRPr="002F1095">
        <w:rPr>
          <w:i/>
          <w:iCs/>
        </w:rPr>
        <w:t>t</w:t>
      </w:r>
      <w:r w:rsidRPr="002F1095">
        <w:t>-statistic is much less than 2 in magnitude will probably not increase the standard error of the regression by very much.</w:t>
      </w:r>
    </w:p>
    <w:p w14:paraId="1184BB41" w14:textId="4A990738" w:rsidR="00456FFD" w:rsidRPr="002F1095" w:rsidRDefault="00456FFD" w:rsidP="005E5824">
      <w:pPr>
        <w:pStyle w:val="ListParagraph"/>
        <w:numPr>
          <w:ilvl w:val="0"/>
          <w:numId w:val="2"/>
        </w:numPr>
        <w:spacing w:before="0"/>
        <w:contextualSpacing w:val="0"/>
      </w:pPr>
      <w:r w:rsidRPr="002F1095">
        <w:t>p-VALUE:</w:t>
      </w:r>
      <w:r w:rsidR="00727881">
        <w:t xml:space="preserve"> </w:t>
      </w:r>
      <w:r w:rsidRPr="002F1095">
        <w:t xml:space="preserve">The </w:t>
      </w:r>
      <w:r w:rsidRPr="00B62769">
        <w:rPr>
          <w:i/>
          <w:iCs/>
        </w:rPr>
        <w:t>p</w:t>
      </w:r>
      <w:r w:rsidRPr="002F1095">
        <w:t xml:space="preserve">-value of a coefficient is determined from its </w:t>
      </w:r>
      <w:r w:rsidRPr="00B62769">
        <w:rPr>
          <w:i/>
          <w:iCs/>
        </w:rPr>
        <w:t>t</w:t>
      </w:r>
      <w:r w:rsidRPr="002F1095">
        <w:t xml:space="preserve">-statistic. It is the probability of obtaining a </w:t>
      </w:r>
      <w:r w:rsidRPr="00B62769">
        <w:rPr>
          <w:i/>
          <w:iCs/>
        </w:rPr>
        <w:t>t</w:t>
      </w:r>
      <w:r w:rsidRPr="002F1095">
        <w:t>-statistic that is</w:t>
      </w:r>
      <w:r w:rsidR="000C57F4">
        <w:t xml:space="preserve"> as</w:t>
      </w:r>
      <w:r w:rsidRPr="002F1095">
        <w:t xml:space="preserve"> large or larger in magnitude </w:t>
      </w:r>
      <w:r w:rsidR="00663C76">
        <w:t xml:space="preserve">than the observed </w:t>
      </w:r>
      <w:r w:rsidR="00663C76" w:rsidRPr="003168C7">
        <w:rPr>
          <w:i/>
          <w:iCs/>
        </w:rPr>
        <w:t>t</w:t>
      </w:r>
      <w:r w:rsidR="00663C76">
        <w:t xml:space="preserve">-statistic </w:t>
      </w:r>
      <w:r w:rsidRPr="002F1095">
        <w:t xml:space="preserve">if the true coefficient of that variable is 0 and the model assumptions are otherwise correct. Under those assumptions, the distribution of the </w:t>
      </w:r>
      <w:r w:rsidRPr="00B62769">
        <w:rPr>
          <w:i/>
          <w:iCs/>
        </w:rPr>
        <w:t>t</w:t>
      </w:r>
      <w:r w:rsidRPr="002F1095">
        <w:t xml:space="preserve">-statistic is a student’s </w:t>
      </w:r>
      <w:r w:rsidRPr="00B62769">
        <w:rPr>
          <w:i/>
          <w:iCs/>
        </w:rPr>
        <w:t xml:space="preserve">t </w:t>
      </w:r>
      <w:r w:rsidRPr="002F1095">
        <w:t xml:space="preserve">distribution, which is almost the same as a standard normal distribution unless the sample size is very small. </w:t>
      </w:r>
    </w:p>
    <w:p w14:paraId="0A9F4B67" w14:textId="4D7D7008" w:rsidR="00456FFD" w:rsidRPr="002F1095" w:rsidRDefault="00456FFD" w:rsidP="005E5824">
      <w:pPr>
        <w:ind w:left="720"/>
      </w:pPr>
      <w:r w:rsidRPr="002F1095">
        <w:t xml:space="preserve">A common rule of thumb is that a variable’s contribution is not statistically significant if its coefficient’s </w:t>
      </w:r>
      <w:r w:rsidR="00727881">
        <w:rPr>
          <w:i/>
          <w:iCs/>
        </w:rPr>
        <w:t>p</w:t>
      </w:r>
      <w:r w:rsidRPr="002F1095">
        <w:t>-value is greater than 0.05, which indicates that there is a 1</w:t>
      </w:r>
      <w:r w:rsidR="00093B85">
        <w:t xml:space="preserve"> </w:t>
      </w:r>
      <w:r w:rsidRPr="002F1095">
        <w:t>in</w:t>
      </w:r>
      <w:r w:rsidR="00093B85">
        <w:t xml:space="preserve"> </w:t>
      </w:r>
      <w:r w:rsidRPr="002F1095">
        <w:t xml:space="preserve">20 or greater probability of obtaining a value that large in magnitude by pure chance if the true coefficient of that variable is 0 and the rest of the model specification is correct. This is essentially the same standard of insignificance as having a </w:t>
      </w:r>
      <w:r w:rsidRPr="002F1095">
        <w:rPr>
          <w:i/>
          <w:iCs/>
        </w:rPr>
        <w:t>t</w:t>
      </w:r>
      <w:r w:rsidRPr="002F1095">
        <w:t>-statistic that is less than 2 in magnitude.</w:t>
      </w:r>
    </w:p>
    <w:p w14:paraId="0888387F" w14:textId="7D7778B5" w:rsidR="00456FFD" w:rsidRPr="002F1095" w:rsidRDefault="00456FFD" w:rsidP="005E5824">
      <w:pPr>
        <w:ind w:left="720"/>
      </w:pPr>
      <w:r w:rsidRPr="002F1095">
        <w:t xml:space="preserve">It is not required to keep a variable whose </w:t>
      </w:r>
      <w:r w:rsidRPr="002F1095">
        <w:rPr>
          <w:i/>
          <w:iCs/>
        </w:rPr>
        <w:t>p</w:t>
      </w:r>
      <w:r w:rsidRPr="002F1095">
        <w:t xml:space="preserve">-value is less than 0.05 or remove one whose </w:t>
      </w:r>
      <w:r w:rsidRPr="002F1095">
        <w:rPr>
          <w:i/>
          <w:iCs/>
        </w:rPr>
        <w:t>p</w:t>
      </w:r>
      <w:r w:rsidRPr="002F1095">
        <w:t xml:space="preserve">-value is greater than 0.05, although you should generally avoid including marginally significant variables without other supporting logic or design considerations. Sometimes a group of variables forms a logical unit that should not be broken up. For example, </w:t>
      </w:r>
      <w:r w:rsidR="006D310C">
        <w:t>a group of variables</w:t>
      </w:r>
      <w:r w:rsidR="006D310C" w:rsidRPr="002F1095">
        <w:t xml:space="preserve"> </w:t>
      </w:r>
      <w:r w:rsidRPr="002F1095">
        <w:t xml:space="preserve">might be dummy variables that are used to identify mutually exclusive treatments in a designed experiment, or </w:t>
      </w:r>
      <w:r w:rsidR="006D310C">
        <w:t xml:space="preserve">it </w:t>
      </w:r>
      <w:r w:rsidRPr="002F1095">
        <w:t xml:space="preserve">might be seasons of the year in a time series forecasting model. In such cases, you generally do not pick and choose among them individually </w:t>
      </w:r>
      <w:r w:rsidR="008E56ED">
        <w:t>based on</w:t>
      </w:r>
      <w:r w:rsidRPr="002F1095">
        <w:t xml:space="preserve"> their </w:t>
      </w:r>
      <w:r w:rsidRPr="002F1095">
        <w:rPr>
          <w:i/>
          <w:iCs/>
        </w:rPr>
        <w:t>p</w:t>
      </w:r>
      <w:r w:rsidRPr="002F1095">
        <w:t xml:space="preserve">-values and </w:t>
      </w:r>
      <w:r w:rsidRPr="002F1095">
        <w:rPr>
          <w:i/>
          <w:iCs/>
        </w:rPr>
        <w:t>t</w:t>
      </w:r>
      <w:r w:rsidRPr="002F1095">
        <w:t>-statistics.</w:t>
      </w:r>
    </w:p>
    <w:p w14:paraId="08F4878D" w14:textId="60AAB14C" w:rsidR="00456FFD" w:rsidRPr="002F1095" w:rsidRDefault="00456FFD" w:rsidP="006D310C">
      <w:pPr>
        <w:pStyle w:val="ListParagraph"/>
        <w:numPr>
          <w:ilvl w:val="0"/>
          <w:numId w:val="2"/>
        </w:numPr>
        <w:spacing w:before="0"/>
        <w:contextualSpacing w:val="0"/>
      </w:pPr>
      <w:r w:rsidRPr="002F1095">
        <w:t>LOWER AND UPPER CONFIDENCE LIMITS:</w:t>
      </w:r>
      <w:r w:rsidR="008E56ED">
        <w:t xml:space="preserve"> </w:t>
      </w:r>
      <w:r w:rsidRPr="002F1095">
        <w:t xml:space="preserve">Lower and upper confidence limits for a coefficient estimate are obtained by adding or subtracting the appropriate number of standard errors for that confidence level. </w:t>
      </w:r>
      <w:r w:rsidR="003F064C">
        <w:t>These limits</w:t>
      </w:r>
      <w:r w:rsidR="003F064C" w:rsidRPr="002F1095">
        <w:t xml:space="preserve"> </w:t>
      </w:r>
      <w:r w:rsidRPr="002F1095">
        <w:t>can be roughly interpreted as intervals within which there is a given probability that the true value lies within that range.</w:t>
      </w:r>
    </w:p>
    <w:p w14:paraId="43C3B103" w14:textId="0F609A09" w:rsidR="00456FFD" w:rsidRDefault="00456FFD" w:rsidP="006D310C">
      <w:pPr>
        <w:ind w:left="720"/>
      </w:pPr>
      <w:r w:rsidRPr="002F1095">
        <w:t xml:space="preserve">95% confidence limits, which are commonly reported by default, are roughly equal to the coefficient estimate plus or minus 2 standard errors. You may sometimes </w:t>
      </w:r>
      <w:r w:rsidR="00A12630">
        <w:t>want</w:t>
      </w:r>
      <w:r w:rsidR="00A12630" w:rsidRPr="002F1095">
        <w:t xml:space="preserve"> </w:t>
      </w:r>
      <w:r w:rsidRPr="002F1095">
        <w:t>to present intervals for other confidence levels, depending on the decision context. For example, a 50% confidence interval (a coin flip) is plus or minus two-thirds of a standard error.</w:t>
      </w:r>
    </w:p>
    <w:p w14:paraId="456A8F4A" w14:textId="77777777" w:rsidR="00456FFD" w:rsidRDefault="00456FFD" w:rsidP="00456FFD">
      <w:pPr>
        <w:pStyle w:val="Heading2"/>
      </w:pPr>
      <w:bookmarkStart w:id="15" w:name="_Toc53400677"/>
      <w:r>
        <w:t>Model Summaries</w:t>
      </w:r>
      <w:bookmarkEnd w:id="15"/>
    </w:p>
    <w:p w14:paraId="2407E380" w14:textId="58528034" w:rsidR="00456FFD" w:rsidRPr="002F1095" w:rsidRDefault="00456FFD" w:rsidP="00BD77B4">
      <w:r w:rsidRPr="002F1095">
        <w:t xml:space="preserve">Clicking the </w:t>
      </w:r>
      <w:r w:rsidR="00B307FB">
        <w:t>“</w:t>
      </w:r>
      <w:r w:rsidRPr="002F1095">
        <w:t>Model Summaries</w:t>
      </w:r>
      <w:r w:rsidR="00B307FB">
        <w:t>”</w:t>
      </w:r>
      <w:r w:rsidRPr="002F1095">
        <w:t xml:space="preserve"> button will allow for a side-by-side comparison of model statistics for all models fitted to the same dependent variable. </w:t>
      </w:r>
    </w:p>
    <w:p w14:paraId="2C59B075" w14:textId="08D185D9" w:rsidR="00456FFD" w:rsidRPr="002F1095" w:rsidRDefault="00B70A1A" w:rsidP="00BD77B4">
      <w:r w:rsidRPr="002F1095">
        <w:lastRenderedPageBreak/>
        <w:t>Th</w:t>
      </w:r>
      <w:r>
        <w:t xml:space="preserve">e </w:t>
      </w:r>
      <w:r w:rsidR="00D325B0">
        <w:t>“Model Summaries”</w:t>
      </w:r>
      <w:r w:rsidRPr="002F1095">
        <w:t xml:space="preserve"> </w:t>
      </w:r>
      <w:r w:rsidR="00456FFD" w:rsidRPr="002F1095">
        <w:t xml:space="preserve">worksheet, which is located to the right of all analysis worksheets, is updated with every new regression model and provides an audit trail for all models that have been fitted in </w:t>
      </w:r>
      <w:r w:rsidR="00D325B0">
        <w:t>the lifetime of the Excel file</w:t>
      </w:r>
      <w:r w:rsidR="00456FFD" w:rsidRPr="002F1095">
        <w:t xml:space="preserve">, even those </w:t>
      </w:r>
      <w:r w:rsidR="005E737F">
        <w:t xml:space="preserve">models </w:t>
      </w:r>
      <w:r w:rsidR="00456FFD" w:rsidRPr="002F1095">
        <w:t>whose output worksheets may have been subsequently deleted. It is recommended that you not delete model worksheets to maintain the entire audit trail.</w:t>
      </w:r>
    </w:p>
    <w:p w14:paraId="4F2221A0" w14:textId="77777777" w:rsidR="00456FFD" w:rsidRPr="002F1095" w:rsidRDefault="00456FFD" w:rsidP="00BD77B4">
      <w:r w:rsidRPr="002F1095">
        <w:t>Only models fitted to the same dependent variable are displayed side by side.</w:t>
      </w:r>
    </w:p>
    <w:p w14:paraId="637D54D9" w14:textId="77777777" w:rsidR="00456FFD" w:rsidRDefault="00456FFD" w:rsidP="00456FFD">
      <w:pPr>
        <w:pStyle w:val="Heading2"/>
      </w:pPr>
      <w:bookmarkStart w:id="16" w:name="_Toc53400678"/>
      <w:r>
        <w:t>Instructions/Help</w:t>
      </w:r>
      <w:bookmarkEnd w:id="16"/>
    </w:p>
    <w:p w14:paraId="08652220" w14:textId="640A40F6" w:rsidR="00456FFD" w:rsidRDefault="00456FFD" w:rsidP="00456FFD">
      <w:r w:rsidRPr="002F1095">
        <w:t xml:space="preserve">Clicking the </w:t>
      </w:r>
      <w:r w:rsidR="005E737F">
        <w:t>“</w:t>
      </w:r>
      <w:r w:rsidRPr="002F1095">
        <w:t>Instructions/Help button</w:t>
      </w:r>
      <w:r w:rsidR="005E737F">
        <w:t>”</w:t>
      </w:r>
      <w:r w:rsidRPr="002F1095">
        <w:t xml:space="preserve"> </w:t>
      </w:r>
      <w:r w:rsidR="005E737F">
        <w:t>opens</w:t>
      </w:r>
      <w:r w:rsidRPr="002F1095">
        <w:t xml:space="preserve"> an abbreviated set of instructions on how to use the </w:t>
      </w:r>
      <w:r w:rsidR="005E737F">
        <w:t>Program Evaluation Toolkit Calculator</w:t>
      </w:r>
      <w:r w:rsidRPr="002F1095">
        <w:t xml:space="preserve">. The current version number of the tool is also </w:t>
      </w:r>
      <w:r w:rsidR="005E737F">
        <w:t>displayed</w:t>
      </w:r>
      <w:r w:rsidRPr="002F1095">
        <w:t>.</w:t>
      </w:r>
    </w:p>
    <w:p w14:paraId="59538C89" w14:textId="26494383" w:rsidR="007D119D" w:rsidRPr="002F1095" w:rsidRDefault="007D119D" w:rsidP="007D119D"/>
    <w:p w14:paraId="321C5E8E" w14:textId="77777777" w:rsidR="007D119D" w:rsidRDefault="007D119D" w:rsidP="00456FFD"/>
    <w:sectPr w:rsidR="007D119D" w:rsidSect="00BD77B4">
      <w:pgSz w:w="12240" w:h="15840"/>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244D5" w14:textId="77777777" w:rsidR="0000364F" w:rsidRDefault="0000364F" w:rsidP="00014592">
      <w:pPr>
        <w:spacing w:after="0"/>
      </w:pPr>
      <w:r>
        <w:separator/>
      </w:r>
    </w:p>
  </w:endnote>
  <w:endnote w:type="continuationSeparator" w:id="0">
    <w:p w14:paraId="2E2D0AF3" w14:textId="77777777" w:rsidR="0000364F" w:rsidRDefault="0000364F" w:rsidP="00014592">
      <w:pPr>
        <w:spacing w:after="0"/>
      </w:pPr>
      <w:r>
        <w:continuationSeparator/>
      </w:r>
    </w:p>
  </w:endnote>
  <w:endnote w:type="continuationNotice" w:id="1">
    <w:p w14:paraId="4374C294" w14:textId="77777777" w:rsidR="0000364F" w:rsidRDefault="00003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20C2F" w14:textId="77777777" w:rsidR="003F3899" w:rsidRPr="00B64F96" w:rsidRDefault="003F3899" w:rsidP="003F3899">
    <w:pPr>
      <w:tabs>
        <w:tab w:val="center" w:pos="6930"/>
      </w:tabs>
      <w:spacing w:before="160" w:after="0"/>
      <w:jc w:val="center"/>
      <w:rPr>
        <w:rFonts w:eastAsia="Arial" w:cs="Times New Roman"/>
        <w:color w:val="576F7F"/>
      </w:rPr>
    </w:pPr>
    <w:r w:rsidRPr="004C0870">
      <w:rPr>
        <w:rFonts w:eastAsia="Arial" w:cs="Times New Roman"/>
        <w:color w:val="576F7F"/>
      </w:rPr>
      <w:t>Regional Educational Laboratory Central</w:t>
    </w:r>
    <w:r w:rsidRPr="004C0870">
      <w:rPr>
        <w:rFonts w:eastAsia="Arial" w:cs="Times New Roman"/>
        <w:color w:val="576F7F"/>
      </w:rPr>
      <w:br/>
      <w:t>Colorado • Kansas • Missouri • Nebraska • North Dakota • South Dakota • Wyoming</w:t>
    </w:r>
    <w:r w:rsidRPr="004C0870">
      <w:rPr>
        <w:rFonts w:eastAsia="Arial" w:cs="Times New Roman"/>
        <w:color w:val="576F7F"/>
      </w:rPr>
      <w:br/>
    </w:r>
    <w:hyperlink r:id="rId1" w:history="1">
      <w:r w:rsidRPr="004C0870">
        <w:rPr>
          <w:rFonts w:eastAsia="Arial" w:cs="Times New Roman"/>
          <w:color w:val="576F7F"/>
          <w:u w:val="single"/>
        </w:rPr>
        <w:t>RELCentral@marzanoresearch.com</w:t>
      </w:r>
    </w:hyperlink>
  </w:p>
  <w:p w14:paraId="1C719F9C" w14:textId="3D3329DD" w:rsidR="002821AA" w:rsidRDefault="003F3899" w:rsidP="003F3899">
    <w:pPr>
      <w:pStyle w:val="Footer"/>
      <w:jc w:val="right"/>
    </w:pPr>
    <w:r>
      <w:fldChar w:fldCharType="begin"/>
    </w:r>
    <w:r>
      <w:instrText xml:space="preserve"> PAGE  \* Arabic  \* MERGEFORMAT </w:instrText>
    </w:r>
    <w:r>
      <w:fldChar w:fldCharType="separate"/>
    </w:r>
    <w:r w:rsidR="00296374">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20E6" w14:textId="77777777" w:rsidR="002821AA" w:rsidRDefault="00282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FE968" w14:textId="77777777" w:rsidR="0000364F" w:rsidRDefault="0000364F" w:rsidP="00014592">
      <w:pPr>
        <w:spacing w:after="0"/>
      </w:pPr>
      <w:r>
        <w:separator/>
      </w:r>
    </w:p>
  </w:footnote>
  <w:footnote w:type="continuationSeparator" w:id="0">
    <w:p w14:paraId="455F5C72" w14:textId="77777777" w:rsidR="0000364F" w:rsidRDefault="0000364F" w:rsidP="00014592">
      <w:pPr>
        <w:spacing w:after="0"/>
      </w:pPr>
      <w:r>
        <w:continuationSeparator/>
      </w:r>
    </w:p>
  </w:footnote>
  <w:footnote w:type="continuationNotice" w:id="1">
    <w:p w14:paraId="67F6CCE6" w14:textId="77777777" w:rsidR="0000364F" w:rsidRDefault="0000364F">
      <w:pPr>
        <w:spacing w:after="0"/>
      </w:pPr>
    </w:p>
  </w:footnote>
  <w:footnote w:id="2">
    <w:p w14:paraId="4092D9C3" w14:textId="6238E436" w:rsidR="006B2522" w:rsidRPr="00C675BD" w:rsidRDefault="006B2522">
      <w:pPr>
        <w:pStyle w:val="FootnoteText"/>
      </w:pPr>
      <w:r>
        <w:rPr>
          <w:rStyle w:val="FootnoteReference"/>
        </w:rPr>
        <w:footnoteRef/>
      </w:r>
      <w:r>
        <w:t xml:space="preserve"> </w:t>
      </w:r>
      <w:proofErr w:type="spellStart"/>
      <w:r>
        <w:t>AdamO</w:t>
      </w:r>
      <w:proofErr w:type="spellEnd"/>
      <w:r>
        <w:t>. (</w:t>
      </w:r>
      <w:r w:rsidR="00FB4218">
        <w:t xml:space="preserve">2013, April 30). </w:t>
      </w:r>
      <w:r w:rsidR="00FB4218">
        <w:rPr>
          <w:i/>
          <w:iCs/>
        </w:rPr>
        <w:t>A fitted regression model uses the parameters to generate point estimate predictions which are the means of observed responses</w:t>
      </w:r>
      <w:r w:rsidR="000C2158">
        <w:rPr>
          <w:i/>
          <w:iCs/>
        </w:rPr>
        <w:t xml:space="preserve"> </w:t>
      </w:r>
      <w:r w:rsidR="000C2158">
        <w:t xml:space="preserve">[Comment on the online forum post </w:t>
      </w:r>
      <w:r w:rsidR="00C675BD">
        <w:rPr>
          <w:i/>
          <w:iCs/>
        </w:rPr>
        <w:t>What is residual standard error?</w:t>
      </w:r>
      <w:r w:rsidR="00C675BD" w:rsidRPr="00336FBC">
        <w:t>]</w:t>
      </w:r>
      <w:r w:rsidR="00814A84">
        <w:t>.</w:t>
      </w:r>
      <w:r w:rsidR="003168C7" w:rsidRPr="00625544">
        <w:t xml:space="preserve"> </w:t>
      </w:r>
      <w:r w:rsidR="003168C7">
        <w:t xml:space="preserve">StackExchange. </w:t>
      </w:r>
      <w:hyperlink r:id="rId1" w:history="1">
        <w:r w:rsidR="003168C7" w:rsidRPr="00331F41">
          <w:rPr>
            <w:rStyle w:val="Hyperlink"/>
          </w:rPr>
          <w:t>https://stats.stackexchange.com/questions/57746/what-is-residual-standard-error</w:t>
        </w:r>
      </w:hyperlink>
      <w:r w:rsidR="003168C7">
        <w:t xml:space="preserve">. </w:t>
      </w:r>
    </w:p>
  </w:footnote>
  <w:footnote w:id="3">
    <w:p w14:paraId="70FD1B21" w14:textId="0A45178C" w:rsidR="00661863" w:rsidRPr="005D2D80" w:rsidRDefault="00661863">
      <w:pPr>
        <w:pStyle w:val="FootnoteText"/>
      </w:pPr>
      <w:r>
        <w:rPr>
          <w:rStyle w:val="FootnoteReference"/>
        </w:rPr>
        <w:footnoteRef/>
      </w:r>
      <w:r>
        <w:t xml:space="preserve"> Grace-Martin, K. (</w:t>
      </w:r>
      <w:r w:rsidR="005D2D80">
        <w:t xml:space="preserve">n.d.) </w:t>
      </w:r>
      <w:r w:rsidR="005D2D80">
        <w:rPr>
          <w:i/>
          <w:iCs/>
        </w:rPr>
        <w:t>How to interpret the intercept in 6 linear regression examples</w:t>
      </w:r>
      <w:r w:rsidR="005D2D80" w:rsidRPr="00336FBC">
        <w:t xml:space="preserve">. </w:t>
      </w:r>
      <w:r w:rsidR="005D2D80">
        <w:t xml:space="preserve">The Analysis Factor. </w:t>
      </w:r>
      <w:hyperlink r:id="rId2" w:history="1">
        <w:r w:rsidR="005D2D80" w:rsidRPr="00331F41">
          <w:rPr>
            <w:rStyle w:val="Hyperlink"/>
          </w:rPr>
          <w:t>https://www.theanalysisfactor.com/interpret-the-intercept/</w:t>
        </w:r>
      </w:hyperlink>
      <w:r w:rsidR="005D2D8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B83D" w14:textId="77777777" w:rsidR="002473E9" w:rsidRDefault="2EDAEA7C" w:rsidP="00E55047">
    <w:pPr>
      <w:pStyle w:val="Header"/>
      <w:spacing w:after="360"/>
    </w:pPr>
    <w:r>
      <w:rPr>
        <w:noProof/>
      </w:rPr>
      <w:drawing>
        <wp:inline distT="0" distB="0" distL="0" distR="0" wp14:anchorId="46711721" wp14:editId="049B99A9">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6508" w14:textId="77777777" w:rsidR="00014592" w:rsidRPr="00E55047" w:rsidRDefault="2EDAEA7C" w:rsidP="00E55047">
    <w:pPr>
      <w:pStyle w:val="Header"/>
      <w:spacing w:after="360"/>
    </w:pPr>
    <w:r>
      <w:rPr>
        <w:noProof/>
      </w:rPr>
      <w:drawing>
        <wp:inline distT="0" distB="0" distL="0" distR="0" wp14:anchorId="0AFB7FA6" wp14:editId="4D28A5B0">
          <wp:extent cx="2327437" cy="548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40466"/>
    <w:multiLevelType w:val="hybridMultilevel"/>
    <w:tmpl w:val="E8A2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01E5C"/>
    <w:multiLevelType w:val="hybridMultilevel"/>
    <w:tmpl w:val="F508B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FD"/>
    <w:rsid w:val="00002B0F"/>
    <w:rsid w:val="0000364F"/>
    <w:rsid w:val="0000419A"/>
    <w:rsid w:val="00011683"/>
    <w:rsid w:val="00014592"/>
    <w:rsid w:val="00016C7C"/>
    <w:rsid w:val="00026398"/>
    <w:rsid w:val="0003510E"/>
    <w:rsid w:val="000423B9"/>
    <w:rsid w:val="00043C7C"/>
    <w:rsid w:val="0005244F"/>
    <w:rsid w:val="0005334A"/>
    <w:rsid w:val="000659A4"/>
    <w:rsid w:val="00065F6A"/>
    <w:rsid w:val="0007766F"/>
    <w:rsid w:val="0008134A"/>
    <w:rsid w:val="00086847"/>
    <w:rsid w:val="00087E31"/>
    <w:rsid w:val="00093B85"/>
    <w:rsid w:val="000A5863"/>
    <w:rsid w:val="000A7F0E"/>
    <w:rsid w:val="000C0026"/>
    <w:rsid w:val="000C10D3"/>
    <w:rsid w:val="000C2158"/>
    <w:rsid w:val="000C57F4"/>
    <w:rsid w:val="000C7216"/>
    <w:rsid w:val="000D22A9"/>
    <w:rsid w:val="000D672B"/>
    <w:rsid w:val="000D69B6"/>
    <w:rsid w:val="000E2402"/>
    <w:rsid w:val="000E449B"/>
    <w:rsid w:val="000F0ED2"/>
    <w:rsid w:val="000F3B39"/>
    <w:rsid w:val="0010209D"/>
    <w:rsid w:val="00102279"/>
    <w:rsid w:val="00110B01"/>
    <w:rsid w:val="00115ECB"/>
    <w:rsid w:val="00115F84"/>
    <w:rsid w:val="001245DD"/>
    <w:rsid w:val="00124841"/>
    <w:rsid w:val="00124EC4"/>
    <w:rsid w:val="00127CB5"/>
    <w:rsid w:val="00130BFC"/>
    <w:rsid w:val="00132E72"/>
    <w:rsid w:val="001360EF"/>
    <w:rsid w:val="00136133"/>
    <w:rsid w:val="0014022D"/>
    <w:rsid w:val="00141F70"/>
    <w:rsid w:val="00146DFB"/>
    <w:rsid w:val="001501C8"/>
    <w:rsid w:val="00150503"/>
    <w:rsid w:val="00152A9D"/>
    <w:rsid w:val="00160BB4"/>
    <w:rsid w:val="00164385"/>
    <w:rsid w:val="00180FB7"/>
    <w:rsid w:val="0018509C"/>
    <w:rsid w:val="001878B3"/>
    <w:rsid w:val="00191373"/>
    <w:rsid w:val="001A23FD"/>
    <w:rsid w:val="001A2CA7"/>
    <w:rsid w:val="001B0365"/>
    <w:rsid w:val="001B5B50"/>
    <w:rsid w:val="001C09AB"/>
    <w:rsid w:val="001C3207"/>
    <w:rsid w:val="001D7A79"/>
    <w:rsid w:val="001E2857"/>
    <w:rsid w:val="001F4F39"/>
    <w:rsid w:val="001F69F5"/>
    <w:rsid w:val="00203C63"/>
    <w:rsid w:val="0020551C"/>
    <w:rsid w:val="002116BA"/>
    <w:rsid w:val="0021181C"/>
    <w:rsid w:val="00211932"/>
    <w:rsid w:val="0021622B"/>
    <w:rsid w:val="0021683D"/>
    <w:rsid w:val="00222E4F"/>
    <w:rsid w:val="00224CC8"/>
    <w:rsid w:val="00225C0E"/>
    <w:rsid w:val="00230881"/>
    <w:rsid w:val="002348F0"/>
    <w:rsid w:val="0023685B"/>
    <w:rsid w:val="00240195"/>
    <w:rsid w:val="002473E9"/>
    <w:rsid w:val="00252954"/>
    <w:rsid w:val="00257D12"/>
    <w:rsid w:val="00264821"/>
    <w:rsid w:val="00273975"/>
    <w:rsid w:val="002821AA"/>
    <w:rsid w:val="00285751"/>
    <w:rsid w:val="00291F91"/>
    <w:rsid w:val="00292307"/>
    <w:rsid w:val="00296374"/>
    <w:rsid w:val="002A1120"/>
    <w:rsid w:val="002A1CCC"/>
    <w:rsid w:val="002B0B2D"/>
    <w:rsid w:val="002B1448"/>
    <w:rsid w:val="002B1943"/>
    <w:rsid w:val="002B6716"/>
    <w:rsid w:val="002B778A"/>
    <w:rsid w:val="002B79C6"/>
    <w:rsid w:val="002C224B"/>
    <w:rsid w:val="002C25B3"/>
    <w:rsid w:val="002C2D45"/>
    <w:rsid w:val="002C5C05"/>
    <w:rsid w:val="002C5FEB"/>
    <w:rsid w:val="002D31BC"/>
    <w:rsid w:val="002E2A1D"/>
    <w:rsid w:val="002E5F9D"/>
    <w:rsid w:val="002F1095"/>
    <w:rsid w:val="003036A1"/>
    <w:rsid w:val="00306B5F"/>
    <w:rsid w:val="00306C0F"/>
    <w:rsid w:val="00306F52"/>
    <w:rsid w:val="003168C7"/>
    <w:rsid w:val="00325392"/>
    <w:rsid w:val="00327807"/>
    <w:rsid w:val="00333FD3"/>
    <w:rsid w:val="00336FBC"/>
    <w:rsid w:val="00341768"/>
    <w:rsid w:val="0034335F"/>
    <w:rsid w:val="003438E3"/>
    <w:rsid w:val="00361413"/>
    <w:rsid w:val="0036740D"/>
    <w:rsid w:val="003923F1"/>
    <w:rsid w:val="00396533"/>
    <w:rsid w:val="003A14B2"/>
    <w:rsid w:val="003A1B48"/>
    <w:rsid w:val="003A32CF"/>
    <w:rsid w:val="003B0F41"/>
    <w:rsid w:val="003D04A3"/>
    <w:rsid w:val="003D0EE5"/>
    <w:rsid w:val="003D7F71"/>
    <w:rsid w:val="003E1943"/>
    <w:rsid w:val="003F064C"/>
    <w:rsid w:val="003F3899"/>
    <w:rsid w:val="003F454B"/>
    <w:rsid w:val="003F4FF2"/>
    <w:rsid w:val="00402507"/>
    <w:rsid w:val="00404EF8"/>
    <w:rsid w:val="00405CC8"/>
    <w:rsid w:val="0042208A"/>
    <w:rsid w:val="00423355"/>
    <w:rsid w:val="00432C45"/>
    <w:rsid w:val="00436600"/>
    <w:rsid w:val="00442AAB"/>
    <w:rsid w:val="00443DC8"/>
    <w:rsid w:val="00444AD0"/>
    <w:rsid w:val="004470AB"/>
    <w:rsid w:val="00456FFD"/>
    <w:rsid w:val="00457E3E"/>
    <w:rsid w:val="00461D21"/>
    <w:rsid w:val="00472114"/>
    <w:rsid w:val="0047376E"/>
    <w:rsid w:val="00474405"/>
    <w:rsid w:val="00475DF9"/>
    <w:rsid w:val="00476449"/>
    <w:rsid w:val="004772E7"/>
    <w:rsid w:val="004817DE"/>
    <w:rsid w:val="00484F2F"/>
    <w:rsid w:val="00487A14"/>
    <w:rsid w:val="004A306F"/>
    <w:rsid w:val="004A4AA3"/>
    <w:rsid w:val="004B1240"/>
    <w:rsid w:val="004B1788"/>
    <w:rsid w:val="004C1990"/>
    <w:rsid w:val="004C224B"/>
    <w:rsid w:val="004D3FB5"/>
    <w:rsid w:val="004D5C5D"/>
    <w:rsid w:val="004F0662"/>
    <w:rsid w:val="005041A7"/>
    <w:rsid w:val="005129C4"/>
    <w:rsid w:val="0051659C"/>
    <w:rsid w:val="00521D15"/>
    <w:rsid w:val="00523DE0"/>
    <w:rsid w:val="00524662"/>
    <w:rsid w:val="00540EEE"/>
    <w:rsid w:val="00545013"/>
    <w:rsid w:val="005600CD"/>
    <w:rsid w:val="005606E0"/>
    <w:rsid w:val="00560C49"/>
    <w:rsid w:val="005653C0"/>
    <w:rsid w:val="005662B9"/>
    <w:rsid w:val="00566DA1"/>
    <w:rsid w:val="00566E58"/>
    <w:rsid w:val="005714F4"/>
    <w:rsid w:val="00577F22"/>
    <w:rsid w:val="00586ACB"/>
    <w:rsid w:val="00591E3A"/>
    <w:rsid w:val="00596902"/>
    <w:rsid w:val="005A01C0"/>
    <w:rsid w:val="005A0B5B"/>
    <w:rsid w:val="005A3E1B"/>
    <w:rsid w:val="005A4B59"/>
    <w:rsid w:val="005B0405"/>
    <w:rsid w:val="005B7185"/>
    <w:rsid w:val="005D2D80"/>
    <w:rsid w:val="005D5A28"/>
    <w:rsid w:val="005E2D02"/>
    <w:rsid w:val="005E5824"/>
    <w:rsid w:val="005E737F"/>
    <w:rsid w:val="006079AC"/>
    <w:rsid w:val="00610F70"/>
    <w:rsid w:val="006117D7"/>
    <w:rsid w:val="006168E9"/>
    <w:rsid w:val="006206FF"/>
    <w:rsid w:val="00622B31"/>
    <w:rsid w:val="00625544"/>
    <w:rsid w:val="0064077B"/>
    <w:rsid w:val="006464E0"/>
    <w:rsid w:val="00646899"/>
    <w:rsid w:val="0065034F"/>
    <w:rsid w:val="0065567D"/>
    <w:rsid w:val="00657071"/>
    <w:rsid w:val="00661863"/>
    <w:rsid w:val="00661BB7"/>
    <w:rsid w:val="00663C76"/>
    <w:rsid w:val="00667D66"/>
    <w:rsid w:val="00670FA9"/>
    <w:rsid w:val="006739F5"/>
    <w:rsid w:val="006850D3"/>
    <w:rsid w:val="0069247B"/>
    <w:rsid w:val="0069417A"/>
    <w:rsid w:val="006A7004"/>
    <w:rsid w:val="006A774C"/>
    <w:rsid w:val="006B037A"/>
    <w:rsid w:val="006B2522"/>
    <w:rsid w:val="006B6D6F"/>
    <w:rsid w:val="006C154A"/>
    <w:rsid w:val="006D310C"/>
    <w:rsid w:val="006E11EB"/>
    <w:rsid w:val="006E5241"/>
    <w:rsid w:val="006F44CD"/>
    <w:rsid w:val="007006E0"/>
    <w:rsid w:val="0071605A"/>
    <w:rsid w:val="00716B53"/>
    <w:rsid w:val="00717660"/>
    <w:rsid w:val="00723412"/>
    <w:rsid w:val="00727881"/>
    <w:rsid w:val="00733AB3"/>
    <w:rsid w:val="00741448"/>
    <w:rsid w:val="00745EBD"/>
    <w:rsid w:val="00751415"/>
    <w:rsid w:val="007615E8"/>
    <w:rsid w:val="00762C89"/>
    <w:rsid w:val="00775E0D"/>
    <w:rsid w:val="00775F20"/>
    <w:rsid w:val="00777F77"/>
    <w:rsid w:val="00791CBE"/>
    <w:rsid w:val="00791E7A"/>
    <w:rsid w:val="0079338B"/>
    <w:rsid w:val="007954C4"/>
    <w:rsid w:val="007A03AB"/>
    <w:rsid w:val="007A4628"/>
    <w:rsid w:val="007A7DD3"/>
    <w:rsid w:val="007B2104"/>
    <w:rsid w:val="007B4B8A"/>
    <w:rsid w:val="007C3EDC"/>
    <w:rsid w:val="007C5BE2"/>
    <w:rsid w:val="007D0481"/>
    <w:rsid w:val="007D0743"/>
    <w:rsid w:val="007D119D"/>
    <w:rsid w:val="007E27B5"/>
    <w:rsid w:val="00800463"/>
    <w:rsid w:val="008015EB"/>
    <w:rsid w:val="008105F0"/>
    <w:rsid w:val="00811E0F"/>
    <w:rsid w:val="00814A84"/>
    <w:rsid w:val="00815764"/>
    <w:rsid w:val="008468C7"/>
    <w:rsid w:val="0085006B"/>
    <w:rsid w:val="00863A51"/>
    <w:rsid w:val="0086538D"/>
    <w:rsid w:val="00874E55"/>
    <w:rsid w:val="008800D7"/>
    <w:rsid w:val="008861F2"/>
    <w:rsid w:val="00886DD7"/>
    <w:rsid w:val="0089062A"/>
    <w:rsid w:val="008936A3"/>
    <w:rsid w:val="00896FE9"/>
    <w:rsid w:val="008A2493"/>
    <w:rsid w:val="008A59AD"/>
    <w:rsid w:val="008B213F"/>
    <w:rsid w:val="008B2202"/>
    <w:rsid w:val="008C3910"/>
    <w:rsid w:val="008C467E"/>
    <w:rsid w:val="008C52AE"/>
    <w:rsid w:val="008D0A6B"/>
    <w:rsid w:val="008D30D4"/>
    <w:rsid w:val="008E56ED"/>
    <w:rsid w:val="00906127"/>
    <w:rsid w:val="009159C9"/>
    <w:rsid w:val="00923D26"/>
    <w:rsid w:val="0094229B"/>
    <w:rsid w:val="009426D4"/>
    <w:rsid w:val="0094782D"/>
    <w:rsid w:val="00947DA0"/>
    <w:rsid w:val="009508BD"/>
    <w:rsid w:val="00950AC0"/>
    <w:rsid w:val="00953990"/>
    <w:rsid w:val="0096181E"/>
    <w:rsid w:val="009740B6"/>
    <w:rsid w:val="00990106"/>
    <w:rsid w:val="00991AC5"/>
    <w:rsid w:val="0099580E"/>
    <w:rsid w:val="0099610D"/>
    <w:rsid w:val="00997977"/>
    <w:rsid w:val="009A0A23"/>
    <w:rsid w:val="009A4800"/>
    <w:rsid w:val="009B1A3D"/>
    <w:rsid w:val="009B222C"/>
    <w:rsid w:val="009B5218"/>
    <w:rsid w:val="009B75F2"/>
    <w:rsid w:val="009D7A8B"/>
    <w:rsid w:val="009E246A"/>
    <w:rsid w:val="009E5A92"/>
    <w:rsid w:val="009F1BE1"/>
    <w:rsid w:val="009F5DB5"/>
    <w:rsid w:val="00A0118E"/>
    <w:rsid w:val="00A03B0D"/>
    <w:rsid w:val="00A04F86"/>
    <w:rsid w:val="00A11DB2"/>
    <w:rsid w:val="00A12630"/>
    <w:rsid w:val="00A13B21"/>
    <w:rsid w:val="00A13FB9"/>
    <w:rsid w:val="00A22F1F"/>
    <w:rsid w:val="00A34CE4"/>
    <w:rsid w:val="00A54326"/>
    <w:rsid w:val="00A56DEA"/>
    <w:rsid w:val="00A56FA6"/>
    <w:rsid w:val="00A57B52"/>
    <w:rsid w:val="00A62589"/>
    <w:rsid w:val="00A66014"/>
    <w:rsid w:val="00A74334"/>
    <w:rsid w:val="00A8389C"/>
    <w:rsid w:val="00A926E7"/>
    <w:rsid w:val="00A93D2B"/>
    <w:rsid w:val="00A96803"/>
    <w:rsid w:val="00A96AA8"/>
    <w:rsid w:val="00AA655D"/>
    <w:rsid w:val="00AA7B35"/>
    <w:rsid w:val="00AA7F2D"/>
    <w:rsid w:val="00AB788E"/>
    <w:rsid w:val="00AC13B2"/>
    <w:rsid w:val="00AD00DC"/>
    <w:rsid w:val="00AD627F"/>
    <w:rsid w:val="00AE2516"/>
    <w:rsid w:val="00AE4592"/>
    <w:rsid w:val="00AE7149"/>
    <w:rsid w:val="00AF0F31"/>
    <w:rsid w:val="00AF0FA8"/>
    <w:rsid w:val="00AF2C7F"/>
    <w:rsid w:val="00B01B57"/>
    <w:rsid w:val="00B04332"/>
    <w:rsid w:val="00B05D2B"/>
    <w:rsid w:val="00B1264D"/>
    <w:rsid w:val="00B175E8"/>
    <w:rsid w:val="00B246C8"/>
    <w:rsid w:val="00B307FB"/>
    <w:rsid w:val="00B35E2E"/>
    <w:rsid w:val="00B36100"/>
    <w:rsid w:val="00B428A7"/>
    <w:rsid w:val="00B4489F"/>
    <w:rsid w:val="00B453B2"/>
    <w:rsid w:val="00B4546D"/>
    <w:rsid w:val="00B46FAC"/>
    <w:rsid w:val="00B50E71"/>
    <w:rsid w:val="00B5550D"/>
    <w:rsid w:val="00B57208"/>
    <w:rsid w:val="00B60CD8"/>
    <w:rsid w:val="00B62195"/>
    <w:rsid w:val="00B62769"/>
    <w:rsid w:val="00B66237"/>
    <w:rsid w:val="00B6756F"/>
    <w:rsid w:val="00B70A1A"/>
    <w:rsid w:val="00B84D56"/>
    <w:rsid w:val="00B86B39"/>
    <w:rsid w:val="00B8782E"/>
    <w:rsid w:val="00B9079B"/>
    <w:rsid w:val="00BA2BEA"/>
    <w:rsid w:val="00BA3AA4"/>
    <w:rsid w:val="00BA4E26"/>
    <w:rsid w:val="00BC45B6"/>
    <w:rsid w:val="00BD77B4"/>
    <w:rsid w:val="00BE244B"/>
    <w:rsid w:val="00BE4336"/>
    <w:rsid w:val="00BF082B"/>
    <w:rsid w:val="00BF408D"/>
    <w:rsid w:val="00BF5335"/>
    <w:rsid w:val="00BF5D95"/>
    <w:rsid w:val="00C026F3"/>
    <w:rsid w:val="00C103DD"/>
    <w:rsid w:val="00C128E0"/>
    <w:rsid w:val="00C27061"/>
    <w:rsid w:val="00C304BF"/>
    <w:rsid w:val="00C306F5"/>
    <w:rsid w:val="00C31B26"/>
    <w:rsid w:val="00C3414A"/>
    <w:rsid w:val="00C37EE7"/>
    <w:rsid w:val="00C46077"/>
    <w:rsid w:val="00C65211"/>
    <w:rsid w:val="00C6560A"/>
    <w:rsid w:val="00C675BD"/>
    <w:rsid w:val="00C7057F"/>
    <w:rsid w:val="00C7065C"/>
    <w:rsid w:val="00C71851"/>
    <w:rsid w:val="00C72794"/>
    <w:rsid w:val="00C82953"/>
    <w:rsid w:val="00C87FB3"/>
    <w:rsid w:val="00C94BD1"/>
    <w:rsid w:val="00CA426E"/>
    <w:rsid w:val="00CB0778"/>
    <w:rsid w:val="00CB4FC7"/>
    <w:rsid w:val="00CB6495"/>
    <w:rsid w:val="00CD5D09"/>
    <w:rsid w:val="00CE3FC1"/>
    <w:rsid w:val="00CE44AB"/>
    <w:rsid w:val="00CF3CBB"/>
    <w:rsid w:val="00D06DC4"/>
    <w:rsid w:val="00D121C6"/>
    <w:rsid w:val="00D15736"/>
    <w:rsid w:val="00D16CFE"/>
    <w:rsid w:val="00D3183B"/>
    <w:rsid w:val="00D325B0"/>
    <w:rsid w:val="00D34FD6"/>
    <w:rsid w:val="00D358E4"/>
    <w:rsid w:val="00D40392"/>
    <w:rsid w:val="00D41914"/>
    <w:rsid w:val="00D54F4C"/>
    <w:rsid w:val="00D7783C"/>
    <w:rsid w:val="00D81B95"/>
    <w:rsid w:val="00D90341"/>
    <w:rsid w:val="00DA0B38"/>
    <w:rsid w:val="00DB150D"/>
    <w:rsid w:val="00DB3219"/>
    <w:rsid w:val="00DC007A"/>
    <w:rsid w:val="00DD5E8D"/>
    <w:rsid w:val="00DE61EF"/>
    <w:rsid w:val="00DE6754"/>
    <w:rsid w:val="00DE7AF3"/>
    <w:rsid w:val="00DF0F42"/>
    <w:rsid w:val="00DF5E30"/>
    <w:rsid w:val="00E0486C"/>
    <w:rsid w:val="00E11FDF"/>
    <w:rsid w:val="00E2140D"/>
    <w:rsid w:val="00E21A8C"/>
    <w:rsid w:val="00E264CD"/>
    <w:rsid w:val="00E32359"/>
    <w:rsid w:val="00E42C52"/>
    <w:rsid w:val="00E47C03"/>
    <w:rsid w:val="00E55047"/>
    <w:rsid w:val="00E85BEC"/>
    <w:rsid w:val="00E9789A"/>
    <w:rsid w:val="00EB3E82"/>
    <w:rsid w:val="00EC6056"/>
    <w:rsid w:val="00ED08C4"/>
    <w:rsid w:val="00ED357B"/>
    <w:rsid w:val="00ED3DB7"/>
    <w:rsid w:val="00ED5BD0"/>
    <w:rsid w:val="00EE07B3"/>
    <w:rsid w:val="00EE0C55"/>
    <w:rsid w:val="00EE4F0B"/>
    <w:rsid w:val="00EE5B76"/>
    <w:rsid w:val="00EE647F"/>
    <w:rsid w:val="00EF6939"/>
    <w:rsid w:val="00F22351"/>
    <w:rsid w:val="00F23E15"/>
    <w:rsid w:val="00F23F24"/>
    <w:rsid w:val="00F2603A"/>
    <w:rsid w:val="00F614F8"/>
    <w:rsid w:val="00F66A25"/>
    <w:rsid w:val="00F92946"/>
    <w:rsid w:val="00FB189A"/>
    <w:rsid w:val="00FB1921"/>
    <w:rsid w:val="00FB2881"/>
    <w:rsid w:val="00FB4218"/>
    <w:rsid w:val="00FB4C12"/>
    <w:rsid w:val="00FC0932"/>
    <w:rsid w:val="00FC11BE"/>
    <w:rsid w:val="00FC617E"/>
    <w:rsid w:val="00FC7E16"/>
    <w:rsid w:val="00FF58B1"/>
    <w:rsid w:val="2EDAEA7C"/>
    <w:rsid w:val="348ECD00"/>
    <w:rsid w:val="3696D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B870E"/>
  <w15:chartTrackingRefBased/>
  <w15:docId w15:val="{E3468786-E1C2-4966-A62C-180DEA13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B4"/>
    <w:pPr>
      <w:spacing w:after="200" w:line="240" w:lineRule="auto"/>
    </w:pPr>
    <w:rPr>
      <w:rFonts w:ascii="Times New Roman" w:hAnsi="Times New Roman"/>
      <w:sz w:val="24"/>
    </w:rPr>
  </w:style>
  <w:style w:type="paragraph" w:styleId="Heading1">
    <w:name w:val="heading 1"/>
    <w:basedOn w:val="Normal"/>
    <w:next w:val="Normal"/>
    <w:link w:val="Heading1Char"/>
    <w:uiPriority w:val="9"/>
    <w:qFormat/>
    <w:rsid w:val="00521D15"/>
    <w:pPr>
      <w:pBdr>
        <w:bottom w:val="single" w:sz="8" w:space="1" w:color="003DA5"/>
      </w:pBdr>
      <w:spacing w:before="200" w:after="240"/>
      <w:outlineLvl w:val="0"/>
    </w:pPr>
    <w:rPr>
      <w:rFonts w:cs="Times New Roman"/>
      <w:b/>
      <w:bCs/>
      <w:color w:val="071D49"/>
      <w:sz w:val="36"/>
      <w:szCs w:val="24"/>
    </w:rPr>
  </w:style>
  <w:style w:type="paragraph" w:styleId="Heading2">
    <w:name w:val="heading 2"/>
    <w:basedOn w:val="BodyText"/>
    <w:next w:val="Normal"/>
    <w:link w:val="Heading2Char"/>
    <w:uiPriority w:val="9"/>
    <w:qFormat/>
    <w:rsid w:val="00D15736"/>
    <w:pPr>
      <w:spacing w:before="200" w:after="200"/>
      <w:outlineLvl w:val="1"/>
    </w:pPr>
    <w:rPr>
      <w:rFonts w:cs="Times New Roman"/>
      <w:b/>
      <w:color w:val="003DA5"/>
      <w:sz w:val="28"/>
      <w:szCs w:val="28"/>
    </w:rPr>
  </w:style>
  <w:style w:type="paragraph" w:styleId="Heading3">
    <w:name w:val="heading 3"/>
    <w:basedOn w:val="Normal"/>
    <w:next w:val="Normal"/>
    <w:link w:val="Heading3Char"/>
    <w:autoRedefine/>
    <w:uiPriority w:val="9"/>
    <w:unhideWhenUsed/>
    <w:qFormat/>
    <w:rsid w:val="00D15736"/>
    <w:pPr>
      <w:outlineLvl w:val="2"/>
    </w:pPr>
    <w:rPr>
      <w:b/>
      <w:color w:val="003DA5"/>
    </w:rPr>
  </w:style>
  <w:style w:type="paragraph" w:styleId="Heading4">
    <w:name w:val="heading 4"/>
    <w:basedOn w:val="Normal"/>
    <w:next w:val="Normal"/>
    <w:link w:val="Heading4Char"/>
    <w:autoRedefine/>
    <w:uiPriority w:val="9"/>
    <w:unhideWhenUsed/>
    <w:qFormat/>
    <w:rsid w:val="003A32CF"/>
    <w:pPr>
      <w:keepNext/>
      <w:keepLines/>
      <w:spacing w:before="200" w:after="0"/>
      <w:outlineLvl w:val="3"/>
    </w:pPr>
    <w:rPr>
      <w:rFonts w:eastAsiaTheme="majorEastAsia" w:cstheme="majorBidi"/>
      <w:b/>
      <w:bCs/>
      <w:i/>
      <w:iCs/>
      <w:color w:val="005288"/>
    </w:rPr>
  </w:style>
  <w:style w:type="paragraph" w:styleId="Heading5">
    <w:name w:val="heading 5"/>
    <w:basedOn w:val="Normal"/>
    <w:next w:val="Normal"/>
    <w:link w:val="Heading5Char"/>
    <w:uiPriority w:val="9"/>
    <w:semiHidden/>
    <w:unhideWhenUsed/>
    <w:rsid w:val="009740B6"/>
    <w:pPr>
      <w:keepNext/>
      <w:keepLines/>
      <w:spacing w:after="240"/>
      <w:outlineLvl w:val="4"/>
    </w:pPr>
    <w:rPr>
      <w:rFonts w:ascii="Lato" w:eastAsiaTheme="majorEastAsia" w:hAnsi="Lato" w:cstheme="majorBidi"/>
      <w:b/>
      <w:i/>
      <w:color w:val="002C7B"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4CE4"/>
    <w:pPr>
      <w:spacing w:before="320" w:after="320"/>
      <w:contextualSpacing/>
    </w:pPr>
    <w:rPr>
      <w:rFonts w:eastAsiaTheme="majorEastAsia" w:cstheme="majorBidi"/>
      <w:color w:val="FFFFFF" w:themeColor="background1"/>
      <w:spacing w:val="-10"/>
      <w:kern w:val="28"/>
      <w:sz w:val="36"/>
      <w:szCs w:val="56"/>
    </w:rPr>
  </w:style>
  <w:style w:type="character" w:customStyle="1" w:styleId="TitleChar">
    <w:name w:val="Title Char"/>
    <w:basedOn w:val="DefaultParagraphFont"/>
    <w:link w:val="Title"/>
    <w:uiPriority w:val="10"/>
    <w:rsid w:val="00A34CE4"/>
    <w:rPr>
      <w:rFonts w:ascii="Times New Roman" w:eastAsiaTheme="majorEastAsia" w:hAnsi="Times New Roman" w:cstheme="majorBidi"/>
      <w:color w:val="FFFFFF" w:themeColor="background1"/>
      <w:spacing w:val="-10"/>
      <w:kern w:val="28"/>
      <w:sz w:val="36"/>
      <w:szCs w:val="56"/>
    </w:rPr>
  </w:style>
  <w:style w:type="character" w:customStyle="1" w:styleId="Heading1Char">
    <w:name w:val="Heading 1 Char"/>
    <w:basedOn w:val="DefaultParagraphFont"/>
    <w:link w:val="Heading1"/>
    <w:uiPriority w:val="9"/>
    <w:rsid w:val="00521D15"/>
    <w:rPr>
      <w:rFonts w:ascii="Times New Roman" w:hAnsi="Times New Roman" w:cs="Times New Roman"/>
      <w:b/>
      <w:bCs/>
      <w:color w:val="071D49"/>
      <w:sz w:val="36"/>
      <w:szCs w:val="24"/>
    </w:rPr>
  </w:style>
  <w:style w:type="character" w:customStyle="1" w:styleId="Heading2Char">
    <w:name w:val="Heading 2 Char"/>
    <w:basedOn w:val="DefaultParagraphFont"/>
    <w:link w:val="Heading2"/>
    <w:uiPriority w:val="9"/>
    <w:rsid w:val="00D15736"/>
    <w:rPr>
      <w:rFonts w:ascii="Times New Roman" w:hAnsi="Times New Roman" w:cs="Times New Roman"/>
      <w:b/>
      <w:color w:val="003DA5"/>
      <w:sz w:val="28"/>
      <w:szCs w:val="28"/>
    </w:rPr>
  </w:style>
  <w:style w:type="character" w:customStyle="1" w:styleId="Heading3Char">
    <w:name w:val="Heading 3 Char"/>
    <w:basedOn w:val="DefaultParagraphFont"/>
    <w:link w:val="Heading3"/>
    <w:uiPriority w:val="9"/>
    <w:rsid w:val="00D15736"/>
    <w:rPr>
      <w:rFonts w:ascii="Times New Roman" w:hAnsi="Times New Roman"/>
      <w:b/>
      <w:color w:val="003DA5"/>
      <w:sz w:val="24"/>
    </w:rPr>
  </w:style>
  <w:style w:type="character" w:customStyle="1" w:styleId="Heading4Char">
    <w:name w:val="Heading 4 Char"/>
    <w:basedOn w:val="DefaultParagraphFont"/>
    <w:link w:val="Heading4"/>
    <w:uiPriority w:val="9"/>
    <w:rsid w:val="003A32CF"/>
    <w:rPr>
      <w:rFonts w:ascii="Calibri" w:eastAsiaTheme="majorEastAsia" w:hAnsi="Calibri" w:cstheme="majorBidi"/>
      <w:b/>
      <w:bCs/>
      <w:i/>
      <w:iCs/>
      <w:color w:val="005288"/>
      <w:sz w:val="24"/>
    </w:rPr>
  </w:style>
  <w:style w:type="paragraph" w:styleId="Header">
    <w:name w:val="header"/>
    <w:basedOn w:val="Normal"/>
    <w:link w:val="HeaderChar"/>
    <w:uiPriority w:val="99"/>
    <w:unhideWhenUsed/>
    <w:rsid w:val="007B4B8A"/>
    <w:pPr>
      <w:tabs>
        <w:tab w:val="center" w:pos="4680"/>
        <w:tab w:val="right" w:pos="9360"/>
      </w:tabs>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75A6FF"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75A6FF" w:themeColor="accent1" w:themeTint="66"/>
        <w:bottom w:val="single" w:sz="4" w:space="0" w:color="75A6FF" w:themeColor="accent1" w:themeTint="66"/>
        <w:insideH w:val="single" w:sz="4" w:space="0" w:color="75A6FF" w:themeColor="accent1" w:themeTint="66"/>
        <w:insideV w:val="single" w:sz="4" w:space="0" w:color="75A6FF"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307AFF" w:themeColor="accent1" w:themeTint="99"/>
          <w:insideH w:val="nil"/>
          <w:insideV w:val="nil"/>
        </w:tcBorders>
        <w:shd w:val="clear" w:color="auto" w:fill="307AFF" w:themeFill="accent1" w:themeFillTint="99"/>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307AFF" w:themeColor="accent1" w:themeTint="99"/>
        <w:bottom w:val="single" w:sz="2" w:space="0" w:color="307AFF" w:themeColor="accent1" w:themeTint="99"/>
        <w:insideH w:val="single" w:sz="2" w:space="0" w:color="307AFF" w:themeColor="accent1" w:themeTint="99"/>
        <w:insideV w:val="single" w:sz="2" w:space="0" w:color="307AFF" w:themeColor="accent1" w:themeTint="99"/>
      </w:tblBorders>
    </w:tblPr>
    <w:tblStylePr w:type="firstRow">
      <w:rPr>
        <w:b/>
        <w:bCs/>
      </w:rPr>
      <w:tblPr/>
      <w:tcPr>
        <w:tcBorders>
          <w:top w:val="nil"/>
          <w:bottom w:val="single" w:sz="12" w:space="0" w:color="307AFF" w:themeColor="accent1" w:themeTint="99"/>
          <w:insideH w:val="nil"/>
          <w:insideV w:val="nil"/>
        </w:tcBorders>
        <w:shd w:val="clear" w:color="auto" w:fill="FFFFFF" w:themeFill="background1"/>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307AFF"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07AFF"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l2br w:val="nil"/>
          <w:tr2bl w:val="nil"/>
        </w:tcBorders>
        <w:shd w:val="clear" w:color="auto" w:fill="BAD2FF"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6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75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75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75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75E" w:themeFill="accent5"/>
      </w:tcPr>
    </w:tblStylePr>
    <w:tblStylePr w:type="band1Vert">
      <w:tblPr/>
      <w:tcPr>
        <w:shd w:val="clear" w:color="auto" w:fill="E0CEBE" w:themeFill="accent5" w:themeFillTint="66"/>
      </w:tcPr>
    </w:tblStylePr>
    <w:tblStylePr w:type="band1Horz">
      <w:tblPr/>
      <w:tcPr>
        <w:shd w:val="clear" w:color="auto" w:fill="E0CEB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307AFF" w:themeFill="accent1" w:themeFillTint="99"/>
      </w:tcPr>
    </w:tblStylePr>
    <w:tblStylePr w:type="lastRow">
      <w:rPr>
        <w:b/>
        <w:bCs/>
      </w:rPr>
      <w:tblPr/>
      <w:tcPr>
        <w:tcBorders>
          <w:top w:val="double" w:sz="4" w:space="0" w:color="91C5EB"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DAEBF8" w:themeFill="accent3" w:themeFillTint="33"/>
      </w:tcPr>
    </w:tblStylePr>
    <w:tblStylePr w:type="band1Horz">
      <w:tblPr/>
      <w:tcPr>
        <w:shd w:val="clear" w:color="auto" w:fill="BAD2FF"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91C5EB" w:themeColor="accent3" w:themeTint="99"/>
        <w:left w:val="single" w:sz="4" w:space="0" w:color="91C5EB" w:themeColor="accent3" w:themeTint="99"/>
        <w:bottom w:val="single" w:sz="4" w:space="0" w:color="91C5EB" w:themeColor="accent3" w:themeTint="99"/>
        <w:right w:val="single" w:sz="4" w:space="0" w:color="91C5EB" w:themeColor="accent3" w:themeTint="99"/>
        <w:insideH w:val="single" w:sz="4" w:space="0" w:color="91C5EB" w:themeColor="accent3" w:themeTint="99"/>
      </w:tblBorders>
    </w:tblPr>
    <w:tblStylePr w:type="firstRow">
      <w:rPr>
        <w:b/>
        <w:bCs/>
        <w:color w:val="FFFFFF" w:themeColor="background1"/>
      </w:rPr>
      <w:tblPr/>
      <w:tcPr>
        <w:tcBorders>
          <w:top w:val="single" w:sz="4" w:space="0" w:color="489FDF" w:themeColor="accent3"/>
          <w:left w:val="single" w:sz="4" w:space="0" w:color="489FDF" w:themeColor="accent3"/>
          <w:bottom w:val="single" w:sz="4" w:space="0" w:color="489FDF" w:themeColor="accent3"/>
          <w:right w:val="single" w:sz="4" w:space="0" w:color="489FDF" w:themeColor="accent3"/>
          <w:insideH w:val="nil"/>
        </w:tcBorders>
        <w:shd w:val="clear" w:color="auto" w:fill="489FDF" w:themeFill="accent3"/>
      </w:tcPr>
    </w:tblStylePr>
    <w:tblStylePr w:type="lastRow">
      <w:rPr>
        <w:b/>
        <w:bCs/>
      </w:rPr>
      <w:tblPr/>
      <w:tcPr>
        <w:tcBorders>
          <w:top w:val="double" w:sz="4" w:space="0" w:color="91C5EB" w:themeColor="accent3" w:themeTint="99"/>
        </w:tcBorders>
      </w:tcPr>
    </w:tblStylePr>
    <w:tblStylePr w:type="firstCol">
      <w:rPr>
        <w:b/>
        <w:bCs/>
      </w:rPr>
    </w:tblStylePr>
    <w:tblStylePr w:type="lastCol">
      <w:rPr>
        <w:b/>
        <w:bCs/>
      </w:rPr>
    </w:tblStylePr>
    <w:tblStylePr w:type="band1Vert">
      <w:tblPr/>
      <w:tcPr>
        <w:shd w:val="clear" w:color="auto" w:fill="DAEBF8" w:themeFill="accent3" w:themeFillTint="33"/>
      </w:tcPr>
    </w:tblStylePr>
    <w:tblStylePr w:type="band1Horz">
      <w:tblPr/>
      <w:tcPr>
        <w:shd w:val="clear" w:color="auto" w:fill="DAEBF8"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rsid w:val="005A0B5B"/>
    <w:pPr>
      <w:spacing w:before="80" w:after="80"/>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rsid w:val="009740B6"/>
    <w:pPr>
      <w:numPr>
        <w:ilvl w:val="1"/>
      </w:numPr>
      <w:spacing w:before="240" w:after="160"/>
      <w:contextualSpacing/>
      <w:jc w:val="center"/>
    </w:pPr>
    <w:rPr>
      <w:rFonts w:ascii="Lato" w:eastAsiaTheme="minorEastAsia" w:hAnsi="Lato"/>
      <w:color w:val="489FDF" w:themeColor="accent3"/>
      <w:spacing w:val="15"/>
      <w:sz w:val="56"/>
    </w:rPr>
  </w:style>
  <w:style w:type="character" w:customStyle="1" w:styleId="SubtitleChar">
    <w:name w:val="Subtitle Char"/>
    <w:basedOn w:val="DefaultParagraphFont"/>
    <w:link w:val="Subtitle"/>
    <w:uiPriority w:val="11"/>
    <w:rsid w:val="009740B6"/>
    <w:rPr>
      <w:rFonts w:ascii="Lato" w:eastAsiaTheme="minorEastAsia" w:hAnsi="Lato"/>
      <w:color w:val="489FDF" w:themeColor="accent3"/>
      <w:spacing w:val="15"/>
      <w:sz w:val="56"/>
    </w:rPr>
  </w:style>
  <w:style w:type="character" w:styleId="Hyperlink">
    <w:name w:val="Hyperlink"/>
    <w:basedOn w:val="DefaultParagraphFont"/>
    <w:uiPriority w:val="99"/>
    <w:unhideWhenUsed/>
    <w:rsid w:val="00456FFD"/>
    <w:rPr>
      <w:color w:val="003CA5" w:themeColor="accent1"/>
      <w:u w:val="single"/>
    </w:rPr>
  </w:style>
  <w:style w:type="paragraph" w:styleId="BalloonText">
    <w:name w:val="Balloon Text"/>
    <w:basedOn w:val="Normal"/>
    <w:link w:val="BalloonTextChar"/>
    <w:uiPriority w:val="99"/>
    <w:semiHidden/>
    <w:unhideWhenUsed/>
    <w:rsid w:val="007B4B8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307AFF" w:themeColor="accent1" w:themeTint="99"/>
        <w:left w:val="single" w:sz="4" w:space="0" w:color="307AFF" w:themeColor="accent1" w:themeTint="99"/>
        <w:bottom w:val="single" w:sz="4" w:space="0" w:color="307AFF" w:themeColor="accent1" w:themeTint="99"/>
        <w:right w:val="single" w:sz="4" w:space="0" w:color="307AFF" w:themeColor="accent1" w:themeTint="99"/>
        <w:insideH w:val="single" w:sz="4" w:space="0" w:color="307AFF" w:themeColor="accent1" w:themeTint="99"/>
        <w:insideV w:val="single" w:sz="4" w:space="0" w:color="307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2FF" w:themeFill="accent1" w:themeFillTint="33"/>
      </w:tcPr>
    </w:tblStylePr>
    <w:tblStylePr w:type="band1Horz">
      <w:tblPr/>
      <w:tcPr>
        <w:shd w:val="clear" w:color="auto" w:fill="BAD2FF" w:themeFill="accent1" w:themeFillTint="33"/>
      </w:tcPr>
    </w:tblStylePr>
    <w:tblStylePr w:type="neCell">
      <w:tblPr/>
      <w:tcPr>
        <w:tcBorders>
          <w:bottom w:val="single" w:sz="4" w:space="0" w:color="307AFF" w:themeColor="accent1" w:themeTint="99"/>
        </w:tcBorders>
      </w:tcPr>
    </w:tblStylePr>
    <w:tblStylePr w:type="nwCell">
      <w:tblPr/>
      <w:tcPr>
        <w:tcBorders>
          <w:bottom w:val="single" w:sz="4" w:space="0" w:color="307AFF" w:themeColor="accent1" w:themeTint="99"/>
        </w:tcBorders>
      </w:tcPr>
    </w:tblStylePr>
    <w:tblStylePr w:type="seCell">
      <w:tblPr/>
      <w:tcPr>
        <w:tcBorders>
          <w:top w:val="single" w:sz="4" w:space="0" w:color="307AFF" w:themeColor="accent1" w:themeTint="99"/>
        </w:tcBorders>
      </w:tcPr>
    </w:tblStylePr>
    <w:tblStylePr w:type="swCell">
      <w:tblPr/>
      <w:tcPr>
        <w:tcBorders>
          <w:top w:val="single" w:sz="4" w:space="0" w:color="307AFF" w:themeColor="accent1" w:themeTint="99"/>
        </w:tcBorders>
      </w:tcPr>
    </w:tblStylePr>
  </w:style>
  <w:style w:type="table" w:customStyle="1" w:styleId="Marzano1">
    <w:name w:val="Marzano 1"/>
    <w:basedOn w:val="GridTable1Light"/>
    <w:uiPriority w:val="99"/>
    <w:rsid w:val="005A0B5B"/>
    <w:pPr>
      <w:jc w:val="center"/>
    </w:pPr>
    <w:rPr>
      <w:rFonts w:ascii="Cambria" w:eastAsia="Times New Roman" w:hAnsi="Cambria"/>
    </w:rPr>
    <w:tblPr/>
    <w:tcPr>
      <w:vAlign w:val="center"/>
    </w:tcPr>
    <w:tblStylePr w:type="firstRow">
      <w:rPr>
        <w:b/>
        <w:bCs/>
      </w:rPr>
      <w:tblPr/>
      <w:tcPr>
        <w:tcBorders>
          <w:bottom w:val="single" w:sz="12" w:space="0" w:color="666666" w:themeColor="text1" w:themeTint="99"/>
        </w:tcBorders>
        <w:shd w:val="clear" w:color="auto" w:fill="489FDF" w:themeFill="accent3"/>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lang w:eastAsia="ja-JP"/>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DBE8FF" w:themeFill="accent1" w:themeFillTint="1A"/>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007332" w:themeColor="accent4" w:themeShade="BF"/>
    </w:rPr>
    <w:tblPr>
      <w:tblStyleRowBandSize w:val="1"/>
      <w:tblStyleColBandSize w:val="1"/>
      <w:tblBorders>
        <w:top w:val="single" w:sz="4" w:space="0" w:color="29FF87" w:themeColor="accent4" w:themeTint="99"/>
        <w:left w:val="single" w:sz="4" w:space="0" w:color="29FF87" w:themeColor="accent4" w:themeTint="99"/>
        <w:bottom w:val="single" w:sz="4" w:space="0" w:color="29FF87" w:themeColor="accent4" w:themeTint="99"/>
        <w:right w:val="single" w:sz="4" w:space="0" w:color="29FF87" w:themeColor="accent4" w:themeTint="99"/>
        <w:insideH w:val="single" w:sz="4" w:space="0" w:color="29FF87" w:themeColor="accent4" w:themeTint="99"/>
        <w:insideV w:val="single" w:sz="4" w:space="0" w:color="29FF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B7FFD6" w:themeFill="accent4" w:themeFillTint="33"/>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9740B6"/>
    <w:rPr>
      <w:rFonts w:ascii="Lato" w:eastAsiaTheme="majorEastAsia" w:hAnsi="Lato" w:cstheme="majorBidi"/>
      <w:b/>
      <w:i/>
      <w:color w:val="002C7B" w:themeColor="accent1" w:themeShade="BF"/>
      <w:sz w:val="24"/>
      <w:szCs w:val="24"/>
    </w:rPr>
  </w:style>
  <w:style w:type="character" w:styleId="PlaceholderText">
    <w:name w:val="Placeholder Text"/>
    <w:basedOn w:val="DefaultParagraphFont"/>
    <w:uiPriority w:val="99"/>
    <w:semiHidden/>
    <w:rsid w:val="0036740D"/>
    <w:rPr>
      <w:color w:val="808080"/>
    </w:rPr>
  </w:style>
  <w:style w:type="character" w:styleId="IntenseEmphasis">
    <w:name w:val="Intense Emphasis"/>
    <w:basedOn w:val="DefaultParagraphFont"/>
    <w:uiPriority w:val="21"/>
    <w:qFormat/>
    <w:rsid w:val="003A32CF"/>
    <w:rPr>
      <w:i/>
      <w:iCs/>
      <w:color w:val="005288"/>
    </w:rPr>
  </w:style>
  <w:style w:type="paragraph" w:customStyle="1" w:styleId="Default">
    <w:name w:val="Default"/>
    <w:rsid w:val="00A34CE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4F4C"/>
    <w:rPr>
      <w:sz w:val="16"/>
      <w:szCs w:val="16"/>
    </w:rPr>
  </w:style>
  <w:style w:type="paragraph" w:styleId="CommentText">
    <w:name w:val="annotation text"/>
    <w:basedOn w:val="Normal"/>
    <w:link w:val="CommentTextChar"/>
    <w:uiPriority w:val="99"/>
    <w:semiHidden/>
    <w:unhideWhenUsed/>
    <w:rsid w:val="00D54F4C"/>
    <w:rPr>
      <w:sz w:val="20"/>
      <w:szCs w:val="20"/>
    </w:rPr>
  </w:style>
  <w:style w:type="character" w:customStyle="1" w:styleId="CommentTextChar">
    <w:name w:val="Comment Text Char"/>
    <w:basedOn w:val="DefaultParagraphFont"/>
    <w:link w:val="CommentText"/>
    <w:uiPriority w:val="99"/>
    <w:semiHidden/>
    <w:rsid w:val="00D54F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4F4C"/>
    <w:rPr>
      <w:b/>
      <w:bCs/>
    </w:rPr>
  </w:style>
  <w:style w:type="character" w:customStyle="1" w:styleId="CommentSubjectChar">
    <w:name w:val="Comment Subject Char"/>
    <w:basedOn w:val="CommentTextChar"/>
    <w:link w:val="CommentSubject"/>
    <w:uiPriority w:val="99"/>
    <w:semiHidden/>
    <w:rsid w:val="00D54F4C"/>
    <w:rPr>
      <w:rFonts w:ascii="Times New Roman" w:hAnsi="Times New Roman"/>
      <w:b/>
      <w:bCs/>
      <w:sz w:val="20"/>
      <w:szCs w:val="20"/>
    </w:rPr>
  </w:style>
  <w:style w:type="character" w:styleId="FollowedHyperlink">
    <w:name w:val="FollowedHyperlink"/>
    <w:basedOn w:val="DefaultParagraphFont"/>
    <w:uiPriority w:val="99"/>
    <w:semiHidden/>
    <w:unhideWhenUsed/>
    <w:rsid w:val="00A96803"/>
    <w:rPr>
      <w:color w:val="83329B" w:themeColor="followedHyperlink"/>
      <w:u w:val="single"/>
    </w:rPr>
  </w:style>
  <w:style w:type="character" w:customStyle="1" w:styleId="UnresolvedMention1">
    <w:name w:val="Unresolved Mention1"/>
    <w:basedOn w:val="DefaultParagraphFont"/>
    <w:uiPriority w:val="99"/>
    <w:semiHidden/>
    <w:unhideWhenUsed/>
    <w:rsid w:val="00316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office.com/en-us/article/load-the-analysis-toolpak-in-excel-6a63e598-cd6d-42e3-9317-6b40ba1a66b4"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heanalysisfactor.com/interpret-the-intercept/" TargetMode="External"/><Relationship Id="rId1" Type="http://schemas.openxmlformats.org/officeDocument/2006/relationships/hyperlink" Target="https://stats.stackexchange.com/questions/57746/what-is-residual-standard-err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 Color Theme">
  <a:themeElements>
    <a:clrScheme name="IES Color Palette">
      <a:dk1>
        <a:srgbClr val="000000"/>
      </a:dk1>
      <a:lt1>
        <a:srgbClr val="FFFFFF"/>
      </a:lt1>
      <a:dk2>
        <a:srgbClr val="576F7F"/>
      </a:dk2>
      <a:lt2>
        <a:srgbClr val="FBB03B"/>
      </a:lt2>
      <a:accent1>
        <a:srgbClr val="003CA5"/>
      </a:accent1>
      <a:accent2>
        <a:srgbClr val="071D49"/>
      </a:accent2>
      <a:accent3>
        <a:srgbClr val="489FDF"/>
      </a:accent3>
      <a:accent4>
        <a:srgbClr val="009A44"/>
      </a:accent4>
      <a:accent5>
        <a:srgbClr val="B3875E"/>
      </a:accent5>
      <a:accent6>
        <a:srgbClr val="971B2F"/>
      </a:accent6>
      <a:hlink>
        <a:srgbClr val="003CA5"/>
      </a:hlink>
      <a:folHlink>
        <a:srgbClr val="83329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ES Color Theme" id="{EB7F067D-976F-40AF-8509-4ADC987EC484}" vid="{CDE2C1C4-C832-410B-B637-4CDFBC0E8C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A5DB0-7023-447B-BD5B-E5D19DB5E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1C1A7-40FA-4A40-AEA6-F415A32794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87057-724F-450A-890D-F21E38100DC1}">
  <ds:schemaRefs>
    <ds:schemaRef ds:uri="http://schemas.microsoft.com/sharepoint/v3/contenttype/forms"/>
  </ds:schemaRefs>
</ds:datastoreItem>
</file>

<file path=customXml/itemProps4.xml><?xml version="1.0" encoding="utf-8"?>
<ds:datastoreItem xmlns:ds="http://schemas.openxmlformats.org/officeDocument/2006/customXml" ds:itemID="{BEBEA7F3-072F-4334-B19A-A8D7D503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11</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75</cp:revision>
  <dcterms:created xsi:type="dcterms:W3CDTF">2021-03-23T18:27:00Z</dcterms:created>
  <dcterms:modified xsi:type="dcterms:W3CDTF">2021-06-10T18:19:00Z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