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2774C" w14:textId="77777777" w:rsidR="000D06A4" w:rsidRDefault="00000000">
      <w:pPr>
        <w:spacing w:after="40"/>
        <w:jc w:val="center"/>
      </w:pPr>
      <w:r>
        <w:rPr>
          <w:b/>
          <w:bCs/>
          <w:color w:val="1A365D"/>
          <w:sz w:val="32"/>
          <w:szCs w:val="32"/>
        </w:rPr>
        <w:t>SIMPLE OPERATING INSTRUCTIONS</w:t>
      </w:r>
    </w:p>
    <w:p w14:paraId="41D75B27" w14:textId="77777777" w:rsidR="000D06A4" w:rsidRDefault="00000000">
      <w:pPr>
        <w:spacing w:after="20"/>
        <w:jc w:val="center"/>
      </w:pPr>
      <w:r>
        <w:rPr>
          <w:color w:val="2B6CB0"/>
          <w:sz w:val="22"/>
          <w:szCs w:val="22"/>
        </w:rPr>
        <w:t>Filling a Liquid Nitrogen (LN₂) Dewar</w:t>
      </w:r>
    </w:p>
    <w:p w14:paraId="7DD0B803" w14:textId="77777777" w:rsidR="000D06A4" w:rsidRDefault="00000000">
      <w:pPr>
        <w:pBdr>
          <w:bottom w:val="single" w:sz="12" w:space="6" w:color="1A365D"/>
        </w:pBdr>
        <w:spacing w:after="120"/>
        <w:jc w:val="center"/>
      </w:pPr>
      <w:r>
        <w:rPr>
          <w:color w:val="2B6CB0"/>
        </w:rPr>
        <w:t>Using a Low-Pressure Liquid Withdrawal Device</w:t>
      </w:r>
    </w:p>
    <w:p w14:paraId="4B304AEB" w14:textId="77777777" w:rsidR="000D06A4" w:rsidRDefault="00000000">
      <w:pPr>
        <w:pStyle w:val="Heading1"/>
      </w:pPr>
      <w:r>
        <w:rPr>
          <w:sz w:val="22"/>
          <w:szCs w:val="22"/>
        </w:rPr>
        <w:t>1. PURPOSE &amp; SCOPE</w:t>
      </w:r>
    </w:p>
    <w:p w14:paraId="16B6EEB8" w14:textId="77777777" w:rsidR="000D06A4" w:rsidRDefault="00000000">
      <w:pPr>
        <w:spacing w:after="120"/>
      </w:pPr>
      <w:r>
        <w:rPr>
          <w:sz w:val="18"/>
          <w:szCs w:val="18"/>
        </w:rPr>
        <w:t>These instructions cover safe filling of a portable open-mouth or low-pressure LN₂ dewar from a low-pressure liquid nitrogen supply cylinder (typically 22–35 psig) using a transfer hose / low-pressure liquid withdrawal device. For trained personnel only. Always follow the manufacturer’s manual for your specific equipment.</w:t>
      </w:r>
    </w:p>
    <w:p w14:paraId="02F0B80D" w14:textId="77777777" w:rsidR="000D06A4" w:rsidRDefault="00000000">
      <w:pPr>
        <w:pStyle w:val="Heading1"/>
      </w:pPr>
      <w:r>
        <w:rPr>
          <w:sz w:val="22"/>
          <w:szCs w:val="22"/>
        </w:rPr>
        <w:t>2. CRITICAL SAFETY WARNINGS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0D06A4" w14:paraId="4B9934A6" w14:textId="77777777">
        <w:tblPrEx>
          <w:tblCellMar>
            <w:top w:w="0" w:type="dxa"/>
            <w:bottom w:w="0" w:type="dxa"/>
          </w:tblCellMar>
        </w:tblPrEx>
        <w:tc>
          <w:tcPr>
            <w:tcW w:w="10800" w:type="dxa"/>
            <w:tcBorders>
              <w:top w:val="single" w:sz="12" w:space="0" w:color="C53030"/>
              <w:left w:val="single" w:sz="12" w:space="0" w:color="C53030"/>
              <w:bottom w:val="single" w:sz="12" w:space="0" w:color="C53030"/>
              <w:right w:val="single" w:sz="12" w:space="0" w:color="C53030"/>
            </w:tcBorders>
            <w:shd w:val="clear" w:color="auto" w:fill="FFF5F5"/>
            <w:tcMar>
              <w:top w:w="60" w:type="dxa"/>
              <w:left w:w="100" w:type="dxa"/>
              <w:bottom w:w="60" w:type="dxa"/>
              <w:right w:w="100" w:type="dxa"/>
            </w:tcMar>
          </w:tcPr>
          <w:p w14:paraId="67D18ED5" w14:textId="77777777" w:rsidR="000D06A4" w:rsidRDefault="00000000">
            <w:pPr>
              <w:spacing w:after="20"/>
            </w:pPr>
            <w:r>
              <w:rPr>
                <w:b/>
                <w:bCs/>
                <w:color w:val="C53030"/>
                <w:sz w:val="16"/>
                <w:szCs w:val="16"/>
              </w:rPr>
              <w:t>⚠ CRYOGENIC HAZARD</w:t>
            </w:r>
          </w:p>
          <w:p w14:paraId="6D615F7D" w14:textId="77777777" w:rsidR="000D06A4" w:rsidRDefault="00000000">
            <w:r>
              <w:rPr>
                <w:color w:val="1A202C"/>
                <w:sz w:val="16"/>
                <w:szCs w:val="16"/>
              </w:rPr>
              <w:t>Liquid nitrogen is −196 °C (−320 °F). Contact causes severe frostbite/cold burns in seconds. Always wear full PPE. Never touch uninsulated lines, valves, or dewar neck with bare skin.</w:t>
            </w:r>
          </w:p>
        </w:tc>
      </w:tr>
      <w:tr w:rsidR="000D06A4" w14:paraId="2664457B" w14:textId="77777777">
        <w:tblPrEx>
          <w:tblCellMar>
            <w:top w:w="0" w:type="dxa"/>
            <w:bottom w:w="0" w:type="dxa"/>
          </w:tblCellMar>
        </w:tblPrEx>
        <w:tc>
          <w:tcPr>
            <w:tcW w:w="10800" w:type="dxa"/>
            <w:tcBorders>
              <w:top w:val="single" w:sz="12" w:space="0" w:color="C53030"/>
              <w:left w:val="single" w:sz="12" w:space="0" w:color="C53030"/>
              <w:bottom w:val="single" w:sz="12" w:space="0" w:color="C53030"/>
              <w:right w:val="single" w:sz="12" w:space="0" w:color="C53030"/>
            </w:tcBorders>
            <w:shd w:val="clear" w:color="auto" w:fill="FFF5F5"/>
            <w:tcMar>
              <w:top w:w="60" w:type="dxa"/>
              <w:left w:w="100" w:type="dxa"/>
              <w:bottom w:w="60" w:type="dxa"/>
              <w:right w:w="100" w:type="dxa"/>
            </w:tcMar>
          </w:tcPr>
          <w:p w14:paraId="4F85900E" w14:textId="77777777" w:rsidR="000D06A4" w:rsidRDefault="00000000">
            <w:pPr>
              <w:spacing w:after="20"/>
            </w:pPr>
            <w:r>
              <w:rPr>
                <w:b/>
                <w:bCs/>
                <w:color w:val="C53030"/>
                <w:sz w:val="16"/>
                <w:szCs w:val="16"/>
              </w:rPr>
              <w:t>⚠ ASPHYXIATION HAZARD</w:t>
            </w:r>
          </w:p>
          <w:p w14:paraId="51F45B6D" w14:textId="77777777" w:rsidR="000D06A4" w:rsidRDefault="00000000">
            <w:r>
              <w:rPr>
                <w:color w:val="1A202C"/>
                <w:sz w:val="16"/>
                <w:szCs w:val="16"/>
              </w:rPr>
              <w:t>LN₂ expands ~700:1 and displaces oxygen. Work only in well-ventilated areas. Never fill or store in confined spaces, elevators, or poorly ventilated rooms. Oxygen monitors strongly recommended.</w:t>
            </w:r>
          </w:p>
        </w:tc>
      </w:tr>
      <w:tr w:rsidR="000D06A4" w14:paraId="533F66EC" w14:textId="77777777">
        <w:tblPrEx>
          <w:tblCellMar>
            <w:top w:w="0" w:type="dxa"/>
            <w:bottom w:w="0" w:type="dxa"/>
          </w:tblCellMar>
        </w:tblPrEx>
        <w:tc>
          <w:tcPr>
            <w:tcW w:w="10800" w:type="dxa"/>
            <w:tcBorders>
              <w:top w:val="single" w:sz="12" w:space="0" w:color="C53030"/>
              <w:left w:val="single" w:sz="12" w:space="0" w:color="C53030"/>
              <w:bottom w:val="single" w:sz="12" w:space="0" w:color="C53030"/>
              <w:right w:val="single" w:sz="12" w:space="0" w:color="C53030"/>
            </w:tcBorders>
            <w:shd w:val="clear" w:color="auto" w:fill="FFF5F5"/>
            <w:tcMar>
              <w:top w:w="60" w:type="dxa"/>
              <w:left w:w="100" w:type="dxa"/>
              <w:bottom w:w="60" w:type="dxa"/>
              <w:right w:w="100" w:type="dxa"/>
            </w:tcMar>
          </w:tcPr>
          <w:p w14:paraId="6FCA5433" w14:textId="77777777" w:rsidR="000D06A4" w:rsidRDefault="00000000">
            <w:pPr>
              <w:spacing w:after="20"/>
            </w:pPr>
            <w:r>
              <w:rPr>
                <w:b/>
                <w:bCs/>
                <w:color w:val="C53030"/>
                <w:sz w:val="16"/>
                <w:szCs w:val="16"/>
              </w:rPr>
              <w:t>⚠ PRESSURE HAZARD</w:t>
            </w:r>
          </w:p>
          <w:p w14:paraId="400D2489" w14:textId="77777777" w:rsidR="000D06A4" w:rsidRDefault="00000000">
            <w:r>
              <w:rPr>
                <w:color w:val="1A202C"/>
                <w:sz w:val="16"/>
                <w:szCs w:val="16"/>
              </w:rPr>
              <w:t>Never completely seal a dewar. Always leave a vent path open. Do not exceed rated working pressure (typically 22 psig primary relief). Source pressure must not exceed 45 psig.</w:t>
            </w:r>
          </w:p>
        </w:tc>
      </w:tr>
      <w:tr w:rsidR="000D06A4" w14:paraId="4372FFE8" w14:textId="77777777">
        <w:tblPrEx>
          <w:tblCellMar>
            <w:top w:w="0" w:type="dxa"/>
            <w:bottom w:w="0" w:type="dxa"/>
          </w:tblCellMar>
        </w:tblPrEx>
        <w:tc>
          <w:tcPr>
            <w:tcW w:w="10800" w:type="dxa"/>
            <w:tcBorders>
              <w:top w:val="single" w:sz="12" w:space="0" w:color="C53030"/>
              <w:left w:val="single" w:sz="12" w:space="0" w:color="C53030"/>
              <w:bottom w:val="single" w:sz="12" w:space="0" w:color="C53030"/>
              <w:right w:val="single" w:sz="12" w:space="0" w:color="C53030"/>
            </w:tcBorders>
            <w:shd w:val="clear" w:color="auto" w:fill="FFF5F5"/>
            <w:tcMar>
              <w:top w:w="60" w:type="dxa"/>
              <w:left w:w="100" w:type="dxa"/>
              <w:bottom w:w="60" w:type="dxa"/>
              <w:right w:w="100" w:type="dxa"/>
            </w:tcMar>
          </w:tcPr>
          <w:p w14:paraId="425C4CB1" w14:textId="77777777" w:rsidR="000D06A4" w:rsidRDefault="00000000">
            <w:pPr>
              <w:spacing w:after="20"/>
            </w:pPr>
            <w:r>
              <w:rPr>
                <w:b/>
                <w:bCs/>
                <w:color w:val="C53030"/>
                <w:sz w:val="16"/>
                <w:szCs w:val="16"/>
              </w:rPr>
              <w:t>⚠ SPLASH / SPRAY HAZARD</w:t>
            </w:r>
          </w:p>
          <w:p w14:paraId="69F6FDC9" w14:textId="77777777" w:rsidR="000D06A4" w:rsidRDefault="00000000">
            <w:r>
              <w:rPr>
                <w:color w:val="1A202C"/>
                <w:sz w:val="16"/>
                <w:szCs w:val="16"/>
              </w:rPr>
              <w:t>Liquid violently boils on warm surfaces. Use a phase separator on the hose end for open dewars. Stand clear of the vent and fill stream. Keep face and body away from the open neck.</w:t>
            </w:r>
          </w:p>
        </w:tc>
      </w:tr>
    </w:tbl>
    <w:p w14:paraId="2DD032BC" w14:textId="4A3351E5" w:rsidR="000D06A4" w:rsidRDefault="00000000">
      <w:pPr>
        <w:pStyle w:val="Heading1"/>
      </w:pPr>
      <w:r>
        <w:rPr>
          <w:sz w:val="22"/>
          <w:szCs w:val="22"/>
        </w:rPr>
        <w:t>3. PERSONAL PROTECTIVE EQUIPMENT (PPE)</w:t>
      </w:r>
    </w:p>
    <w:p w14:paraId="0ABD2636" w14:textId="77777777" w:rsidR="000D06A4" w:rsidRDefault="00000000">
      <w:pPr>
        <w:pStyle w:val="ListParagraph"/>
        <w:numPr>
          <w:ilvl w:val="0"/>
          <w:numId w:val="2"/>
        </w:numPr>
        <w:spacing w:after="40"/>
      </w:pPr>
      <w:r>
        <w:rPr>
          <w:sz w:val="18"/>
          <w:szCs w:val="18"/>
        </w:rPr>
        <w:t>Cryogenic gloves (loose-fitting, insulated, wrist coverage – able to shake off quickly)</w:t>
      </w:r>
    </w:p>
    <w:p w14:paraId="156F9247" w14:textId="77777777" w:rsidR="000D06A4" w:rsidRDefault="00000000">
      <w:pPr>
        <w:pStyle w:val="ListParagraph"/>
        <w:numPr>
          <w:ilvl w:val="0"/>
          <w:numId w:val="2"/>
        </w:numPr>
        <w:spacing w:after="40"/>
      </w:pPr>
      <w:r>
        <w:rPr>
          <w:sz w:val="18"/>
          <w:szCs w:val="18"/>
        </w:rPr>
        <w:t>Full face shield + safety goggles underneath</w:t>
      </w:r>
    </w:p>
    <w:p w14:paraId="744B6B28" w14:textId="77777777" w:rsidR="000D06A4" w:rsidRDefault="00000000">
      <w:pPr>
        <w:pStyle w:val="ListParagraph"/>
        <w:numPr>
          <w:ilvl w:val="0"/>
          <w:numId w:val="2"/>
        </w:numPr>
        <w:spacing w:after="40"/>
      </w:pPr>
      <w:r>
        <w:rPr>
          <w:sz w:val="18"/>
          <w:szCs w:val="18"/>
        </w:rPr>
        <w:t>Long-sleeve lab coat or cryo apron (buttoned / closed)</w:t>
      </w:r>
    </w:p>
    <w:p w14:paraId="0C5AD4AC" w14:textId="77777777" w:rsidR="000D06A4" w:rsidRDefault="00000000">
      <w:pPr>
        <w:pStyle w:val="ListParagraph"/>
        <w:numPr>
          <w:ilvl w:val="0"/>
          <w:numId w:val="2"/>
        </w:numPr>
        <w:spacing w:after="40"/>
      </w:pPr>
      <w:r>
        <w:rPr>
          <w:sz w:val="18"/>
          <w:szCs w:val="18"/>
        </w:rPr>
        <w:t>Long pants without cuffs (must cover tops of shoes)</w:t>
      </w:r>
    </w:p>
    <w:p w14:paraId="139D76C5" w14:textId="77777777" w:rsidR="000D06A4" w:rsidRDefault="00000000">
      <w:pPr>
        <w:pStyle w:val="ListParagraph"/>
        <w:numPr>
          <w:ilvl w:val="0"/>
          <w:numId w:val="2"/>
        </w:numPr>
        <w:spacing w:after="40"/>
      </w:pPr>
      <w:r>
        <w:rPr>
          <w:sz w:val="18"/>
          <w:szCs w:val="18"/>
        </w:rPr>
        <w:t>Closed-toe, non-absorbent safety shoes / boots</w:t>
      </w:r>
    </w:p>
    <w:p w14:paraId="2FBECB45" w14:textId="402FF44F" w:rsidR="000D06A4" w:rsidRDefault="00000000">
      <w:pPr>
        <w:pStyle w:val="Heading1"/>
      </w:pPr>
      <w:r>
        <w:rPr>
          <w:sz w:val="22"/>
          <w:szCs w:val="22"/>
        </w:rPr>
        <w:t>4.</w:t>
      </w:r>
      <w:r w:rsidR="002F2B63">
        <w:rPr>
          <w:sz w:val="22"/>
          <w:szCs w:val="22"/>
        </w:rPr>
        <w:t xml:space="preserve"> </w:t>
      </w:r>
      <w:r>
        <w:rPr>
          <w:sz w:val="22"/>
          <w:szCs w:val="22"/>
        </w:rPr>
        <w:t>FILLING PROCEDURE — STEP BY STEP</w:t>
      </w:r>
    </w:p>
    <w:p w14:paraId="2DCDB278" w14:textId="77777777" w:rsidR="000D06A4" w:rsidRDefault="00000000">
      <w:pPr>
        <w:spacing w:before="80" w:after="20"/>
      </w:pPr>
      <w:r>
        <w:rPr>
          <w:b/>
          <w:bCs/>
          <w:color w:val="1A365D"/>
          <w:sz w:val="18"/>
          <w:szCs w:val="18"/>
        </w:rPr>
        <w:t>Step 1 — Position equipment</w:t>
      </w:r>
    </w:p>
    <w:p w14:paraId="47446B21" w14:textId="77777777" w:rsidR="000D06A4" w:rsidRDefault="00000000">
      <w:pPr>
        <w:spacing w:after="60"/>
        <w:ind w:left="120"/>
      </w:pPr>
      <w:r>
        <w:rPr>
          <w:sz w:val="17"/>
          <w:szCs w:val="17"/>
        </w:rPr>
        <w:t>Place the receiving dewar on a stable, level surface near the supply cylinder. Lock cart wheels if used. Position yourself so you can reach the supply valve and watch the dewar neck at the same time.</w:t>
      </w:r>
    </w:p>
    <w:p w14:paraId="26CE9A0C" w14:textId="77777777" w:rsidR="000D06A4" w:rsidRDefault="00000000">
      <w:pPr>
        <w:spacing w:before="80" w:after="20"/>
      </w:pPr>
      <w:r>
        <w:rPr>
          <w:b/>
          <w:bCs/>
          <w:color w:val="1A365D"/>
          <w:sz w:val="18"/>
          <w:szCs w:val="18"/>
        </w:rPr>
        <w:t>Step 2 — Don full PPE</w:t>
      </w:r>
    </w:p>
    <w:p w14:paraId="5EF875A8" w14:textId="77777777" w:rsidR="000D06A4" w:rsidRDefault="00000000">
      <w:pPr>
        <w:spacing w:after="60"/>
        <w:ind w:left="120"/>
      </w:pPr>
      <w:r>
        <w:rPr>
          <w:sz w:val="17"/>
          <w:szCs w:val="17"/>
        </w:rPr>
        <w:t>Put on cryogenic gloves, face shield + goggles, lab coat/apron. Verify clothing covers all exposed skin. Do this before touching any cold equipment.</w:t>
      </w:r>
    </w:p>
    <w:p w14:paraId="7CC689D1" w14:textId="77777777" w:rsidR="000D06A4" w:rsidRDefault="00000000">
      <w:pPr>
        <w:spacing w:before="80" w:after="20"/>
      </w:pPr>
      <w:r>
        <w:rPr>
          <w:b/>
          <w:bCs/>
          <w:color w:val="1A365D"/>
          <w:sz w:val="18"/>
          <w:szCs w:val="18"/>
        </w:rPr>
        <w:t>Step 3 — Connect the transfer hose</w:t>
      </w:r>
    </w:p>
    <w:p w14:paraId="67A20452" w14:textId="2BF1A379" w:rsidR="000D06A4" w:rsidRDefault="00000000">
      <w:pPr>
        <w:spacing w:after="60"/>
        <w:ind w:left="120"/>
      </w:pPr>
      <w:r>
        <w:rPr>
          <w:sz w:val="17"/>
          <w:szCs w:val="17"/>
        </w:rPr>
        <w:t xml:space="preserve">Attach one end of the cryogenic transfer hose securely to the liquid withdrawal valve </w:t>
      </w:r>
      <w:r w:rsidR="002F2B63">
        <w:rPr>
          <w:sz w:val="17"/>
          <w:szCs w:val="17"/>
        </w:rPr>
        <w:t xml:space="preserve">labeled LIQUID </w:t>
      </w:r>
      <w:r>
        <w:rPr>
          <w:sz w:val="17"/>
          <w:szCs w:val="17"/>
        </w:rPr>
        <w:t xml:space="preserve">(low-pressure liquid withdrawal device) on the supply cylinder. Hand-tighten then snug with wrench if required (do not over-torque). </w:t>
      </w:r>
    </w:p>
    <w:p w14:paraId="4D8C9F1F" w14:textId="250F7326" w:rsidR="000D06A4" w:rsidRDefault="00000000">
      <w:pPr>
        <w:spacing w:before="80" w:after="20"/>
      </w:pPr>
      <w:r>
        <w:rPr>
          <w:b/>
          <w:bCs/>
          <w:color w:val="1A365D"/>
          <w:sz w:val="18"/>
          <w:szCs w:val="18"/>
        </w:rPr>
        <w:t xml:space="preserve">Step 4 — </w:t>
      </w:r>
      <w:r w:rsidR="002F2B63">
        <w:rPr>
          <w:b/>
          <w:bCs/>
          <w:color w:val="1A365D"/>
          <w:sz w:val="18"/>
          <w:szCs w:val="18"/>
        </w:rPr>
        <w:t>Open Vent Valve</w:t>
      </w:r>
    </w:p>
    <w:p w14:paraId="26C1403B" w14:textId="379178A4" w:rsidR="000D06A4" w:rsidRDefault="002F2B63">
      <w:pPr>
        <w:spacing w:after="60"/>
        <w:ind w:left="120"/>
      </w:pPr>
      <w:r>
        <w:rPr>
          <w:sz w:val="17"/>
          <w:szCs w:val="17"/>
        </w:rPr>
        <w:t>Open VENT or VAPOR valve on the liquid withdrawl device attached to the dewar being filled.</w:t>
      </w:r>
    </w:p>
    <w:p w14:paraId="5EC9D459" w14:textId="77777777" w:rsidR="000D06A4" w:rsidRDefault="00000000">
      <w:pPr>
        <w:spacing w:before="80" w:after="20"/>
      </w:pPr>
      <w:r>
        <w:rPr>
          <w:b/>
          <w:bCs/>
          <w:color w:val="1A365D"/>
          <w:sz w:val="18"/>
          <w:szCs w:val="18"/>
        </w:rPr>
        <w:t>Step 5 — Open supply liquid valve slowly</w:t>
      </w:r>
    </w:p>
    <w:p w14:paraId="7FE44E05" w14:textId="77777777" w:rsidR="000D06A4" w:rsidRDefault="00000000">
      <w:pPr>
        <w:spacing w:after="60"/>
        <w:ind w:left="120"/>
      </w:pPr>
      <w:r>
        <w:rPr>
          <w:sz w:val="17"/>
          <w:szCs w:val="17"/>
        </w:rPr>
        <w:t>Slowly open the liquid withdrawal valve on the supply cylinder. Liquid will initially flash to gas, producing loud boiling, sputtering, fog, and whistling. This is normal while hose and dewar cool (30–90 seconds). Keep valve only partially open until steady liquid flow is established.</w:t>
      </w:r>
    </w:p>
    <w:p w14:paraId="74920109" w14:textId="77777777" w:rsidR="000D06A4" w:rsidRDefault="00000000">
      <w:pPr>
        <w:spacing w:before="80" w:after="20"/>
      </w:pPr>
      <w:r>
        <w:rPr>
          <w:b/>
          <w:bCs/>
          <w:color w:val="1A365D"/>
          <w:sz w:val="18"/>
          <w:szCs w:val="18"/>
        </w:rPr>
        <w:t>Step 6 — Fill to desired level</w:t>
      </w:r>
    </w:p>
    <w:p w14:paraId="203EB3C7" w14:textId="7D81F870" w:rsidR="000D06A4" w:rsidRDefault="00000000">
      <w:pPr>
        <w:spacing w:after="60"/>
        <w:ind w:left="120"/>
      </w:pPr>
      <w:r>
        <w:rPr>
          <w:sz w:val="17"/>
          <w:szCs w:val="17"/>
        </w:rPr>
        <w:t xml:space="preserve">Continue filling until desired volume is reached. Preferred method: weigh the dewar (tare empty weight + desired fill mass). Alternative: fill until liquid begins to spit </w:t>
      </w:r>
      <w:r w:rsidR="002F2B63">
        <w:rPr>
          <w:sz w:val="17"/>
          <w:szCs w:val="17"/>
        </w:rPr>
        <w:t>from the VENT/VAPOR valve</w:t>
      </w:r>
      <w:r>
        <w:rPr>
          <w:sz w:val="17"/>
          <w:szCs w:val="17"/>
        </w:rPr>
        <w:t xml:space="preserve"> (stop before full overflow). Never overfill – leave headspace for expansion.</w:t>
      </w:r>
    </w:p>
    <w:p w14:paraId="2083965D" w14:textId="77777777" w:rsidR="000D06A4" w:rsidRDefault="00000000">
      <w:pPr>
        <w:spacing w:before="80" w:after="20"/>
      </w:pPr>
      <w:r>
        <w:rPr>
          <w:b/>
          <w:bCs/>
          <w:color w:val="1A365D"/>
          <w:sz w:val="18"/>
          <w:szCs w:val="18"/>
        </w:rPr>
        <w:t>Step 7 — Close supply valve first</w:t>
      </w:r>
    </w:p>
    <w:p w14:paraId="732C22AF" w14:textId="4D06AEAC" w:rsidR="000D06A4" w:rsidRDefault="00000000">
      <w:pPr>
        <w:spacing w:after="60"/>
        <w:ind w:left="120"/>
      </w:pPr>
      <w:r>
        <w:rPr>
          <w:sz w:val="17"/>
          <w:szCs w:val="17"/>
        </w:rPr>
        <w:t>When fill is complete, fully close the liquid withdrawal valve on the supply cylinder. Wait a few seconds for residual liquid in the hose to stop flowing.</w:t>
      </w:r>
      <w:r w:rsidR="002F2B63">
        <w:rPr>
          <w:sz w:val="17"/>
          <w:szCs w:val="17"/>
        </w:rPr>
        <w:t xml:space="preserve">  Then close VENT/VAPOR valve and then close LIQUID valve on dewar.</w:t>
      </w:r>
    </w:p>
    <w:p w14:paraId="5557A559" w14:textId="759FB213" w:rsidR="000D06A4" w:rsidRDefault="00000000">
      <w:pPr>
        <w:spacing w:before="80" w:after="20"/>
      </w:pPr>
      <w:r>
        <w:rPr>
          <w:b/>
          <w:bCs/>
          <w:color w:val="1A365D"/>
          <w:sz w:val="18"/>
          <w:szCs w:val="18"/>
        </w:rPr>
        <w:t>Step 8</w:t>
      </w:r>
      <w:r w:rsidR="002F2B63">
        <w:rPr>
          <w:b/>
          <w:bCs/>
          <w:color w:val="1A365D"/>
          <w:sz w:val="18"/>
          <w:szCs w:val="18"/>
        </w:rPr>
        <w:t xml:space="preserve"> </w:t>
      </w:r>
      <w:r>
        <w:rPr>
          <w:b/>
          <w:bCs/>
          <w:color w:val="1A365D"/>
          <w:sz w:val="18"/>
          <w:szCs w:val="18"/>
        </w:rPr>
        <w:t>— Disconnect and stow</w:t>
      </w:r>
    </w:p>
    <w:p w14:paraId="1E6F224C" w14:textId="77777777" w:rsidR="000D06A4" w:rsidRDefault="00000000">
      <w:pPr>
        <w:spacing w:after="60"/>
        <w:ind w:left="120"/>
      </w:pPr>
      <w:r>
        <w:rPr>
          <w:sz w:val="17"/>
          <w:szCs w:val="17"/>
        </w:rPr>
        <w:t>Disconnect the transfer hose from the supply cylinder (after pressure has bled down). Cap the hose ends if required. Return the supply cylinder valve to the fully closed position and secure the area.</w:t>
      </w:r>
    </w:p>
    <w:p w14:paraId="288384B8" w14:textId="77777777" w:rsidR="000D06A4" w:rsidRDefault="00000000">
      <w:pPr>
        <w:pStyle w:val="Heading1"/>
      </w:pPr>
      <w:r>
        <w:rPr>
          <w:sz w:val="22"/>
          <w:szCs w:val="22"/>
        </w:rPr>
        <w:lastRenderedPageBreak/>
        <w:t>7. POST-FILL ACTIONS</w:t>
      </w:r>
    </w:p>
    <w:p w14:paraId="588748C8" w14:textId="77777777" w:rsidR="000D06A4" w:rsidRDefault="00000000">
      <w:pPr>
        <w:pStyle w:val="ListParagraph"/>
        <w:numPr>
          <w:ilvl w:val="0"/>
          <w:numId w:val="5"/>
        </w:numPr>
        <w:spacing w:after="40"/>
      </w:pPr>
      <w:r>
        <w:rPr>
          <w:sz w:val="18"/>
          <w:szCs w:val="18"/>
        </w:rPr>
        <w:t>Inspect the filled dewar for leaks, unusual frosting, or pressure relief activity.</w:t>
      </w:r>
    </w:p>
    <w:p w14:paraId="58FFF480" w14:textId="77777777" w:rsidR="000D06A4" w:rsidRDefault="00000000">
      <w:pPr>
        <w:pStyle w:val="ListParagraph"/>
        <w:numPr>
          <w:ilvl w:val="0"/>
          <w:numId w:val="5"/>
        </w:numPr>
        <w:spacing w:after="40"/>
      </w:pPr>
      <w:r>
        <w:rPr>
          <w:sz w:val="18"/>
          <w:szCs w:val="18"/>
        </w:rPr>
        <w:t>Label the dewar with date/time filled and contents if not already labeled.</w:t>
      </w:r>
    </w:p>
    <w:p w14:paraId="6E53B627" w14:textId="77777777" w:rsidR="000D06A4" w:rsidRDefault="00000000">
      <w:pPr>
        <w:pStyle w:val="ListParagraph"/>
        <w:numPr>
          <w:ilvl w:val="0"/>
          <w:numId w:val="5"/>
        </w:numPr>
        <w:spacing w:after="40"/>
      </w:pPr>
      <w:r>
        <w:rPr>
          <w:sz w:val="18"/>
          <w:szCs w:val="18"/>
        </w:rPr>
        <w:t>Transport the dewar upright on a proper cryogenic cart. Never roll, drag, or tip it.</w:t>
      </w:r>
    </w:p>
    <w:p w14:paraId="1C7FE657" w14:textId="77777777" w:rsidR="000D06A4" w:rsidRDefault="00000000">
      <w:pPr>
        <w:pStyle w:val="ListParagraph"/>
        <w:numPr>
          <w:ilvl w:val="0"/>
          <w:numId w:val="5"/>
        </w:numPr>
        <w:spacing w:after="40"/>
      </w:pPr>
      <w:r>
        <w:rPr>
          <w:sz w:val="18"/>
          <w:szCs w:val="18"/>
        </w:rPr>
        <w:t>Store in a well-ventilated designated area. Do not leave unattended in corridors or occupied rooms.</w:t>
      </w:r>
    </w:p>
    <w:p w14:paraId="71B447EE" w14:textId="77777777" w:rsidR="000D06A4" w:rsidRDefault="00000000">
      <w:pPr>
        <w:pStyle w:val="ListParagraph"/>
        <w:numPr>
          <w:ilvl w:val="0"/>
          <w:numId w:val="5"/>
        </w:numPr>
        <w:spacing w:after="40"/>
      </w:pPr>
      <w:r>
        <w:rPr>
          <w:sz w:val="18"/>
          <w:szCs w:val="18"/>
        </w:rPr>
        <w:t>Log the fill if required by facility procedures.</w:t>
      </w:r>
    </w:p>
    <w:p w14:paraId="2C387BBC" w14:textId="77777777" w:rsidR="000D06A4" w:rsidRDefault="00000000">
      <w:pPr>
        <w:pStyle w:val="ListParagraph"/>
        <w:numPr>
          <w:ilvl w:val="0"/>
          <w:numId w:val="5"/>
        </w:numPr>
        <w:spacing w:after="40"/>
      </w:pPr>
      <w:r>
        <w:rPr>
          <w:sz w:val="18"/>
          <w:szCs w:val="18"/>
        </w:rPr>
        <w:t>Allow the transfer hose to warm and dry completely before storing.</w:t>
      </w:r>
    </w:p>
    <w:p w14:paraId="0DEFA1F5" w14:textId="77777777" w:rsidR="000D06A4" w:rsidRDefault="00000000">
      <w:pPr>
        <w:pStyle w:val="Heading1"/>
      </w:pPr>
      <w:r>
        <w:rPr>
          <w:sz w:val="22"/>
          <w:szCs w:val="22"/>
        </w:rPr>
        <w:t>8. EMERGENCY RESPONSE (QUICK REFERENCE)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8400"/>
      </w:tblGrid>
      <w:tr w:rsidR="000D06A4" w14:paraId="04E7E961" w14:textId="77777777">
        <w:tblPrEx>
          <w:tblCellMar>
            <w:top w:w="0" w:type="dxa"/>
            <w:bottom w:w="0" w:type="dxa"/>
          </w:tblCellMar>
        </w:tblPrEx>
        <w:tc>
          <w:tcPr>
            <w:tcW w:w="2400" w:type="dxa"/>
            <w:tcBorders>
              <w:top w:val="single" w:sz="4" w:space="0" w:color="E2E8F0"/>
              <w:left w:val="single" w:sz="4" w:space="0" w:color="E2E8F0"/>
              <w:bottom w:val="single" w:sz="4" w:space="0" w:color="E2E8F0"/>
              <w:right w:val="single" w:sz="4" w:space="0" w:color="E2E8F0"/>
            </w:tcBorders>
            <w:shd w:val="clear" w:color="auto" w:fill="F7FAFC"/>
            <w:tcMar>
              <w:top w:w="50" w:type="dxa"/>
              <w:left w:w="80" w:type="dxa"/>
              <w:bottom w:w="50" w:type="dxa"/>
              <w:right w:w="80" w:type="dxa"/>
            </w:tcMar>
          </w:tcPr>
          <w:p w14:paraId="3D24F27F" w14:textId="77777777" w:rsidR="000D06A4" w:rsidRDefault="00000000">
            <w:r>
              <w:rPr>
                <w:b/>
                <w:bCs/>
                <w:color w:val="C53030"/>
                <w:sz w:val="15"/>
                <w:szCs w:val="15"/>
              </w:rPr>
              <w:t>Cold Burn / Frostbite</w:t>
            </w:r>
          </w:p>
        </w:tc>
        <w:tc>
          <w:tcPr>
            <w:tcW w:w="8400" w:type="dxa"/>
            <w:tcBorders>
              <w:top w:val="single" w:sz="4" w:space="0" w:color="E2E8F0"/>
              <w:left w:val="single" w:sz="4" w:space="0" w:color="E2E8F0"/>
              <w:bottom w:val="single" w:sz="4" w:space="0" w:color="E2E8F0"/>
              <w:right w:val="single" w:sz="4" w:space="0" w:color="E2E8F0"/>
            </w:tcBorders>
            <w:shd w:val="clear" w:color="auto" w:fill="F7FAFC"/>
            <w:tcMar>
              <w:top w:w="50" w:type="dxa"/>
              <w:left w:w="80" w:type="dxa"/>
              <w:bottom w:w="50" w:type="dxa"/>
              <w:right w:w="80" w:type="dxa"/>
            </w:tcMar>
          </w:tcPr>
          <w:p w14:paraId="4D77B858" w14:textId="77777777" w:rsidR="000D06A4" w:rsidRDefault="00000000">
            <w:r>
              <w:rPr>
                <w:sz w:val="15"/>
                <w:szCs w:val="15"/>
              </w:rPr>
              <w:t>Flush affected area with tepid (not hot) water for 15+ minutes. Do not rub. Seek medical attention. Remove clothing only after thawing if stuck.</w:t>
            </w:r>
          </w:p>
        </w:tc>
      </w:tr>
      <w:tr w:rsidR="000D06A4" w14:paraId="35D70120" w14:textId="77777777">
        <w:tblPrEx>
          <w:tblCellMar>
            <w:top w:w="0" w:type="dxa"/>
            <w:bottom w:w="0" w:type="dxa"/>
          </w:tblCellMar>
        </w:tblPrEx>
        <w:tc>
          <w:tcPr>
            <w:tcW w:w="2400" w:type="dxa"/>
            <w:tcBorders>
              <w:top w:val="single" w:sz="4" w:space="0" w:color="E2E8F0"/>
              <w:left w:val="single" w:sz="4" w:space="0" w:color="E2E8F0"/>
              <w:bottom w:val="single" w:sz="4" w:space="0" w:color="E2E8F0"/>
              <w:right w:val="single" w:sz="4" w:space="0" w:color="E2E8F0"/>
            </w:tcBorders>
            <w:shd w:val="clear" w:color="auto" w:fill="F7FAFC"/>
            <w:tcMar>
              <w:top w:w="50" w:type="dxa"/>
              <w:left w:w="80" w:type="dxa"/>
              <w:bottom w:w="50" w:type="dxa"/>
              <w:right w:w="80" w:type="dxa"/>
            </w:tcMar>
          </w:tcPr>
          <w:p w14:paraId="4FF0E6CF" w14:textId="77777777" w:rsidR="000D06A4" w:rsidRDefault="00000000">
            <w:r>
              <w:rPr>
                <w:b/>
                <w:bCs/>
                <w:color w:val="C53030"/>
                <w:sz w:val="15"/>
                <w:szCs w:val="15"/>
              </w:rPr>
              <w:t>Eye Contact</w:t>
            </w:r>
          </w:p>
        </w:tc>
        <w:tc>
          <w:tcPr>
            <w:tcW w:w="8400" w:type="dxa"/>
            <w:tcBorders>
              <w:top w:val="single" w:sz="4" w:space="0" w:color="E2E8F0"/>
              <w:left w:val="single" w:sz="4" w:space="0" w:color="E2E8F0"/>
              <w:bottom w:val="single" w:sz="4" w:space="0" w:color="E2E8F0"/>
              <w:right w:val="single" w:sz="4" w:space="0" w:color="E2E8F0"/>
            </w:tcBorders>
            <w:shd w:val="clear" w:color="auto" w:fill="F7FAFC"/>
            <w:tcMar>
              <w:top w:w="50" w:type="dxa"/>
              <w:left w:w="80" w:type="dxa"/>
              <w:bottom w:w="50" w:type="dxa"/>
              <w:right w:w="80" w:type="dxa"/>
            </w:tcMar>
          </w:tcPr>
          <w:p w14:paraId="67D3725B" w14:textId="77777777" w:rsidR="000D06A4" w:rsidRDefault="00000000">
            <w:r>
              <w:rPr>
                <w:sz w:val="15"/>
                <w:szCs w:val="15"/>
              </w:rPr>
              <w:t>Immediately flush with water for 15 minutes, holding eyelids open. Get medical help at once.</w:t>
            </w:r>
          </w:p>
        </w:tc>
      </w:tr>
      <w:tr w:rsidR="000D06A4" w14:paraId="61AB150F" w14:textId="77777777">
        <w:tblPrEx>
          <w:tblCellMar>
            <w:top w:w="0" w:type="dxa"/>
            <w:bottom w:w="0" w:type="dxa"/>
          </w:tblCellMar>
        </w:tblPrEx>
        <w:tc>
          <w:tcPr>
            <w:tcW w:w="2400" w:type="dxa"/>
            <w:tcBorders>
              <w:top w:val="single" w:sz="4" w:space="0" w:color="E2E8F0"/>
              <w:left w:val="single" w:sz="4" w:space="0" w:color="E2E8F0"/>
              <w:bottom w:val="single" w:sz="4" w:space="0" w:color="E2E8F0"/>
              <w:right w:val="single" w:sz="4" w:space="0" w:color="E2E8F0"/>
            </w:tcBorders>
            <w:shd w:val="clear" w:color="auto" w:fill="F7FAFC"/>
            <w:tcMar>
              <w:top w:w="50" w:type="dxa"/>
              <w:left w:w="80" w:type="dxa"/>
              <w:bottom w:w="50" w:type="dxa"/>
              <w:right w:w="80" w:type="dxa"/>
            </w:tcMar>
          </w:tcPr>
          <w:p w14:paraId="1452E9F7" w14:textId="77777777" w:rsidR="000D06A4" w:rsidRDefault="00000000">
            <w:r>
              <w:rPr>
                <w:b/>
                <w:bCs/>
                <w:color w:val="C53030"/>
                <w:sz w:val="15"/>
                <w:szCs w:val="15"/>
              </w:rPr>
              <w:t>Asphyxiation / O₂ Alarm</w:t>
            </w:r>
          </w:p>
        </w:tc>
        <w:tc>
          <w:tcPr>
            <w:tcW w:w="8400" w:type="dxa"/>
            <w:tcBorders>
              <w:top w:val="single" w:sz="4" w:space="0" w:color="E2E8F0"/>
              <w:left w:val="single" w:sz="4" w:space="0" w:color="E2E8F0"/>
              <w:bottom w:val="single" w:sz="4" w:space="0" w:color="E2E8F0"/>
              <w:right w:val="single" w:sz="4" w:space="0" w:color="E2E8F0"/>
            </w:tcBorders>
            <w:shd w:val="clear" w:color="auto" w:fill="F7FAFC"/>
            <w:tcMar>
              <w:top w:w="50" w:type="dxa"/>
              <w:left w:w="80" w:type="dxa"/>
              <w:bottom w:w="50" w:type="dxa"/>
              <w:right w:w="80" w:type="dxa"/>
            </w:tcMar>
          </w:tcPr>
          <w:p w14:paraId="4BE66B31" w14:textId="77777777" w:rsidR="000D06A4" w:rsidRDefault="00000000">
            <w:r>
              <w:rPr>
                <w:sz w:val="15"/>
                <w:szCs w:val="15"/>
              </w:rPr>
              <w:t>Evacuate the area immediately. Do not re-enter until oxygen levels are confirmed safe. Call emergency services if anyone is down.</w:t>
            </w:r>
          </w:p>
        </w:tc>
      </w:tr>
      <w:tr w:rsidR="000D06A4" w14:paraId="0D472AC5" w14:textId="77777777">
        <w:tblPrEx>
          <w:tblCellMar>
            <w:top w:w="0" w:type="dxa"/>
            <w:bottom w:w="0" w:type="dxa"/>
          </w:tblCellMar>
        </w:tblPrEx>
        <w:tc>
          <w:tcPr>
            <w:tcW w:w="2400" w:type="dxa"/>
            <w:tcBorders>
              <w:top w:val="single" w:sz="4" w:space="0" w:color="E2E8F0"/>
              <w:left w:val="single" w:sz="4" w:space="0" w:color="E2E8F0"/>
              <w:bottom w:val="single" w:sz="4" w:space="0" w:color="E2E8F0"/>
              <w:right w:val="single" w:sz="4" w:space="0" w:color="E2E8F0"/>
            </w:tcBorders>
            <w:shd w:val="clear" w:color="auto" w:fill="F7FAFC"/>
            <w:tcMar>
              <w:top w:w="50" w:type="dxa"/>
              <w:left w:w="80" w:type="dxa"/>
              <w:bottom w:w="50" w:type="dxa"/>
              <w:right w:w="80" w:type="dxa"/>
            </w:tcMar>
          </w:tcPr>
          <w:p w14:paraId="7B53CD9E" w14:textId="77777777" w:rsidR="000D06A4" w:rsidRDefault="00000000">
            <w:r>
              <w:rPr>
                <w:b/>
                <w:bCs/>
                <w:color w:val="C53030"/>
                <w:sz w:val="15"/>
                <w:szCs w:val="15"/>
              </w:rPr>
              <w:t>Major Spill</w:t>
            </w:r>
          </w:p>
        </w:tc>
        <w:tc>
          <w:tcPr>
            <w:tcW w:w="8400" w:type="dxa"/>
            <w:tcBorders>
              <w:top w:val="single" w:sz="4" w:space="0" w:color="E2E8F0"/>
              <w:left w:val="single" w:sz="4" w:space="0" w:color="E2E8F0"/>
              <w:bottom w:val="single" w:sz="4" w:space="0" w:color="E2E8F0"/>
              <w:right w:val="single" w:sz="4" w:space="0" w:color="E2E8F0"/>
            </w:tcBorders>
            <w:shd w:val="clear" w:color="auto" w:fill="F7FAFC"/>
            <w:tcMar>
              <w:top w:w="50" w:type="dxa"/>
              <w:left w:w="80" w:type="dxa"/>
              <w:bottom w:w="50" w:type="dxa"/>
              <w:right w:w="80" w:type="dxa"/>
            </w:tcMar>
          </w:tcPr>
          <w:p w14:paraId="59041930" w14:textId="77777777" w:rsidR="000D06A4" w:rsidRDefault="00000000">
            <w:r>
              <w:rPr>
                <w:sz w:val="15"/>
                <w:szCs w:val="15"/>
              </w:rPr>
              <w:t>Alert others, evacuate, activate emergency shut-off if available, and call facility emergency number. Large spills create oxygen-deficient atmospheres.</w:t>
            </w:r>
          </w:p>
        </w:tc>
      </w:tr>
    </w:tbl>
    <w:p w14:paraId="7E40835B" w14:textId="52177C31" w:rsidR="000D06A4" w:rsidRDefault="002F2B63">
      <w:pPr>
        <w:pBdr>
          <w:top w:val="single" w:sz="4" w:space="8" w:color="E2E8F0"/>
        </w:pBdr>
        <w:spacing w:before="200" w:after="60"/>
      </w:pPr>
      <w:r>
        <w:rPr>
          <w:b/>
          <w:bCs/>
          <w:color w:val="4A5568"/>
          <w:sz w:val="16"/>
          <w:szCs w:val="16"/>
        </w:rPr>
        <w:t>Visual Reference</w:t>
      </w:r>
    </w:p>
    <w:p w14:paraId="66093172" w14:textId="3458DFA9" w:rsidR="000D06A4" w:rsidRDefault="002F2B63">
      <w:pPr>
        <w:spacing w:before="100"/>
        <w:jc w:val="center"/>
      </w:pPr>
      <w:r>
        <w:rPr>
          <w:noProof/>
        </w:rPr>
        <mc:AlternateContent>
          <mc:Choice Requires="wps">
            <w:drawing>
              <wp:anchor distT="0" distB="0" distL="114300" distR="114300" simplePos="0" relativeHeight="251663360" behindDoc="0" locked="0" layoutInCell="1" allowOverlap="1" wp14:anchorId="508936E7" wp14:editId="1D68E74B">
                <wp:simplePos x="0" y="0"/>
                <wp:positionH relativeFrom="column">
                  <wp:posOffset>5105400</wp:posOffset>
                </wp:positionH>
                <wp:positionV relativeFrom="paragraph">
                  <wp:posOffset>1857375</wp:posOffset>
                </wp:positionV>
                <wp:extent cx="1600200" cy="885825"/>
                <wp:effectExtent l="0" t="19050" r="38100" b="47625"/>
                <wp:wrapNone/>
                <wp:docPr id="1160081539" name="Arrow: Right 2"/>
                <wp:cNvGraphicFramePr/>
                <a:graphic xmlns:a="http://schemas.openxmlformats.org/drawingml/2006/main">
                  <a:graphicData uri="http://schemas.microsoft.com/office/word/2010/wordprocessingShape">
                    <wps:wsp>
                      <wps:cNvSpPr/>
                      <wps:spPr>
                        <a:xfrm>
                          <a:off x="0" y="0"/>
                          <a:ext cx="1600200" cy="885825"/>
                        </a:xfrm>
                        <a:prstGeom prst="rightArrow">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63C87CCE" w14:textId="7687F027" w:rsidR="002F2B63" w:rsidRDefault="002F2B63" w:rsidP="002F2B63">
                            <w:pPr>
                              <w:jc w:val="center"/>
                            </w:pPr>
                            <w:r>
                              <w:t>Vapor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08936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left:0;text-align:left;margin-left:402pt;margin-top:146.25pt;width:126pt;height:6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" adj="15621" fillcolor="#0f9ed5 [3207]" strokecolor="#02171f [487]" strokeweight="1.5pt">
                <v:textbox>
                  <w:txbxContent>
                    <w:p w14:paraId="63C87CCE" w14:textId="7687F027" w:rsidR="002F2B63" w:rsidRDefault="002F2B63" w:rsidP="002F2B63">
                      <w:pPr>
                        <w:jc w:val="center"/>
                      </w:pPr>
                      <w:r>
                        <w:t>Vapor</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362683E" wp14:editId="019A5EFE">
                <wp:simplePos x="0" y="0"/>
                <wp:positionH relativeFrom="column">
                  <wp:posOffset>57150</wp:posOffset>
                </wp:positionH>
                <wp:positionV relativeFrom="paragraph">
                  <wp:posOffset>1876425</wp:posOffset>
                </wp:positionV>
                <wp:extent cx="1600200" cy="885825"/>
                <wp:effectExtent l="0" t="19050" r="38100" b="47625"/>
                <wp:wrapNone/>
                <wp:docPr id="944117421" name="Arrow: Right 2"/>
                <wp:cNvGraphicFramePr/>
                <a:graphic xmlns:a="http://schemas.openxmlformats.org/drawingml/2006/main">
                  <a:graphicData uri="http://schemas.microsoft.com/office/word/2010/wordprocessingShape">
                    <wps:wsp>
                      <wps:cNvSpPr/>
                      <wps:spPr>
                        <a:xfrm>
                          <a:off x="0" y="0"/>
                          <a:ext cx="1600200" cy="885825"/>
                        </a:xfrm>
                        <a:prstGeom prst="rightArrow">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14CFC3E2" w14:textId="79BEA39D" w:rsidR="002F2B63" w:rsidRDefault="002F2B63" w:rsidP="002F2B63">
                            <w:pPr>
                              <w:jc w:val="center"/>
                            </w:pPr>
                            <w:r>
                              <w:t>From Supply 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62683E" id="_x0000_s1027" type="#_x0000_t13" style="position:absolute;left:0;text-align:left;margin-left:4.5pt;margin-top:147.75pt;width:126pt;height:6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" adj="15621" fillcolor="#0f9ed5 [3207]" strokecolor="#02171f [487]" strokeweight="1.5pt">
                <v:textbox>
                  <w:txbxContent>
                    <w:p w14:paraId="14CFC3E2" w14:textId="79BEA39D" w:rsidR="002F2B63" w:rsidRDefault="002F2B63" w:rsidP="002F2B63">
                      <w:pPr>
                        <w:jc w:val="center"/>
                      </w:pPr>
                      <w:r>
                        <w:t>From Supply Tank</w:t>
                      </w:r>
                    </w:p>
                  </w:txbxContent>
                </v:textbox>
              </v:shape>
            </w:pict>
          </mc:Fallback>
        </mc:AlternateContent>
      </w:r>
      <w:r>
        <w:rPr>
          <w:noProof/>
        </w:rPr>
        <mc:AlternateContent>
          <mc:Choice Requires="wps">
            <w:drawing>
              <wp:anchor distT="45720" distB="45720" distL="114300" distR="114300" simplePos="0" relativeHeight="251659264" behindDoc="1" locked="0" layoutInCell="1" allowOverlap="1" wp14:anchorId="5990FC87" wp14:editId="1041B1E0">
                <wp:simplePos x="0" y="0"/>
                <wp:positionH relativeFrom="column">
                  <wp:posOffset>1038225</wp:posOffset>
                </wp:positionH>
                <wp:positionV relativeFrom="paragraph">
                  <wp:posOffset>1228725</wp:posOffset>
                </wp:positionV>
                <wp:extent cx="4829175" cy="1404620"/>
                <wp:effectExtent l="0" t="0" r="28575"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1404620"/>
                        </a:xfrm>
                        <a:prstGeom prst="rect">
                          <a:avLst/>
                        </a:prstGeom>
                        <a:solidFill>
                          <a:srgbClr val="FFFFFF"/>
                        </a:solidFill>
                        <a:ln w="9525">
                          <a:solidFill>
                            <a:srgbClr val="000000"/>
                          </a:solidFill>
                          <a:miter lim="800000"/>
                          <a:headEnd/>
                          <a:tailEnd/>
                        </a:ln>
                      </wps:spPr>
                      <wps:txbx>
                        <w:txbxContent>
                          <w:p w14:paraId="703C5B86" w14:textId="50ED39A8" w:rsidR="002F2B63" w:rsidRDefault="002F2B63">
                            <w:r>
                              <w:t>Liquid Valve</w:t>
                            </w:r>
                            <w:r>
                              <w:tab/>
                            </w:r>
                            <w:r>
                              <w:tab/>
                            </w:r>
                            <w:r>
                              <w:tab/>
                            </w:r>
                            <w:r>
                              <w:tab/>
                              <w:t xml:space="preserve">                                    Vent/Vapor Valve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90FC87" id="_x0000_t202" coordsize="21600,21600" o:spt="202" path="m,l,21600r21600,l21600,xe">
                <v:stroke joinstyle="miter"/>
                <v:path gradientshapeok="t" o:connecttype="rect"/>
              </v:shapetype>
              <v:shape id="Text Box 2" o:spid="_x0000_s1028" type="#_x0000_t202" style="position:absolute;left:0;text-align:left;margin-left:81.75pt;margin-top:96.75pt;width:380.2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">
                <v:textbox style="mso-fit-shape-to-text:t">
                  <w:txbxContent>
                    <w:p w14:paraId="703C5B86" w14:textId="50ED39A8" w:rsidR="002F2B63" w:rsidRDefault="002F2B63">
                      <w:r>
                        <w:t>Liquid Valve</w:t>
                      </w:r>
                      <w:r>
                        <w:tab/>
                      </w:r>
                      <w:r>
                        <w:tab/>
                      </w:r>
                      <w:r>
                        <w:tab/>
                      </w:r>
                      <w:r>
                        <w:tab/>
                        <w:t xml:space="preserve">                                    Vent/Vapor Valve</w:t>
                      </w:r>
                    </w:p>
                  </w:txbxContent>
                </v:textbox>
              </v:shape>
            </w:pict>
          </mc:Fallback>
        </mc:AlternateContent>
      </w:r>
      <w:r>
        <w:rPr>
          <w:noProof/>
        </w:rPr>
        <w:drawing>
          <wp:anchor distT="0" distB="0" distL="114300" distR="114300" simplePos="0" relativeHeight="251660288" behindDoc="1" locked="0" layoutInCell="1" allowOverlap="1" wp14:anchorId="3E640A9A" wp14:editId="27D49735">
            <wp:simplePos x="0" y="0"/>
            <wp:positionH relativeFrom="column">
              <wp:posOffset>895350</wp:posOffset>
            </wp:positionH>
            <wp:positionV relativeFrom="paragraph">
              <wp:posOffset>952500</wp:posOffset>
            </wp:positionV>
            <wp:extent cx="5076825" cy="3807460"/>
            <wp:effectExtent l="0" t="0" r="0" b="0"/>
            <wp:wrapNone/>
            <wp:docPr id="1006148878" name="Picture 1" descr="AC Liquid Withdrawal Device for AC LIN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 Liquid Withdrawal Device for AC LIN seri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6825" cy="3807460"/>
                    </a:xfrm>
                    <a:prstGeom prst="rect">
                      <a:avLst/>
                    </a:prstGeom>
                    <a:noFill/>
                    <a:ln>
                      <a:noFill/>
                    </a:ln>
                  </pic:spPr>
                </pic:pic>
              </a:graphicData>
            </a:graphic>
          </wp:anchor>
        </w:drawing>
      </w:r>
    </w:p>
    <w:sectPr w:rsidR="000D06A4">
      <w:headerReference w:type="default" r:id="rId8"/>
      <w:footerReference w:type="default" r:id="rId9"/>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1F371" w14:textId="77777777" w:rsidR="009F702C" w:rsidRDefault="009F702C">
      <w:r>
        <w:separator/>
      </w:r>
    </w:p>
  </w:endnote>
  <w:endnote w:type="continuationSeparator" w:id="0">
    <w:p w14:paraId="3A1175D2" w14:textId="77777777" w:rsidR="009F702C" w:rsidRDefault="009F7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123C" w14:textId="77777777" w:rsidR="000D06A4" w:rsidRDefault="00000000">
    <w:pPr>
      <w:pBdr>
        <w:top w:val="single" w:sz="6" w:space="4" w:color="1A365D"/>
      </w:pBdr>
      <w:spacing w:before="60"/>
      <w:jc w:val="center"/>
    </w:pPr>
    <w:r>
      <w:rPr>
        <w:color w:val="4A5568"/>
        <w:sz w:val="14"/>
        <w:szCs w:val="14"/>
      </w:rPr>
      <w:t xml:space="preserve">Page </w:t>
    </w:r>
    <w:r>
      <w:rPr>
        <w:color w:val="4A5568"/>
        <w:sz w:val="14"/>
        <w:szCs w:val="14"/>
      </w:rPr>
      <w:fldChar w:fldCharType="begin"/>
    </w:r>
    <w:r>
      <w:rPr>
        <w:color w:val="4A5568"/>
        <w:sz w:val="14"/>
        <w:szCs w:val="14"/>
      </w:rPr>
      <w:instrText>PAGE</w:instrText>
    </w:r>
    <w:r>
      <w:rPr>
        <w:color w:val="4A5568"/>
        <w:sz w:val="14"/>
        <w:szCs w:val="14"/>
      </w:rPr>
      <w:fldChar w:fldCharType="separate"/>
    </w:r>
    <w:r w:rsidR="002F2B63">
      <w:rPr>
        <w:noProof/>
        <w:color w:val="4A5568"/>
        <w:sz w:val="14"/>
        <w:szCs w:val="14"/>
      </w:rPr>
      <w:t>1</w:t>
    </w:r>
    <w:r>
      <w:rPr>
        <w:color w:val="4A5568"/>
        <w:sz w:val="14"/>
        <w:szCs w:val="14"/>
      </w:rPr>
      <w:fldChar w:fldCharType="end"/>
    </w:r>
    <w:r>
      <w:rPr>
        <w:color w:val="4A5568"/>
        <w:sz w:val="14"/>
        <w:szCs w:val="14"/>
      </w:rPr>
      <w:t xml:space="preserve"> of </w:t>
    </w:r>
    <w:r>
      <w:rPr>
        <w:color w:val="4A5568"/>
        <w:sz w:val="14"/>
        <w:szCs w:val="14"/>
      </w:rPr>
      <w:fldChar w:fldCharType="begin"/>
    </w:r>
    <w:r>
      <w:rPr>
        <w:color w:val="4A5568"/>
        <w:sz w:val="14"/>
        <w:szCs w:val="14"/>
      </w:rPr>
      <w:instrText>NUMPAGES</w:instrText>
    </w:r>
    <w:r>
      <w:rPr>
        <w:color w:val="4A5568"/>
        <w:sz w:val="14"/>
        <w:szCs w:val="14"/>
      </w:rPr>
      <w:fldChar w:fldCharType="separate"/>
    </w:r>
    <w:r w:rsidR="002F2B63">
      <w:rPr>
        <w:noProof/>
        <w:color w:val="4A5568"/>
        <w:sz w:val="14"/>
        <w:szCs w:val="14"/>
      </w:rPr>
      <w:t>2</w:t>
    </w:r>
    <w:r>
      <w:rPr>
        <w:color w:val="4A5568"/>
        <w:sz w:val="14"/>
        <w:szCs w:val="14"/>
      </w:rPr>
      <w:fldChar w:fldCharType="end"/>
    </w:r>
    <w:r>
      <w:rPr>
        <w:color w:val="4A5568"/>
        <w:sz w:val="14"/>
        <w:szCs w:val="14"/>
      </w:rPr>
      <w:t xml:space="preserve">  •  Cryogenic equipment requires regular inspection  •  Manufacturer manuals take precedence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63CEF" w14:textId="77777777" w:rsidR="009F702C" w:rsidRDefault="009F702C">
      <w:r>
        <w:separator/>
      </w:r>
    </w:p>
  </w:footnote>
  <w:footnote w:type="continuationSeparator" w:id="0">
    <w:p w14:paraId="37E4411D" w14:textId="77777777" w:rsidR="009F702C" w:rsidRDefault="009F7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B911" w14:textId="77777777" w:rsidR="000D06A4" w:rsidRDefault="00000000">
    <w:pPr>
      <w:pBdr>
        <w:bottom w:val="single" w:sz="6" w:space="4" w:color="1A365D"/>
      </w:pBdr>
      <w:jc w:val="center"/>
    </w:pPr>
    <w:r>
      <w:rPr>
        <w:color w:val="4A5568"/>
        <w:sz w:val="16"/>
        <w:szCs w:val="16"/>
      </w:rPr>
      <w:t>LN₂ Dewar Fill Procedure  |  Low-Pressure Liquid Withdrawal  |  Trained Personnel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85B20"/>
    <w:multiLevelType w:val="hybridMultilevel"/>
    <w:tmpl w:val="2750A574"/>
    <w:lvl w:ilvl="0" w:tplc="FBEE7ED8">
      <w:start w:val="1"/>
      <w:numFmt w:val="bullet"/>
      <w:lvlText w:val="•"/>
      <w:lvlJc w:val="left"/>
      <w:pPr>
        <w:ind w:left="360" w:hanging="180"/>
      </w:pPr>
    </w:lvl>
    <w:lvl w:ilvl="1" w:tplc="93F81D10">
      <w:numFmt w:val="decimal"/>
      <w:lvlText w:val=""/>
      <w:lvlJc w:val="left"/>
    </w:lvl>
    <w:lvl w:ilvl="2" w:tplc="61CC2804">
      <w:numFmt w:val="decimal"/>
      <w:lvlText w:val=""/>
      <w:lvlJc w:val="left"/>
    </w:lvl>
    <w:lvl w:ilvl="3" w:tplc="9C783442">
      <w:numFmt w:val="decimal"/>
      <w:lvlText w:val=""/>
      <w:lvlJc w:val="left"/>
    </w:lvl>
    <w:lvl w:ilvl="4" w:tplc="57221FA4">
      <w:numFmt w:val="decimal"/>
      <w:lvlText w:val=""/>
      <w:lvlJc w:val="left"/>
    </w:lvl>
    <w:lvl w:ilvl="5" w:tplc="5B2C3A92">
      <w:numFmt w:val="decimal"/>
      <w:lvlText w:val=""/>
      <w:lvlJc w:val="left"/>
    </w:lvl>
    <w:lvl w:ilvl="6" w:tplc="4A80A4C2">
      <w:numFmt w:val="decimal"/>
      <w:lvlText w:val=""/>
      <w:lvlJc w:val="left"/>
    </w:lvl>
    <w:lvl w:ilvl="7" w:tplc="3C10BFB2">
      <w:numFmt w:val="decimal"/>
      <w:lvlText w:val=""/>
      <w:lvlJc w:val="left"/>
    </w:lvl>
    <w:lvl w:ilvl="8" w:tplc="9446AC56">
      <w:numFmt w:val="decimal"/>
      <w:lvlText w:val=""/>
      <w:lvlJc w:val="left"/>
    </w:lvl>
  </w:abstractNum>
  <w:abstractNum w:abstractNumId="1" w15:restartNumberingAfterBreak="0">
    <w:nsid w:val="2A872C3A"/>
    <w:multiLevelType w:val="hybridMultilevel"/>
    <w:tmpl w:val="C5B680AE"/>
    <w:lvl w:ilvl="0" w:tplc="2D50B2CA">
      <w:start w:val="1"/>
      <w:numFmt w:val="bullet"/>
      <w:lvlText w:val="●"/>
      <w:lvlJc w:val="left"/>
      <w:pPr>
        <w:ind w:left="720" w:hanging="360"/>
      </w:pPr>
    </w:lvl>
    <w:lvl w:ilvl="1" w:tplc="5F501EF6">
      <w:start w:val="1"/>
      <w:numFmt w:val="bullet"/>
      <w:lvlText w:val="○"/>
      <w:lvlJc w:val="left"/>
      <w:pPr>
        <w:ind w:left="1440" w:hanging="360"/>
      </w:pPr>
    </w:lvl>
    <w:lvl w:ilvl="2" w:tplc="416E7E76">
      <w:start w:val="1"/>
      <w:numFmt w:val="bullet"/>
      <w:lvlText w:val="■"/>
      <w:lvlJc w:val="left"/>
      <w:pPr>
        <w:ind w:left="2160" w:hanging="360"/>
      </w:pPr>
    </w:lvl>
    <w:lvl w:ilvl="3" w:tplc="DD1C373C">
      <w:start w:val="1"/>
      <w:numFmt w:val="bullet"/>
      <w:lvlText w:val="●"/>
      <w:lvlJc w:val="left"/>
      <w:pPr>
        <w:ind w:left="2880" w:hanging="360"/>
      </w:pPr>
    </w:lvl>
    <w:lvl w:ilvl="4" w:tplc="87FE7ED4">
      <w:start w:val="1"/>
      <w:numFmt w:val="bullet"/>
      <w:lvlText w:val="○"/>
      <w:lvlJc w:val="left"/>
      <w:pPr>
        <w:ind w:left="3600" w:hanging="360"/>
      </w:pPr>
    </w:lvl>
    <w:lvl w:ilvl="5" w:tplc="018A6398">
      <w:start w:val="1"/>
      <w:numFmt w:val="bullet"/>
      <w:lvlText w:val="■"/>
      <w:lvlJc w:val="left"/>
      <w:pPr>
        <w:ind w:left="4320" w:hanging="360"/>
      </w:pPr>
    </w:lvl>
    <w:lvl w:ilvl="6" w:tplc="1D2C884A">
      <w:start w:val="1"/>
      <w:numFmt w:val="bullet"/>
      <w:lvlText w:val="●"/>
      <w:lvlJc w:val="left"/>
      <w:pPr>
        <w:ind w:left="5040" w:hanging="360"/>
      </w:pPr>
    </w:lvl>
    <w:lvl w:ilvl="7" w:tplc="1A5A6DCA">
      <w:start w:val="1"/>
      <w:numFmt w:val="bullet"/>
      <w:lvlText w:val="●"/>
      <w:lvlJc w:val="left"/>
      <w:pPr>
        <w:ind w:left="5760" w:hanging="360"/>
      </w:pPr>
    </w:lvl>
    <w:lvl w:ilvl="8" w:tplc="60C2529A">
      <w:start w:val="1"/>
      <w:numFmt w:val="bullet"/>
      <w:lvlText w:val="●"/>
      <w:lvlJc w:val="left"/>
      <w:pPr>
        <w:ind w:left="6480" w:hanging="360"/>
      </w:pPr>
    </w:lvl>
  </w:abstractNum>
  <w:abstractNum w:abstractNumId="2" w15:restartNumberingAfterBreak="0">
    <w:nsid w:val="47A00D0F"/>
    <w:multiLevelType w:val="hybridMultilevel"/>
    <w:tmpl w:val="3A424858"/>
    <w:lvl w:ilvl="0" w:tplc="ACA48AA6">
      <w:start w:val="1"/>
      <w:numFmt w:val="bullet"/>
      <w:lvlText w:val="•"/>
      <w:lvlJc w:val="left"/>
      <w:pPr>
        <w:ind w:left="360" w:hanging="180"/>
      </w:pPr>
    </w:lvl>
    <w:lvl w:ilvl="1" w:tplc="847ACDB4">
      <w:numFmt w:val="decimal"/>
      <w:lvlText w:val=""/>
      <w:lvlJc w:val="left"/>
    </w:lvl>
    <w:lvl w:ilvl="2" w:tplc="F880E8AA">
      <w:numFmt w:val="decimal"/>
      <w:lvlText w:val=""/>
      <w:lvlJc w:val="left"/>
    </w:lvl>
    <w:lvl w:ilvl="3" w:tplc="6BFE6B0A">
      <w:numFmt w:val="decimal"/>
      <w:lvlText w:val=""/>
      <w:lvlJc w:val="left"/>
    </w:lvl>
    <w:lvl w:ilvl="4" w:tplc="EB140528">
      <w:numFmt w:val="decimal"/>
      <w:lvlText w:val=""/>
      <w:lvlJc w:val="left"/>
    </w:lvl>
    <w:lvl w:ilvl="5" w:tplc="2C040956">
      <w:numFmt w:val="decimal"/>
      <w:lvlText w:val=""/>
      <w:lvlJc w:val="left"/>
    </w:lvl>
    <w:lvl w:ilvl="6" w:tplc="6A78E454">
      <w:numFmt w:val="decimal"/>
      <w:lvlText w:val=""/>
      <w:lvlJc w:val="left"/>
    </w:lvl>
    <w:lvl w:ilvl="7" w:tplc="E5962D94">
      <w:numFmt w:val="decimal"/>
      <w:lvlText w:val=""/>
      <w:lvlJc w:val="left"/>
    </w:lvl>
    <w:lvl w:ilvl="8" w:tplc="F1F024D4">
      <w:numFmt w:val="decimal"/>
      <w:lvlText w:val=""/>
      <w:lvlJc w:val="left"/>
    </w:lvl>
  </w:abstractNum>
  <w:abstractNum w:abstractNumId="3" w15:restartNumberingAfterBreak="0">
    <w:nsid w:val="5FC426A2"/>
    <w:multiLevelType w:val="hybridMultilevel"/>
    <w:tmpl w:val="C2A82D5A"/>
    <w:lvl w:ilvl="0" w:tplc="5B8A4D4E">
      <w:start w:val="1"/>
      <w:numFmt w:val="bullet"/>
      <w:lvlText w:val="•"/>
      <w:lvlJc w:val="left"/>
      <w:pPr>
        <w:ind w:left="360" w:hanging="180"/>
      </w:pPr>
    </w:lvl>
    <w:lvl w:ilvl="1" w:tplc="FA7880B8">
      <w:numFmt w:val="decimal"/>
      <w:lvlText w:val=""/>
      <w:lvlJc w:val="left"/>
    </w:lvl>
    <w:lvl w:ilvl="2" w:tplc="777AF9B4">
      <w:numFmt w:val="decimal"/>
      <w:lvlText w:val=""/>
      <w:lvlJc w:val="left"/>
    </w:lvl>
    <w:lvl w:ilvl="3" w:tplc="22347B3E">
      <w:numFmt w:val="decimal"/>
      <w:lvlText w:val=""/>
      <w:lvlJc w:val="left"/>
    </w:lvl>
    <w:lvl w:ilvl="4" w:tplc="879C12EC">
      <w:numFmt w:val="decimal"/>
      <w:lvlText w:val=""/>
      <w:lvlJc w:val="left"/>
    </w:lvl>
    <w:lvl w:ilvl="5" w:tplc="3390A0BA">
      <w:numFmt w:val="decimal"/>
      <w:lvlText w:val=""/>
      <w:lvlJc w:val="left"/>
    </w:lvl>
    <w:lvl w:ilvl="6" w:tplc="7F5EB454">
      <w:numFmt w:val="decimal"/>
      <w:lvlText w:val=""/>
      <w:lvlJc w:val="left"/>
    </w:lvl>
    <w:lvl w:ilvl="7" w:tplc="ACE4551C">
      <w:numFmt w:val="decimal"/>
      <w:lvlText w:val=""/>
      <w:lvlJc w:val="left"/>
    </w:lvl>
    <w:lvl w:ilvl="8" w:tplc="9FB6AD1A">
      <w:numFmt w:val="decimal"/>
      <w:lvlText w:val=""/>
      <w:lvlJc w:val="left"/>
    </w:lvl>
  </w:abstractNum>
  <w:abstractNum w:abstractNumId="4" w15:restartNumberingAfterBreak="0">
    <w:nsid w:val="6E591F2A"/>
    <w:multiLevelType w:val="hybridMultilevel"/>
    <w:tmpl w:val="8286EA38"/>
    <w:lvl w:ilvl="0" w:tplc="EB469072">
      <w:start w:val="1"/>
      <w:numFmt w:val="decimal"/>
      <w:lvlText w:val="%1."/>
      <w:lvlJc w:val="left"/>
      <w:pPr>
        <w:ind w:left="360" w:hanging="180"/>
      </w:pPr>
    </w:lvl>
    <w:lvl w:ilvl="1" w:tplc="D41E16D8">
      <w:numFmt w:val="decimal"/>
      <w:lvlText w:val=""/>
      <w:lvlJc w:val="left"/>
    </w:lvl>
    <w:lvl w:ilvl="2" w:tplc="D8D039B4">
      <w:numFmt w:val="decimal"/>
      <w:lvlText w:val=""/>
      <w:lvlJc w:val="left"/>
    </w:lvl>
    <w:lvl w:ilvl="3" w:tplc="3364F708">
      <w:numFmt w:val="decimal"/>
      <w:lvlText w:val=""/>
      <w:lvlJc w:val="left"/>
    </w:lvl>
    <w:lvl w:ilvl="4" w:tplc="B5CA8812">
      <w:numFmt w:val="decimal"/>
      <w:lvlText w:val=""/>
      <w:lvlJc w:val="left"/>
    </w:lvl>
    <w:lvl w:ilvl="5" w:tplc="A4446C1A">
      <w:numFmt w:val="decimal"/>
      <w:lvlText w:val=""/>
      <w:lvlJc w:val="left"/>
    </w:lvl>
    <w:lvl w:ilvl="6" w:tplc="C1D0E552">
      <w:numFmt w:val="decimal"/>
      <w:lvlText w:val=""/>
      <w:lvlJc w:val="left"/>
    </w:lvl>
    <w:lvl w:ilvl="7" w:tplc="1F601944">
      <w:numFmt w:val="decimal"/>
      <w:lvlText w:val=""/>
      <w:lvlJc w:val="left"/>
    </w:lvl>
    <w:lvl w:ilvl="8" w:tplc="CEE834E4">
      <w:numFmt w:val="decimal"/>
      <w:lvlText w:val=""/>
      <w:lvlJc w:val="left"/>
    </w:lvl>
  </w:abstractNum>
  <w:abstractNum w:abstractNumId="5" w15:restartNumberingAfterBreak="0">
    <w:nsid w:val="70F10F10"/>
    <w:multiLevelType w:val="hybridMultilevel"/>
    <w:tmpl w:val="F7BED1E8"/>
    <w:lvl w:ilvl="0" w:tplc="6CB26148">
      <w:start w:val="1"/>
      <w:numFmt w:val="decimal"/>
      <w:lvlText w:val="Step %1 —"/>
      <w:lvlJc w:val="left"/>
      <w:pPr>
        <w:ind w:left="0" w:firstLine="0"/>
      </w:pPr>
    </w:lvl>
    <w:lvl w:ilvl="1" w:tplc="9BCC8948">
      <w:numFmt w:val="decimal"/>
      <w:lvlText w:val=""/>
      <w:lvlJc w:val="left"/>
    </w:lvl>
    <w:lvl w:ilvl="2" w:tplc="14149C6E">
      <w:numFmt w:val="decimal"/>
      <w:lvlText w:val=""/>
      <w:lvlJc w:val="left"/>
    </w:lvl>
    <w:lvl w:ilvl="3" w:tplc="BE844182">
      <w:numFmt w:val="decimal"/>
      <w:lvlText w:val=""/>
      <w:lvlJc w:val="left"/>
    </w:lvl>
    <w:lvl w:ilvl="4" w:tplc="8EF004E6">
      <w:numFmt w:val="decimal"/>
      <w:lvlText w:val=""/>
      <w:lvlJc w:val="left"/>
    </w:lvl>
    <w:lvl w:ilvl="5" w:tplc="53F42344">
      <w:numFmt w:val="decimal"/>
      <w:lvlText w:val=""/>
      <w:lvlJc w:val="left"/>
    </w:lvl>
    <w:lvl w:ilvl="6" w:tplc="5394B6E8">
      <w:numFmt w:val="decimal"/>
      <w:lvlText w:val=""/>
      <w:lvlJc w:val="left"/>
    </w:lvl>
    <w:lvl w:ilvl="7" w:tplc="7614523C">
      <w:numFmt w:val="decimal"/>
      <w:lvlText w:val=""/>
      <w:lvlJc w:val="left"/>
    </w:lvl>
    <w:lvl w:ilvl="8" w:tplc="348085FC">
      <w:numFmt w:val="decimal"/>
      <w:lvlText w:val=""/>
      <w:lvlJc w:val="left"/>
    </w:lvl>
  </w:abstractNum>
  <w:num w:numId="1" w16cid:durableId="1497185880">
    <w:abstractNumId w:val="1"/>
    <w:lvlOverride w:ilvl="0">
      <w:startOverride w:val="1"/>
    </w:lvlOverride>
  </w:num>
  <w:num w:numId="2" w16cid:durableId="1286305489">
    <w:abstractNumId w:val="2"/>
    <w:lvlOverride w:ilvl="0">
      <w:startOverride w:val="1"/>
    </w:lvlOverride>
  </w:num>
  <w:num w:numId="3" w16cid:durableId="852452548">
    <w:abstractNumId w:val="0"/>
    <w:lvlOverride w:ilvl="0">
      <w:startOverride w:val="1"/>
    </w:lvlOverride>
  </w:num>
  <w:num w:numId="4" w16cid:durableId="1584602111">
    <w:abstractNumId w:val="4"/>
    <w:lvlOverride w:ilvl="0">
      <w:startOverride w:val="1"/>
    </w:lvlOverride>
  </w:num>
  <w:num w:numId="5" w16cid:durableId="180584782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CzNDE1MDYwMTQ1NDBS0lEKTi0uzszPAykwrAUAtAY3JSwAAAA="/>
  </w:docVars>
  <w:rsids>
    <w:rsidRoot w:val="000D06A4"/>
    <w:rsid w:val="000D06A4"/>
    <w:rsid w:val="002F2B63"/>
    <w:rsid w:val="009F702C"/>
    <w:rsid w:val="00D12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2CC7"/>
  <w15:docId w15:val="{1135A110-8FE1-4DEC-91C6-0DE57CBC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100"/>
      <w:outlineLvl w:val="0"/>
    </w:pPr>
    <w:rPr>
      <w:b/>
      <w:bCs/>
      <w:color w:val="1A365D"/>
      <w:sz w:val="28"/>
      <w:szCs w:val="28"/>
    </w:rPr>
  </w:style>
  <w:style w:type="paragraph" w:styleId="Heading2">
    <w:name w:val="heading 2"/>
    <w:uiPriority w:val="9"/>
    <w:semiHidden/>
    <w:unhideWhenUsed/>
    <w:qFormat/>
    <w:pPr>
      <w:spacing w:before="160" w:after="80"/>
      <w:outlineLvl w:val="1"/>
    </w:pPr>
    <w:rPr>
      <w:b/>
      <w:bCs/>
      <w:color w:val="1A365D"/>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60"/>
      <w:jc w:val="center"/>
    </w:pPr>
    <w:rPr>
      <w:b/>
      <w:bCs/>
      <w:color w:val="1A365D"/>
      <w:sz w:val="32"/>
      <w:szCs w:val="3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Ray</cp:lastModifiedBy>
  <cp:revision>2</cp:revision>
  <dcterms:created xsi:type="dcterms:W3CDTF">2026-07-16T16:53:00Z</dcterms:created>
  <dcterms:modified xsi:type="dcterms:W3CDTF">2026-07-16T17:03:00Z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364faa43-c2e3-4a2c-a561-3d9d6459cbea</vt:lpwstr>
  </property>
</Properties>
</file>