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520B" w14:textId="47ABD6B2" w:rsidR="00A55358" w:rsidRPr="001462AF" w:rsidRDefault="001462AF">
      <w:pPr>
        <w:pStyle w:val="Title"/>
        <w:rPr>
          <w:rFonts w:asciiTheme="majorHAnsi" w:hAnsiTheme="majorHAnsi" w:cstheme="majorHAnsi"/>
          <w:sz w:val="40"/>
        </w:rPr>
      </w:pPr>
      <w:r w:rsidRPr="001462AF">
        <w:rPr>
          <w:rFonts w:asciiTheme="majorHAnsi" w:hAnsiTheme="majorHAnsi" w:cstheme="majorHAnsi"/>
          <w:sz w:val="40"/>
        </w:rPr>
        <w:t>Guide to Summarizing your Annual Plan</w:t>
      </w:r>
    </w:p>
    <w:p w14:paraId="140252AE" w14:textId="77777777" w:rsidR="00A55358" w:rsidRPr="001462AF" w:rsidRDefault="00A55358">
      <w:pPr>
        <w:spacing w:before="0" w:line="276" w:lineRule="auto"/>
        <w:rPr>
          <w:rFonts w:asciiTheme="majorHAnsi" w:eastAsia="Arial" w:hAnsiTheme="majorHAnsi" w:cstheme="majorHAnsi"/>
          <w:color w:val="000000"/>
        </w:rPr>
      </w:pPr>
      <w:bookmarkStart w:id="0" w:name="_af80tl7prv5v" w:colFirst="0" w:colLast="0"/>
      <w:bookmarkEnd w:id="0"/>
    </w:p>
    <w:p w14:paraId="51911EF5" w14:textId="77777777" w:rsidR="001462AF" w:rsidRPr="001462AF" w:rsidRDefault="001462AF" w:rsidP="001462AF">
      <w:pPr>
        <w:rPr>
          <w:rFonts w:asciiTheme="majorHAnsi" w:hAnsiTheme="majorHAnsi" w:cstheme="majorHAnsi"/>
        </w:rPr>
      </w:pPr>
      <w:r w:rsidRPr="001462AF">
        <w:rPr>
          <w:rFonts w:asciiTheme="majorHAnsi" w:hAnsiTheme="majorHAnsi" w:cstheme="majorHAnsi"/>
        </w:rPr>
        <w:t xml:space="preserve">Use this brief guide as a tool to help you complete the </w:t>
      </w:r>
      <w:hyperlink r:id="rId8" w:history="1">
        <w:r w:rsidRPr="001462AF">
          <w:rPr>
            <w:rStyle w:val="Hyperlink"/>
            <w:rFonts w:asciiTheme="majorHAnsi" w:hAnsiTheme="majorHAnsi" w:cstheme="majorHAnsi"/>
          </w:rPr>
          <w:t>Annual Plan Template</w:t>
        </w:r>
      </w:hyperlink>
      <w:r w:rsidRPr="001462AF">
        <w:rPr>
          <w:rFonts w:asciiTheme="majorHAnsi" w:hAnsiTheme="majorHAnsi" w:cstheme="majorHAnsi"/>
        </w:rPr>
        <w:t xml:space="preserve">, which allows you to easily capture and communicate your annual plan, as well as monitor progress.  </w:t>
      </w:r>
    </w:p>
    <w:p w14:paraId="6709D51F" w14:textId="77777777" w:rsidR="001462AF" w:rsidRPr="001462AF" w:rsidRDefault="001462AF" w:rsidP="001462AF">
      <w:pPr>
        <w:rPr>
          <w:rFonts w:asciiTheme="majorHAnsi" w:hAnsiTheme="majorHAnsi" w:cstheme="majorHAnsi"/>
          <w:b/>
        </w:rPr>
      </w:pPr>
      <w:r w:rsidRPr="001462AF">
        <w:rPr>
          <w:rFonts w:asciiTheme="majorHAnsi" w:hAnsiTheme="majorHAnsi" w:cstheme="majorHAnsi"/>
          <w:b/>
        </w:rPr>
        <w:t xml:space="preserve">Annual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60"/>
      </w:tblGrid>
      <w:tr w:rsidR="001462AF" w:rsidRPr="001462AF" w14:paraId="1F85CF45" w14:textId="77777777" w:rsidTr="006F1061">
        <w:trPr>
          <w:trHeight w:val="638"/>
        </w:trPr>
        <w:tc>
          <w:tcPr>
            <w:tcW w:w="1800" w:type="dxa"/>
            <w:vAlign w:val="center"/>
          </w:tcPr>
          <w:p w14:paraId="7F41FE5E"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Customize</w:t>
            </w:r>
          </w:p>
        </w:tc>
        <w:tc>
          <w:tcPr>
            <w:tcW w:w="7560" w:type="dxa"/>
            <w:vAlign w:val="center"/>
          </w:tcPr>
          <w:p w14:paraId="21C862DF"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Add your logo and adjust colors as needed through the Slide Master</w:t>
            </w:r>
          </w:p>
        </w:tc>
      </w:tr>
      <w:tr w:rsidR="001462AF" w:rsidRPr="001462AF" w14:paraId="4191BBC2" w14:textId="77777777" w:rsidTr="006F1061">
        <w:trPr>
          <w:trHeight w:val="1349"/>
        </w:trPr>
        <w:tc>
          <w:tcPr>
            <w:tcW w:w="1800" w:type="dxa"/>
            <w:vAlign w:val="center"/>
          </w:tcPr>
          <w:p w14:paraId="6B6D3DC4"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Org Overview</w:t>
            </w:r>
          </w:p>
        </w:tc>
        <w:tc>
          <w:tcPr>
            <w:tcW w:w="7560" w:type="dxa"/>
            <w:vAlign w:val="center"/>
          </w:tcPr>
          <w:p w14:paraId="58E76EC7"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Slide 2 shows your overarching direction including the mission, or purpose, of your company and the vision, or long-term view of success.  These set the foundation for the long term and annual plan, as all efforts should be aligned to the mission and a step towards achieving your vision.</w:t>
            </w:r>
          </w:p>
        </w:tc>
      </w:tr>
      <w:tr w:rsidR="001462AF" w:rsidRPr="001462AF" w14:paraId="209512A8" w14:textId="77777777" w:rsidTr="006F1061">
        <w:trPr>
          <w:trHeight w:val="2051"/>
        </w:trPr>
        <w:tc>
          <w:tcPr>
            <w:tcW w:w="1800" w:type="dxa"/>
            <w:vAlign w:val="center"/>
          </w:tcPr>
          <w:p w14:paraId="0EDCD7CC"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Themes &amp; Assumptions</w:t>
            </w:r>
          </w:p>
        </w:tc>
        <w:tc>
          <w:tcPr>
            <w:tcW w:w="7560" w:type="dxa"/>
            <w:vAlign w:val="center"/>
          </w:tcPr>
          <w:p w14:paraId="494F6A2D"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 xml:space="preserve">Slide 3 is the context for your plan.  What current market and/or organizational trends have led to the plan you have developed.  These could be a combination of facts and opinions, a summation of top of mind leadership thoughts, built through exercises like a SWOT analysis, or in-depth market research.  </w:t>
            </w:r>
            <w:proofErr w:type="gramStart"/>
            <w:r w:rsidRPr="001462AF">
              <w:rPr>
                <w:rFonts w:asciiTheme="majorHAnsi" w:hAnsiTheme="majorHAnsi" w:cstheme="majorHAnsi"/>
              </w:rPr>
              <w:t>However</w:t>
            </w:r>
            <w:proofErr w:type="gramEnd"/>
            <w:r w:rsidRPr="001462AF">
              <w:rPr>
                <w:rFonts w:asciiTheme="majorHAnsi" w:hAnsiTheme="majorHAnsi" w:cstheme="majorHAnsi"/>
              </w:rPr>
              <w:t xml:space="preserve"> you create them, allows your audience to understand how you arrived at your strategies.  It also gives you guidance to when you need to adjust.  When these factors change, it is time to review and adjust at your plan.</w:t>
            </w:r>
          </w:p>
          <w:p w14:paraId="06A91B9D" w14:textId="77777777" w:rsidR="001462AF" w:rsidRPr="001462AF" w:rsidRDefault="001462AF" w:rsidP="006F1061">
            <w:pPr>
              <w:rPr>
                <w:rFonts w:asciiTheme="majorHAnsi" w:hAnsiTheme="majorHAnsi" w:cstheme="majorHAnsi"/>
              </w:rPr>
            </w:pPr>
          </w:p>
        </w:tc>
      </w:tr>
      <w:tr w:rsidR="001462AF" w:rsidRPr="001462AF" w14:paraId="75DBFBE5" w14:textId="77777777" w:rsidTr="006F1061">
        <w:trPr>
          <w:trHeight w:val="1079"/>
        </w:trPr>
        <w:tc>
          <w:tcPr>
            <w:tcW w:w="1800" w:type="dxa"/>
            <w:vAlign w:val="center"/>
          </w:tcPr>
          <w:p w14:paraId="11F9687D"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Long Term Strategies</w:t>
            </w:r>
          </w:p>
        </w:tc>
        <w:tc>
          <w:tcPr>
            <w:tcW w:w="7560" w:type="dxa"/>
            <w:vAlign w:val="center"/>
          </w:tcPr>
          <w:p w14:paraId="282A3264"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Slide 4 is a simple articulation of your current strategies, the broad aims that you will be pursuing that will allow you to succeed in the current environment.</w:t>
            </w:r>
          </w:p>
        </w:tc>
      </w:tr>
    </w:tbl>
    <w:p w14:paraId="135B6AAB" w14:textId="77777777" w:rsidR="001462AF" w:rsidRPr="001462AF" w:rsidRDefault="001462AF" w:rsidP="001462AF">
      <w:pPr>
        <w:pStyle w:val="ListParagraph"/>
        <w:rPr>
          <w:rFonts w:asciiTheme="majorHAnsi" w:hAnsiTheme="majorHAnsi" w:cstheme="majorHAnsi"/>
        </w:rPr>
      </w:pPr>
    </w:p>
    <w:p w14:paraId="3517D9F2" w14:textId="77777777" w:rsidR="001462AF" w:rsidRPr="001462AF" w:rsidRDefault="001462AF" w:rsidP="001462AF">
      <w:pPr>
        <w:rPr>
          <w:rFonts w:asciiTheme="majorHAnsi" w:hAnsiTheme="majorHAnsi" w:cstheme="majorHAnsi"/>
          <w:b/>
        </w:rPr>
      </w:pPr>
      <w:r w:rsidRPr="001462AF">
        <w:rPr>
          <w:rFonts w:asciiTheme="majorHAnsi" w:hAnsiTheme="majorHAnsi" w:cstheme="majorHAnsi"/>
          <w:b/>
        </w:rPr>
        <w:t>Monitoring Progress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60"/>
      </w:tblGrid>
      <w:tr w:rsidR="001462AF" w:rsidRPr="001462AF" w14:paraId="61BB820F" w14:textId="77777777" w:rsidTr="006F1061">
        <w:trPr>
          <w:trHeight w:val="638"/>
        </w:trPr>
        <w:tc>
          <w:tcPr>
            <w:tcW w:w="1800" w:type="dxa"/>
            <w:vAlign w:val="center"/>
          </w:tcPr>
          <w:p w14:paraId="6F10D8C0"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Approach</w:t>
            </w:r>
          </w:p>
        </w:tc>
        <w:tc>
          <w:tcPr>
            <w:tcW w:w="7560" w:type="dxa"/>
            <w:vAlign w:val="center"/>
          </w:tcPr>
          <w:p w14:paraId="745834A9"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 xml:space="preserve">Planning should not be a </w:t>
            </w:r>
            <w:proofErr w:type="spellStart"/>
            <w:proofErr w:type="gramStart"/>
            <w:r w:rsidRPr="001462AF">
              <w:rPr>
                <w:rFonts w:asciiTheme="majorHAnsi" w:hAnsiTheme="majorHAnsi" w:cstheme="majorHAnsi"/>
              </w:rPr>
              <w:t>one time</w:t>
            </w:r>
            <w:proofErr w:type="spellEnd"/>
            <w:proofErr w:type="gramEnd"/>
            <w:r w:rsidRPr="001462AF">
              <w:rPr>
                <w:rFonts w:asciiTheme="majorHAnsi" w:hAnsiTheme="majorHAnsi" w:cstheme="majorHAnsi"/>
              </w:rPr>
              <w:t xml:space="preserve"> event, but something that is monitored and adjusted regularly.  These slides will help you answer the questions you need to constantly review and adjust: </w:t>
            </w:r>
          </w:p>
          <w:p w14:paraId="76E91B6C" w14:textId="77777777" w:rsidR="001462AF" w:rsidRPr="001462AF" w:rsidRDefault="001462AF" w:rsidP="001462A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1462AF">
              <w:rPr>
                <w:rFonts w:asciiTheme="majorHAnsi" w:hAnsiTheme="majorHAnsi" w:cstheme="majorHAnsi"/>
              </w:rPr>
              <w:t>Monthly: Are we doing what we said we would do?</w:t>
            </w:r>
          </w:p>
          <w:p w14:paraId="67CDEAF4" w14:textId="77777777" w:rsidR="001462AF" w:rsidRPr="001462AF" w:rsidRDefault="001462AF" w:rsidP="001462AF">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1462AF">
              <w:rPr>
                <w:rFonts w:asciiTheme="majorHAnsi" w:hAnsiTheme="majorHAnsi" w:cstheme="majorHAnsi"/>
              </w:rPr>
              <w:t>Quarterly: Are we seeing the results we want?</w:t>
            </w:r>
          </w:p>
        </w:tc>
      </w:tr>
      <w:tr w:rsidR="001462AF" w:rsidRPr="001462AF" w14:paraId="0ED1AC7A" w14:textId="77777777" w:rsidTr="006F1061">
        <w:trPr>
          <w:trHeight w:val="1026"/>
        </w:trPr>
        <w:tc>
          <w:tcPr>
            <w:tcW w:w="1800" w:type="dxa"/>
            <w:vAlign w:val="center"/>
          </w:tcPr>
          <w:p w14:paraId="7179571B"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Action Plan</w:t>
            </w:r>
          </w:p>
        </w:tc>
        <w:tc>
          <w:tcPr>
            <w:tcW w:w="7560" w:type="dxa"/>
            <w:vAlign w:val="center"/>
          </w:tcPr>
          <w:p w14:paraId="570FA8F5"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Slide 6 is the tactical action plan, that brings your broad strategies into simple steps.  Ensure accountability by assigning one person and a date.</w:t>
            </w:r>
          </w:p>
        </w:tc>
      </w:tr>
      <w:tr w:rsidR="001462AF" w:rsidRPr="001462AF" w14:paraId="59D00CF1" w14:textId="77777777" w:rsidTr="006F1061">
        <w:trPr>
          <w:trHeight w:val="990"/>
        </w:trPr>
        <w:tc>
          <w:tcPr>
            <w:tcW w:w="1800" w:type="dxa"/>
            <w:vAlign w:val="center"/>
          </w:tcPr>
          <w:p w14:paraId="1CD28642" w14:textId="77777777" w:rsidR="001462AF" w:rsidRPr="001462AF" w:rsidRDefault="001462AF" w:rsidP="006F1061">
            <w:pPr>
              <w:rPr>
                <w:rFonts w:asciiTheme="majorHAnsi" w:hAnsiTheme="majorHAnsi" w:cstheme="majorHAnsi"/>
                <w:color w:val="808080" w:themeColor="background1" w:themeShade="80"/>
                <w:sz w:val="28"/>
              </w:rPr>
            </w:pPr>
            <w:r w:rsidRPr="001462AF">
              <w:rPr>
                <w:rFonts w:asciiTheme="majorHAnsi" w:hAnsiTheme="majorHAnsi" w:cstheme="majorHAnsi"/>
                <w:color w:val="808080" w:themeColor="background1" w:themeShade="80"/>
                <w:sz w:val="28"/>
              </w:rPr>
              <w:t>Measuring Progress</w:t>
            </w:r>
          </w:p>
        </w:tc>
        <w:tc>
          <w:tcPr>
            <w:tcW w:w="7560" w:type="dxa"/>
            <w:vAlign w:val="center"/>
          </w:tcPr>
          <w:p w14:paraId="537565D2" w14:textId="77777777" w:rsidR="001462AF" w:rsidRPr="001462AF" w:rsidRDefault="001462AF" w:rsidP="006F1061">
            <w:pPr>
              <w:rPr>
                <w:rFonts w:asciiTheme="majorHAnsi" w:hAnsiTheme="majorHAnsi" w:cstheme="majorHAnsi"/>
              </w:rPr>
            </w:pPr>
            <w:r w:rsidRPr="001462AF">
              <w:rPr>
                <w:rFonts w:asciiTheme="majorHAnsi" w:hAnsiTheme="majorHAnsi" w:cstheme="majorHAnsi"/>
              </w:rPr>
              <w:t>Slide 7 is your scorecard, measuring the goals associated to your strategies.  Update the current at least quarterly and adjust your tactics as needed.</w:t>
            </w:r>
          </w:p>
        </w:tc>
      </w:tr>
    </w:tbl>
    <w:p w14:paraId="11BE2C08" w14:textId="77777777" w:rsidR="001462AF" w:rsidRDefault="001462AF" w:rsidP="001462AF">
      <w:pPr>
        <w:rPr>
          <w:rFonts w:asciiTheme="majorHAnsi" w:hAnsiTheme="majorHAnsi" w:cstheme="majorHAnsi"/>
        </w:rPr>
      </w:pPr>
      <w:bookmarkStart w:id="1" w:name="_GoBack"/>
      <w:bookmarkEnd w:id="1"/>
    </w:p>
    <w:p w14:paraId="551D8E76" w14:textId="0323DC11" w:rsidR="001462AF" w:rsidRPr="001462AF" w:rsidRDefault="001462AF" w:rsidP="001462AF">
      <w:pPr>
        <w:rPr>
          <w:rFonts w:asciiTheme="majorHAnsi" w:hAnsiTheme="majorHAnsi" w:cstheme="majorHAnsi"/>
        </w:rPr>
      </w:pPr>
      <w:r w:rsidRPr="001462AF">
        <w:rPr>
          <w:rFonts w:asciiTheme="majorHAnsi" w:hAnsiTheme="majorHAnsi" w:cstheme="majorHAnsi"/>
        </w:rPr>
        <w:t>For help building, implementing or managing your plan, reach out to us at LuminariesConsulting.com.</w:t>
      </w:r>
    </w:p>
    <w:p w14:paraId="0B2C33CF" w14:textId="77777777" w:rsidR="009E59B3" w:rsidRPr="001462AF" w:rsidRDefault="009E59B3" w:rsidP="009E59B3">
      <w:pPr>
        <w:spacing w:before="0" w:line="276" w:lineRule="auto"/>
        <w:rPr>
          <w:rFonts w:asciiTheme="majorHAnsi" w:eastAsia="Arial" w:hAnsiTheme="majorHAnsi" w:cstheme="majorHAnsi"/>
          <w:b/>
          <w:color w:val="666666"/>
        </w:rPr>
      </w:pPr>
    </w:p>
    <w:p w14:paraId="74EF863C" w14:textId="77777777" w:rsidR="001462AF" w:rsidRDefault="001462AF" w:rsidP="009E59B3">
      <w:pPr>
        <w:spacing w:before="0" w:line="276" w:lineRule="auto"/>
        <w:rPr>
          <w:rFonts w:asciiTheme="majorHAnsi" w:eastAsia="Arial" w:hAnsiTheme="majorHAnsi" w:cstheme="majorHAnsi"/>
          <w:b/>
          <w:color w:val="666666"/>
        </w:rPr>
      </w:pPr>
    </w:p>
    <w:p w14:paraId="527213B7" w14:textId="77777777" w:rsidR="001462AF" w:rsidRDefault="001462AF" w:rsidP="009E59B3">
      <w:pPr>
        <w:spacing w:before="0" w:line="276" w:lineRule="auto"/>
        <w:rPr>
          <w:rFonts w:asciiTheme="majorHAnsi" w:eastAsia="Arial" w:hAnsiTheme="majorHAnsi" w:cstheme="majorHAnsi"/>
          <w:b/>
          <w:color w:val="666666"/>
        </w:rPr>
      </w:pPr>
    </w:p>
    <w:p w14:paraId="39CC4140" w14:textId="7D6B26A6" w:rsidR="009E59B3" w:rsidRPr="001462AF" w:rsidRDefault="009E59B3" w:rsidP="009E59B3">
      <w:pPr>
        <w:spacing w:before="0" w:line="276" w:lineRule="auto"/>
        <w:rPr>
          <w:rFonts w:asciiTheme="majorHAnsi" w:hAnsiTheme="majorHAnsi" w:cstheme="majorHAnsi"/>
          <w:b/>
        </w:rPr>
      </w:pPr>
      <w:r w:rsidRPr="001462AF">
        <w:rPr>
          <w:rFonts w:asciiTheme="majorHAnsi" w:eastAsia="Arial" w:hAnsiTheme="majorHAnsi" w:cstheme="majorHAnsi"/>
          <w:b/>
          <w:color w:val="666666"/>
        </w:rPr>
        <w:t>About Luminaries Consulting</w:t>
      </w:r>
    </w:p>
    <w:p w14:paraId="6BEFFECD" w14:textId="77777777" w:rsidR="009E59B3" w:rsidRPr="001462AF" w:rsidRDefault="009E59B3" w:rsidP="009E59B3">
      <w:pPr>
        <w:rPr>
          <w:rFonts w:asciiTheme="majorHAnsi" w:hAnsiTheme="majorHAnsi" w:cstheme="majorHAnsi"/>
        </w:rPr>
      </w:pPr>
      <w:r w:rsidRPr="001462AF">
        <w:rPr>
          <w:rFonts w:asciiTheme="majorHAnsi" w:hAnsiTheme="majorHAnsi" w:cstheme="majorHAnsi"/>
        </w:rPr>
        <w:t>Luminaries Consulting is a partnership of organizational development professionals with over 30 years of combined experience helping individuals and organizations achieve their goals.  Our expertise in learning, leadership development, talent management, strategy development and change management uniquely equip us to help you achieve your business needs.</w:t>
      </w:r>
    </w:p>
    <w:p w14:paraId="710EF468" w14:textId="77777777" w:rsidR="009E59B3" w:rsidRPr="001462AF" w:rsidRDefault="00FF6883" w:rsidP="009E59B3">
      <w:pPr>
        <w:rPr>
          <w:rFonts w:asciiTheme="majorHAnsi" w:hAnsiTheme="majorHAnsi" w:cstheme="majorHAnsi"/>
        </w:rPr>
      </w:pPr>
      <w:hyperlink r:id="rId9">
        <w:r w:rsidR="009E59B3" w:rsidRPr="001462AF">
          <w:rPr>
            <w:rFonts w:asciiTheme="majorHAnsi" w:hAnsiTheme="majorHAnsi" w:cstheme="majorHAnsi"/>
            <w:color w:val="1155CC"/>
            <w:u w:val="single"/>
          </w:rPr>
          <w:t>www.luminariesconsulting.com</w:t>
        </w:r>
      </w:hyperlink>
      <w:r w:rsidR="009E59B3" w:rsidRPr="001462AF">
        <w:rPr>
          <w:rFonts w:asciiTheme="majorHAnsi" w:hAnsiTheme="majorHAnsi" w:cstheme="majorHAnsi"/>
        </w:rPr>
        <w:t xml:space="preserve"> </w:t>
      </w:r>
    </w:p>
    <w:p w14:paraId="65C33663" w14:textId="372659F2" w:rsidR="009E59B3" w:rsidRDefault="009E59B3" w:rsidP="009E59B3">
      <w:pPr>
        <w:rPr>
          <w:rFonts w:asciiTheme="majorHAnsi" w:hAnsiTheme="majorHAnsi" w:cstheme="majorHAnsi"/>
        </w:rPr>
      </w:pPr>
    </w:p>
    <w:p w14:paraId="555560EB" w14:textId="77777777" w:rsidR="00817B63" w:rsidRPr="001462AF" w:rsidRDefault="00817B63" w:rsidP="009E59B3">
      <w:pPr>
        <w:rPr>
          <w:rFonts w:asciiTheme="majorHAnsi" w:hAnsiTheme="majorHAnsi" w:cstheme="majorHAnsi"/>
        </w:rPr>
      </w:pPr>
    </w:p>
    <w:sectPr w:rsidR="00817B63" w:rsidRPr="001462AF" w:rsidSect="00701DF5">
      <w:headerReference w:type="default" r:id="rId10"/>
      <w:footerReference w:type="default" r:id="rId11"/>
      <w:pgSz w:w="12240" w:h="15840"/>
      <w:pgMar w:top="1080" w:right="1440" w:bottom="108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D93FF" w14:textId="77777777" w:rsidR="00FF6883" w:rsidRDefault="00FF6883">
      <w:pPr>
        <w:spacing w:before="0" w:line="240" w:lineRule="auto"/>
      </w:pPr>
      <w:r>
        <w:separator/>
      </w:r>
    </w:p>
  </w:endnote>
  <w:endnote w:type="continuationSeparator" w:id="0">
    <w:p w14:paraId="762C4358" w14:textId="77777777" w:rsidR="00FF6883" w:rsidRDefault="00FF688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A2D5" w14:textId="1F7C0877" w:rsidR="00623F45" w:rsidRPr="00623F45" w:rsidRDefault="00623F45" w:rsidP="00623F45">
    <w:pPr>
      <w:pStyle w:val="Footer"/>
      <w:jc w:val="right"/>
      <w:rPr>
        <w:color w:val="7F7F7F" w:themeColor="text1" w:themeTint="80"/>
      </w:rPr>
    </w:pPr>
    <w:r>
      <w:rPr>
        <w:noProof/>
        <w:color w:val="000000" w:themeColor="text1"/>
        <w:lang w:val="en-US"/>
      </w:rPr>
      <mc:AlternateContent>
        <mc:Choice Requires="wps">
          <w:drawing>
            <wp:anchor distT="0" distB="0" distL="114300" distR="114300" simplePos="0" relativeHeight="251669504" behindDoc="0" locked="0" layoutInCell="1" allowOverlap="1" wp14:anchorId="13D05B82" wp14:editId="3B535468">
              <wp:simplePos x="0" y="0"/>
              <wp:positionH relativeFrom="column">
                <wp:posOffset>69850</wp:posOffset>
              </wp:positionH>
              <wp:positionV relativeFrom="paragraph">
                <wp:posOffset>-8890</wp:posOffset>
              </wp:positionV>
              <wp:extent cx="5943600" cy="6350"/>
              <wp:effectExtent l="0" t="0" r="19050" b="31750"/>
              <wp:wrapNone/>
              <wp:docPr id="17" name="Straight Connector 17"/>
              <wp:cNvGraphicFramePr/>
              <a:graphic xmlns:a="http://schemas.openxmlformats.org/drawingml/2006/main">
                <a:graphicData uri="http://schemas.microsoft.com/office/word/2010/wordprocessingShape">
                  <wps:wsp>
                    <wps:cNvCnPr/>
                    <wps:spPr>
                      <a:xfrm flipV="1">
                        <a:off x="0" y="0"/>
                        <a:ext cx="5943600" cy="635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295174" id="Straight Connector 1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5pt,-.7pt" to="47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" strokecolor="#9c9c9c [3046]"/>
          </w:pict>
        </mc:Fallback>
      </mc:AlternateContent>
    </w:r>
    <w:r w:rsidR="006207B3">
      <w:rPr>
        <w:color w:val="7F7F7F" w:themeColor="text1" w:themeTint="80"/>
      </w:rPr>
      <w:t>Copyright Luminaries Consulting,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EA965" w14:textId="77777777" w:rsidR="00FF6883" w:rsidRDefault="00FF6883">
      <w:pPr>
        <w:spacing w:before="0" w:line="240" w:lineRule="auto"/>
      </w:pPr>
      <w:r>
        <w:separator/>
      </w:r>
    </w:p>
  </w:footnote>
  <w:footnote w:type="continuationSeparator" w:id="0">
    <w:p w14:paraId="79CD5109" w14:textId="77777777" w:rsidR="00FF6883" w:rsidRDefault="00FF688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632B" w14:textId="77777777" w:rsidR="00623F45" w:rsidRPr="00623F45" w:rsidRDefault="00623F45" w:rsidP="00623F45">
    <w:pPr>
      <w:pStyle w:val="Header"/>
      <w:jc w:val="right"/>
    </w:pPr>
    <w:r w:rsidRPr="00623F45">
      <w:rPr>
        <w:rFonts w:asciiTheme="majorHAnsi" w:hAnsiTheme="majorHAnsi"/>
        <w:b/>
        <w:noProof/>
        <w:color w:val="7F7F7F" w:themeColor="text1" w:themeTint="80"/>
        <w:lang w:val="en-US"/>
      </w:rPr>
      <w:drawing>
        <wp:anchor distT="0" distB="0" distL="114300" distR="114300" simplePos="0" relativeHeight="251664384" behindDoc="1" locked="0" layoutInCell="1" allowOverlap="1" wp14:anchorId="33F62BA1" wp14:editId="05F49A4E">
          <wp:simplePos x="0" y="0"/>
          <wp:positionH relativeFrom="margin">
            <wp:align>right</wp:align>
          </wp:positionH>
          <wp:positionV relativeFrom="paragraph">
            <wp:posOffset>95250</wp:posOffset>
          </wp:positionV>
          <wp:extent cx="5943600" cy="88900"/>
          <wp:effectExtent l="0" t="0" r="0" b="6350"/>
          <wp:wrapNone/>
          <wp:docPr id="5"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flipV="1">
                    <a:off x="0" y="0"/>
                    <a:ext cx="5943600" cy="88900"/>
                  </a:xfrm>
                  <a:prstGeom prst="rect">
                    <a:avLst/>
                  </a:prstGeom>
                  <a:ln/>
                </pic:spPr>
              </pic:pic>
            </a:graphicData>
          </a:graphic>
          <wp14:sizeRelH relativeFrom="margin">
            <wp14:pctWidth>0</wp14:pctWidth>
          </wp14:sizeRelH>
          <wp14:sizeRelV relativeFrom="margin">
            <wp14:pctHeight>0</wp14:pctHeight>
          </wp14:sizeRelV>
        </wp:anchor>
      </w:drawing>
    </w:r>
    <w:r w:rsidRPr="00623F45">
      <w:rPr>
        <w:b/>
        <w:color w:val="7F7F7F" w:themeColor="text1" w:themeTint="80"/>
      </w:rPr>
      <w:t>Luminaries</w:t>
    </w:r>
    <w:r w:rsidRPr="00623F45">
      <w:rPr>
        <w:color w:val="7F7F7F" w:themeColor="text1" w:themeTint="80"/>
      </w:rPr>
      <w:t xml:space="preserve"> Consulting LLC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3D1"/>
    <w:multiLevelType w:val="multilevel"/>
    <w:tmpl w:val="52E22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22714D"/>
    <w:multiLevelType w:val="hybridMultilevel"/>
    <w:tmpl w:val="F29A7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D7443"/>
    <w:multiLevelType w:val="hybridMultilevel"/>
    <w:tmpl w:val="0762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327"/>
    <w:multiLevelType w:val="hybridMultilevel"/>
    <w:tmpl w:val="A8F8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7147"/>
    <w:multiLevelType w:val="hybridMultilevel"/>
    <w:tmpl w:val="2182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C24CA"/>
    <w:multiLevelType w:val="hybridMultilevel"/>
    <w:tmpl w:val="24E25C16"/>
    <w:lvl w:ilvl="0" w:tplc="6A165194">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549E1"/>
    <w:multiLevelType w:val="hybridMultilevel"/>
    <w:tmpl w:val="FFBEC2EE"/>
    <w:lvl w:ilvl="0" w:tplc="0AA6E6D0">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2245F"/>
    <w:multiLevelType w:val="hybridMultilevel"/>
    <w:tmpl w:val="EE921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C6EE7"/>
    <w:multiLevelType w:val="hybridMultilevel"/>
    <w:tmpl w:val="AC2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23F36"/>
    <w:multiLevelType w:val="multilevel"/>
    <w:tmpl w:val="78F85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066C42"/>
    <w:multiLevelType w:val="hybridMultilevel"/>
    <w:tmpl w:val="4B52DC12"/>
    <w:lvl w:ilvl="0" w:tplc="44D28E58">
      <w:numFmt w:val="bullet"/>
      <w:lvlText w:val="-"/>
      <w:lvlJc w:val="left"/>
      <w:pPr>
        <w:ind w:left="720" w:hanging="360"/>
      </w:pPr>
      <w:rPr>
        <w:rFonts w:ascii="Calibri" w:eastAsia="Proxima Nov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C1C2C"/>
    <w:multiLevelType w:val="multilevel"/>
    <w:tmpl w:val="D9308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174DA3"/>
    <w:multiLevelType w:val="hybridMultilevel"/>
    <w:tmpl w:val="3B9C6106"/>
    <w:lvl w:ilvl="0" w:tplc="0AA6E6D0">
      <w:start w:val="1"/>
      <w:numFmt w:val="bullet"/>
      <w:lvlText w:val=""/>
      <w:lvlJc w:val="left"/>
      <w:pPr>
        <w:ind w:left="7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D18B3"/>
    <w:multiLevelType w:val="hybridMultilevel"/>
    <w:tmpl w:val="97B0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D3032"/>
    <w:multiLevelType w:val="hybridMultilevel"/>
    <w:tmpl w:val="68B8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67977"/>
    <w:multiLevelType w:val="hybridMultilevel"/>
    <w:tmpl w:val="855A3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830B4"/>
    <w:multiLevelType w:val="hybridMultilevel"/>
    <w:tmpl w:val="451CB018"/>
    <w:lvl w:ilvl="0" w:tplc="4796D1E6">
      <w:start w:val="3"/>
      <w:numFmt w:val="bullet"/>
      <w:lvlText w:val="-"/>
      <w:lvlJc w:val="left"/>
      <w:pPr>
        <w:ind w:left="360" w:hanging="360"/>
      </w:pPr>
      <w:rPr>
        <w:rFonts w:ascii="Calibri" w:eastAsia="Arial"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69222A"/>
    <w:multiLevelType w:val="hybridMultilevel"/>
    <w:tmpl w:val="DD6C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46BA1"/>
    <w:multiLevelType w:val="hybridMultilevel"/>
    <w:tmpl w:val="8B642668"/>
    <w:lvl w:ilvl="0" w:tplc="F7C03AD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E55AC"/>
    <w:multiLevelType w:val="hybridMultilevel"/>
    <w:tmpl w:val="CE8A3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9481E"/>
    <w:multiLevelType w:val="hybridMultilevel"/>
    <w:tmpl w:val="C53C3AE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C0D86"/>
    <w:multiLevelType w:val="multilevel"/>
    <w:tmpl w:val="0E787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BF21A7"/>
    <w:multiLevelType w:val="hybridMultilevel"/>
    <w:tmpl w:val="462ED6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985337"/>
    <w:multiLevelType w:val="hybridMultilevel"/>
    <w:tmpl w:val="564AB46C"/>
    <w:lvl w:ilvl="0" w:tplc="0AA6E6D0">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3293F"/>
    <w:multiLevelType w:val="multilevel"/>
    <w:tmpl w:val="3EF0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DEA0AB1"/>
    <w:multiLevelType w:val="hybridMultilevel"/>
    <w:tmpl w:val="C2F8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050F"/>
    <w:multiLevelType w:val="hybridMultilevel"/>
    <w:tmpl w:val="DDD4B002"/>
    <w:lvl w:ilvl="0" w:tplc="4796D1E6">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A654F"/>
    <w:multiLevelType w:val="multilevel"/>
    <w:tmpl w:val="91EC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CA0659C"/>
    <w:multiLevelType w:val="hybridMultilevel"/>
    <w:tmpl w:val="DA8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D5F65"/>
    <w:multiLevelType w:val="hybridMultilevel"/>
    <w:tmpl w:val="FB06AB3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7"/>
  </w:num>
  <w:num w:numId="4">
    <w:abstractNumId w:val="0"/>
  </w:num>
  <w:num w:numId="5">
    <w:abstractNumId w:val="21"/>
  </w:num>
  <w:num w:numId="6">
    <w:abstractNumId w:val="11"/>
  </w:num>
  <w:num w:numId="7">
    <w:abstractNumId w:val="8"/>
  </w:num>
  <w:num w:numId="8">
    <w:abstractNumId w:val="12"/>
  </w:num>
  <w:num w:numId="9">
    <w:abstractNumId w:val="23"/>
  </w:num>
  <w:num w:numId="10">
    <w:abstractNumId w:val="6"/>
  </w:num>
  <w:num w:numId="11">
    <w:abstractNumId w:val="4"/>
  </w:num>
  <w:num w:numId="12">
    <w:abstractNumId w:val="25"/>
  </w:num>
  <w:num w:numId="13">
    <w:abstractNumId w:val="17"/>
  </w:num>
  <w:num w:numId="14">
    <w:abstractNumId w:val="15"/>
  </w:num>
  <w:num w:numId="15">
    <w:abstractNumId w:val="22"/>
  </w:num>
  <w:num w:numId="16">
    <w:abstractNumId w:val="7"/>
  </w:num>
  <w:num w:numId="17">
    <w:abstractNumId w:val="10"/>
  </w:num>
  <w:num w:numId="18">
    <w:abstractNumId w:val="1"/>
  </w:num>
  <w:num w:numId="19">
    <w:abstractNumId w:val="13"/>
  </w:num>
  <w:num w:numId="20">
    <w:abstractNumId w:val="28"/>
  </w:num>
  <w:num w:numId="21">
    <w:abstractNumId w:val="20"/>
  </w:num>
  <w:num w:numId="22">
    <w:abstractNumId w:val="18"/>
  </w:num>
  <w:num w:numId="23">
    <w:abstractNumId w:val="14"/>
  </w:num>
  <w:num w:numId="24">
    <w:abstractNumId w:val="5"/>
  </w:num>
  <w:num w:numId="25">
    <w:abstractNumId w:val="26"/>
  </w:num>
  <w:num w:numId="26">
    <w:abstractNumId w:val="16"/>
  </w:num>
  <w:num w:numId="27">
    <w:abstractNumId w:val="19"/>
  </w:num>
  <w:num w:numId="28">
    <w:abstractNumId w:val="3"/>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58"/>
    <w:rsid w:val="000349D2"/>
    <w:rsid w:val="000D6533"/>
    <w:rsid w:val="00120C89"/>
    <w:rsid w:val="0012324A"/>
    <w:rsid w:val="0014541C"/>
    <w:rsid w:val="001462AF"/>
    <w:rsid w:val="00151858"/>
    <w:rsid w:val="00162100"/>
    <w:rsid w:val="00170EBA"/>
    <w:rsid w:val="00177E77"/>
    <w:rsid w:val="00177E80"/>
    <w:rsid w:val="001A0791"/>
    <w:rsid w:val="001B128D"/>
    <w:rsid w:val="001C787E"/>
    <w:rsid w:val="001E0852"/>
    <w:rsid w:val="001F3294"/>
    <w:rsid w:val="001F32A9"/>
    <w:rsid w:val="00201013"/>
    <w:rsid w:val="00212A80"/>
    <w:rsid w:val="0021787A"/>
    <w:rsid w:val="00231A18"/>
    <w:rsid w:val="0023578A"/>
    <w:rsid w:val="00252083"/>
    <w:rsid w:val="002934B7"/>
    <w:rsid w:val="00294367"/>
    <w:rsid w:val="002A54AC"/>
    <w:rsid w:val="002B6D6F"/>
    <w:rsid w:val="002D1843"/>
    <w:rsid w:val="002F3C17"/>
    <w:rsid w:val="002F7E44"/>
    <w:rsid w:val="00336112"/>
    <w:rsid w:val="0036127B"/>
    <w:rsid w:val="00375A4A"/>
    <w:rsid w:val="00402336"/>
    <w:rsid w:val="00421583"/>
    <w:rsid w:val="00440243"/>
    <w:rsid w:val="004432C9"/>
    <w:rsid w:val="00472CE3"/>
    <w:rsid w:val="004747E6"/>
    <w:rsid w:val="00475016"/>
    <w:rsid w:val="00542CAA"/>
    <w:rsid w:val="00560E28"/>
    <w:rsid w:val="0059032D"/>
    <w:rsid w:val="00595A53"/>
    <w:rsid w:val="005D2799"/>
    <w:rsid w:val="005D3CDD"/>
    <w:rsid w:val="005E508B"/>
    <w:rsid w:val="0060658F"/>
    <w:rsid w:val="006207B3"/>
    <w:rsid w:val="00623F45"/>
    <w:rsid w:val="00672B64"/>
    <w:rsid w:val="00680D12"/>
    <w:rsid w:val="00681FEE"/>
    <w:rsid w:val="006931A6"/>
    <w:rsid w:val="0069611F"/>
    <w:rsid w:val="006B6807"/>
    <w:rsid w:val="006C1A7A"/>
    <w:rsid w:val="00701DF5"/>
    <w:rsid w:val="0079108C"/>
    <w:rsid w:val="00806987"/>
    <w:rsid w:val="00817B63"/>
    <w:rsid w:val="00853F4C"/>
    <w:rsid w:val="008704DE"/>
    <w:rsid w:val="008739EA"/>
    <w:rsid w:val="008906D5"/>
    <w:rsid w:val="00895336"/>
    <w:rsid w:val="008C166E"/>
    <w:rsid w:val="008C65F2"/>
    <w:rsid w:val="008E62CC"/>
    <w:rsid w:val="008F4209"/>
    <w:rsid w:val="00926059"/>
    <w:rsid w:val="00926B7D"/>
    <w:rsid w:val="00936469"/>
    <w:rsid w:val="009424C3"/>
    <w:rsid w:val="00957528"/>
    <w:rsid w:val="009B5E74"/>
    <w:rsid w:val="009B6D0E"/>
    <w:rsid w:val="009E26D5"/>
    <w:rsid w:val="009E59B3"/>
    <w:rsid w:val="009F369B"/>
    <w:rsid w:val="009F3AA7"/>
    <w:rsid w:val="00A12972"/>
    <w:rsid w:val="00A22447"/>
    <w:rsid w:val="00A226D4"/>
    <w:rsid w:val="00A36DBF"/>
    <w:rsid w:val="00A44040"/>
    <w:rsid w:val="00A53F58"/>
    <w:rsid w:val="00A55358"/>
    <w:rsid w:val="00A80EC8"/>
    <w:rsid w:val="00A848CD"/>
    <w:rsid w:val="00AD0E2E"/>
    <w:rsid w:val="00AF1549"/>
    <w:rsid w:val="00B1318F"/>
    <w:rsid w:val="00B13BAC"/>
    <w:rsid w:val="00B17F34"/>
    <w:rsid w:val="00B853B4"/>
    <w:rsid w:val="00B96F2C"/>
    <w:rsid w:val="00BA16E2"/>
    <w:rsid w:val="00BD756B"/>
    <w:rsid w:val="00BE6B64"/>
    <w:rsid w:val="00C14081"/>
    <w:rsid w:val="00C26DE1"/>
    <w:rsid w:val="00C46E26"/>
    <w:rsid w:val="00C47028"/>
    <w:rsid w:val="00C53E61"/>
    <w:rsid w:val="00C629AB"/>
    <w:rsid w:val="00C90187"/>
    <w:rsid w:val="00C92CE4"/>
    <w:rsid w:val="00CA0923"/>
    <w:rsid w:val="00CA3D33"/>
    <w:rsid w:val="00CA663A"/>
    <w:rsid w:val="00CD3A7C"/>
    <w:rsid w:val="00CD4665"/>
    <w:rsid w:val="00CE7F77"/>
    <w:rsid w:val="00D02E51"/>
    <w:rsid w:val="00D163D9"/>
    <w:rsid w:val="00D36B24"/>
    <w:rsid w:val="00DA7A8C"/>
    <w:rsid w:val="00DB16A5"/>
    <w:rsid w:val="00DB4392"/>
    <w:rsid w:val="00DC35A0"/>
    <w:rsid w:val="00DE5C3A"/>
    <w:rsid w:val="00E10FE1"/>
    <w:rsid w:val="00E11575"/>
    <w:rsid w:val="00E24167"/>
    <w:rsid w:val="00E61BDB"/>
    <w:rsid w:val="00E70903"/>
    <w:rsid w:val="00EC0AAC"/>
    <w:rsid w:val="00F156AD"/>
    <w:rsid w:val="00F32F99"/>
    <w:rsid w:val="00F355E7"/>
    <w:rsid w:val="00F554F2"/>
    <w:rsid w:val="00F85848"/>
    <w:rsid w:val="00F87ED4"/>
    <w:rsid w:val="00FC1DC4"/>
    <w:rsid w:val="00FC52AD"/>
    <w:rsid w:val="00FF65C5"/>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13812"/>
  <w15:docId w15:val="{E1DD2C8E-D0D6-40FD-9573-A43B6FB6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color w:val="353744"/>
        <w:sz w:val="22"/>
        <w:szCs w:val="22"/>
        <w:lang w:val="en" w:eastAsia="en-US" w:bidi="ar-SA"/>
      </w:rPr>
    </w:rPrDefault>
    <w:pPrDefault>
      <w:pPr>
        <w:pBdr>
          <w:top w:val="nil"/>
          <w:left w:val="nil"/>
          <w:bottom w:val="nil"/>
          <w:right w:val="nil"/>
          <w:between w:val="nil"/>
        </w:pBdr>
        <w:spacing w:before="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line="240" w:lineRule="auto"/>
      <w:outlineLvl w:val="0"/>
    </w:pPr>
    <w:rPr>
      <w:b/>
      <w:sz w:val="28"/>
      <w:szCs w:val="28"/>
    </w:rPr>
  </w:style>
  <w:style w:type="paragraph" w:styleId="Heading2">
    <w:name w:val="heading 2"/>
    <w:basedOn w:val="Normal"/>
    <w:next w:val="Normal"/>
    <w:pPr>
      <w:spacing w:before="320" w:line="240" w:lineRule="auto"/>
      <w:outlineLvl w:val="1"/>
    </w:pPr>
    <w:rPr>
      <w:b/>
      <w:color w:val="00AB44"/>
      <w:sz w:val="28"/>
      <w:szCs w:val="28"/>
    </w:rPr>
  </w:style>
  <w:style w:type="paragraph" w:styleId="Heading3">
    <w:name w:val="heading 3"/>
    <w:basedOn w:val="Normal"/>
    <w:next w:val="Normal"/>
    <w:pPr>
      <w:spacing w:line="240" w:lineRule="auto"/>
      <w:outlineLvl w:val="2"/>
    </w:pPr>
    <w:rPr>
      <w:sz w:val="26"/>
      <w:szCs w:val="2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320" w:line="240" w:lineRule="auto"/>
    </w:pPr>
    <w:rPr>
      <w:sz w:val="72"/>
      <w:szCs w:val="72"/>
    </w:rPr>
  </w:style>
  <w:style w:type="paragraph" w:styleId="Subtitle">
    <w:name w:val="Subtitle"/>
    <w:basedOn w:val="Normal"/>
    <w:next w:val="Normal"/>
    <w:pPr>
      <w:spacing w:before="0" w:line="240" w:lineRule="auto"/>
    </w:pPr>
    <w:rPr>
      <w:color w:val="666666"/>
      <w:sz w:val="26"/>
      <w:szCs w:val="26"/>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GridTable2-Accent3">
    <w:name w:val="Grid Table 2 Accent 3"/>
    <w:basedOn w:val="TableNormal"/>
    <w:uiPriority w:val="47"/>
    <w:rsid w:val="00472CE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472CE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1787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1787A"/>
  </w:style>
  <w:style w:type="paragraph" w:styleId="Footer">
    <w:name w:val="footer"/>
    <w:basedOn w:val="Normal"/>
    <w:link w:val="FooterChar"/>
    <w:uiPriority w:val="99"/>
    <w:unhideWhenUsed/>
    <w:rsid w:val="0021787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1787A"/>
  </w:style>
  <w:style w:type="paragraph" w:styleId="NormalWeb">
    <w:name w:val="Normal (Web)"/>
    <w:basedOn w:val="Normal"/>
    <w:uiPriority w:val="99"/>
    <w:semiHidden/>
    <w:unhideWhenUsed/>
    <w:rsid w:val="00CD466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GridTable2-Accent4">
    <w:name w:val="Grid Table 2 Accent 4"/>
    <w:basedOn w:val="TableNormal"/>
    <w:uiPriority w:val="47"/>
    <w:rsid w:val="00CD4665"/>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CD4665"/>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3">
    <w:name w:val="Grid Table 3 Accent 3"/>
    <w:basedOn w:val="TableNormal"/>
    <w:uiPriority w:val="48"/>
    <w:rsid w:val="00CD4665"/>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CD4665"/>
    <w:pPr>
      <w:ind w:left="720"/>
      <w:contextualSpacing/>
    </w:pPr>
  </w:style>
  <w:style w:type="table" w:customStyle="1" w:styleId="GridTable2-Accent31">
    <w:name w:val="Grid Table 2 - Accent 31"/>
    <w:basedOn w:val="TableNormal"/>
    <w:next w:val="GridTable2-Accent3"/>
    <w:uiPriority w:val="47"/>
    <w:rsid w:val="009E59B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33611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2A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2AD"/>
    <w:rPr>
      <w:rFonts w:ascii="Segoe UI" w:hAnsi="Segoe UI" w:cs="Segoe UI"/>
      <w:sz w:val="18"/>
      <w:szCs w:val="18"/>
    </w:rPr>
  </w:style>
  <w:style w:type="character" w:styleId="CommentReference">
    <w:name w:val="annotation reference"/>
    <w:basedOn w:val="DefaultParagraphFont"/>
    <w:uiPriority w:val="99"/>
    <w:semiHidden/>
    <w:unhideWhenUsed/>
    <w:rsid w:val="001E0852"/>
    <w:rPr>
      <w:sz w:val="16"/>
      <w:szCs w:val="16"/>
    </w:rPr>
  </w:style>
  <w:style w:type="paragraph" w:styleId="CommentText">
    <w:name w:val="annotation text"/>
    <w:basedOn w:val="Normal"/>
    <w:link w:val="CommentTextChar"/>
    <w:uiPriority w:val="99"/>
    <w:semiHidden/>
    <w:unhideWhenUsed/>
    <w:rsid w:val="001E0852"/>
    <w:pPr>
      <w:spacing w:line="240" w:lineRule="auto"/>
    </w:pPr>
    <w:rPr>
      <w:sz w:val="20"/>
      <w:szCs w:val="20"/>
    </w:rPr>
  </w:style>
  <w:style w:type="character" w:customStyle="1" w:styleId="CommentTextChar">
    <w:name w:val="Comment Text Char"/>
    <w:basedOn w:val="DefaultParagraphFont"/>
    <w:link w:val="CommentText"/>
    <w:uiPriority w:val="99"/>
    <w:semiHidden/>
    <w:rsid w:val="001E0852"/>
    <w:rPr>
      <w:sz w:val="20"/>
      <w:szCs w:val="20"/>
    </w:rPr>
  </w:style>
  <w:style w:type="paragraph" w:styleId="CommentSubject">
    <w:name w:val="annotation subject"/>
    <w:basedOn w:val="CommentText"/>
    <w:next w:val="CommentText"/>
    <w:link w:val="CommentSubjectChar"/>
    <w:uiPriority w:val="99"/>
    <w:semiHidden/>
    <w:unhideWhenUsed/>
    <w:rsid w:val="001E0852"/>
    <w:rPr>
      <w:b/>
      <w:bCs/>
    </w:rPr>
  </w:style>
  <w:style w:type="character" w:customStyle="1" w:styleId="CommentSubjectChar">
    <w:name w:val="Comment Subject Char"/>
    <w:basedOn w:val="CommentTextChar"/>
    <w:link w:val="CommentSubject"/>
    <w:uiPriority w:val="99"/>
    <w:semiHidden/>
    <w:rsid w:val="001E0852"/>
    <w:rPr>
      <w:b/>
      <w:bCs/>
      <w:sz w:val="20"/>
      <w:szCs w:val="20"/>
    </w:rPr>
  </w:style>
  <w:style w:type="character" w:styleId="Hyperlink">
    <w:name w:val="Hyperlink"/>
    <w:basedOn w:val="DefaultParagraphFont"/>
    <w:uiPriority w:val="99"/>
    <w:unhideWhenUsed/>
    <w:rsid w:val="00146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6170">
      <w:bodyDiv w:val="1"/>
      <w:marLeft w:val="0"/>
      <w:marRight w:val="0"/>
      <w:marTop w:val="0"/>
      <w:marBottom w:val="0"/>
      <w:divBdr>
        <w:top w:val="none" w:sz="0" w:space="0" w:color="auto"/>
        <w:left w:val="none" w:sz="0" w:space="0" w:color="auto"/>
        <w:bottom w:val="none" w:sz="0" w:space="0" w:color="auto"/>
        <w:right w:val="none" w:sz="0" w:space="0" w:color="auto"/>
      </w:divBdr>
      <w:divsChild>
        <w:div w:id="302928695">
          <w:marLeft w:val="-32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minariesconsulting.com/tools-%26-ins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minariesconsult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495AD-253E-49DB-A5A9-84227E0B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LaBoda</dc:creator>
  <cp:keywords/>
  <dc:description/>
  <cp:lastModifiedBy>Holly LaBoda</cp:lastModifiedBy>
  <cp:revision>4</cp:revision>
  <dcterms:created xsi:type="dcterms:W3CDTF">2018-11-01T17:09:00Z</dcterms:created>
  <dcterms:modified xsi:type="dcterms:W3CDTF">2018-11-01T20:22:00Z</dcterms:modified>
</cp:coreProperties>
</file>