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21C6DB"/>
          <w:sz w:val="22"/>
        </w:rPr>
        <w:t>MINDFORGE PLAY STUDIO</w:t>
      </w:r>
    </w:p>
    <w:p>
      <w:pPr>
        <w:pStyle w:val="Title"/>
        <w:jc w:val="center"/>
      </w:pPr>
      <w:r>
        <w:t>Forge Individual Membership Learning Lab</w:t>
      </w:r>
    </w:p>
    <w:p>
      <w:pPr>
        <w:spacing w:after="240"/>
        <w:jc w:val="center"/>
      </w:pPr>
      <w:r>
        <w:rPr>
          <w:b/>
          <w:color w:val="163A70"/>
          <w:sz w:val="26"/>
        </w:rPr>
        <w:t>Grades 6–8 Arizona Standards-Aligned Supplemental Curriculum</w:t>
      </w:r>
    </w:p>
    <w:tbl>
      <w:tblPr>
        <w:tblStyle w:val="TableGrid"/>
        <w:tblW w:type="auto" w:w="0"/>
        <w:jc w:val="center"/>
        <w:tblLook w:firstColumn="1" w:firstRow="1" w:lastColumn="0" w:lastRow="0" w:noHBand="0" w:noVBand="1" w:val="04A0"/>
      </w:tblPr>
      <w:tblGrid>
        <w:gridCol w:w="4939"/>
        <w:gridCol w:w="4939"/>
      </w:tblGrid>
      <w:tr>
        <w:tc>
          <w:tcPr>
            <w:tcW w:type="dxa" w:w="4939"/>
            <w:vAlign w:val="center"/>
            <w:tcMar>
              <w:top w:w="80" w:type="dxa"/>
              <w:start w:w="110" w:type="dxa"/>
              <w:bottom w:w="80" w:type="dxa"/>
              <w:end w:w="110" w:type="dxa"/>
            </w:tcMar>
            <w:shd w:fill="F5F7F9"/>
          </w:tcPr>
          <w:p>
            <w:pPr>
              <w:keepLines/>
              <w:spacing w:after="0" w:line="245" w:lineRule="auto"/>
            </w:pPr>
            <w:r>
              <w:t>Student Name</w:t>
              <w:br/>
              <w:t>________________________________</w:t>
            </w:r>
          </w:p>
        </w:tc>
        <w:tc>
          <w:tcPr>
            <w:tcW w:type="dxa" w:w="4939"/>
            <w:vAlign w:val="center"/>
            <w:tcMar>
              <w:top w:w="80" w:type="dxa"/>
              <w:start w:w="110" w:type="dxa"/>
              <w:bottom w:w="80" w:type="dxa"/>
              <w:end w:w="110" w:type="dxa"/>
            </w:tcMar>
            <w:shd w:fill="FFFFFF"/>
          </w:tcPr>
          <w:p>
            <w:pPr>
              <w:keepLines/>
              <w:spacing w:after="0" w:line="245" w:lineRule="auto"/>
            </w:pPr>
            <w:r>
              <w:t>Student Application ID #</w:t>
              <w:br/>
              <w:t>________________________________</w:t>
            </w:r>
          </w:p>
        </w:tc>
      </w:tr>
      <w:tr>
        <w:tc>
          <w:tcPr>
            <w:tcW w:type="dxa" w:w="4939"/>
            <w:vAlign w:val="center"/>
            <w:tcMar>
              <w:top w:w="80" w:type="dxa"/>
              <w:start w:w="110" w:type="dxa"/>
              <w:bottom w:w="80" w:type="dxa"/>
              <w:end w:w="110" w:type="dxa"/>
            </w:tcMar>
            <w:shd w:fill="F5F7F9"/>
          </w:tcPr>
          <w:p>
            <w:pPr>
              <w:keepLines/>
              <w:spacing w:after="0" w:line="245" w:lineRule="auto"/>
            </w:pPr>
            <w:r>
              <w:t>Grade Level</w:t>
              <w:br/>
              <w:t>6  /  7  /  8</w:t>
            </w:r>
          </w:p>
        </w:tc>
        <w:tc>
          <w:tcPr>
            <w:tcW w:type="dxa" w:w="4939"/>
            <w:vAlign w:val="center"/>
            <w:tcMar>
              <w:top w:w="80" w:type="dxa"/>
              <w:start w:w="110" w:type="dxa"/>
              <w:bottom w:w="80" w:type="dxa"/>
              <w:end w:w="110" w:type="dxa"/>
            </w:tcMar>
            <w:shd w:fill="FFFFFF"/>
          </w:tcPr>
          <w:p>
            <w:pPr>
              <w:keepLines/>
              <w:spacing w:after="0" w:line="245" w:lineRule="auto"/>
            </w:pPr>
            <w:r>
              <w:rPr>
                <w:b/>
              </w:rPr>
            </w:r>
            <w:r>
              <w:rPr>
                <w:rFonts w:ascii="Aptos" w:hAnsi="Aptos"/>
                <w:b w:val="0"/>
                <w:color w:val="333333"/>
                <w:sz w:val="18"/>
              </w:rPr>
              <w:t>Course Format</w:t>
              <w:br/>
              <w:t>Ongoing monthly enrichment; suggested 2 visits per week, 90 minutes per visit (approximately 12 hours per month)</w:t>
            </w:r>
          </w:p>
        </w:tc>
      </w:tr>
    </w:tbl>
    <w:p/>
    <w:p>
      <w:pPr>
        <w:pStyle w:val="Heading1"/>
      </w:pPr>
      <w:r>
        <w:t>Scope / Overview of Class</w:t>
      </w:r>
    </w:p>
    <w:p>
      <w:r>
        <w:t>The Forge Individual Membership Learning Lab is an individualized, project-based enrichment curriculum delivered through recurring visits to MindForge Play Studio. The membership gives the student regular access during open-play hours to a hands-on environment containing construction materials, collaborative board and strategy games, maker resources, and changing creative challenges. Planned visits convert this access into purposeful Grades 6–8 learning through design briefs, mathematical investigations, written documentation, strategic play, collaboration, and reflection.</w:t>
      </w:r>
    </w:p>
    <w:p>
      <w:r>
        <w:t>Each visit is guided by a parent, home educator, or designated instructor using the learning cycle in this curriculum. MindForge staff maintain the studio, explain available materials and studio expectations, and may offer prompts or demonstrations; open-play membership access by itself is not represented as one-to-one tutoring or continuous direct instruction. Learning is documented through a portfolio of plans, calculations, photographs, written reflections, game-analysis records, and completed projects.</w:t>
      </w:r>
    </w:p>
    <w:p>
      <w:pPr>
        <w:pStyle w:val="Heading2"/>
      </w:pPr>
      <w:r>
        <w:t>Subjects Taught</w:t>
      </w:r>
    </w:p>
    <w:p>
      <w:pPr>
        <w:pStyle w:val="ListBullet"/>
        <w:spacing w:after="60"/>
        <w:ind w:left="360" w:hanging="216"/>
      </w:pPr>
      <w:r>
        <w:t>English Language Arts: reading and interpreting directions; explanatory, argumentative, and reflective writing; discussion; presentation; and domain-specific vocabulary.</w:t>
      </w:r>
    </w:p>
    <w:p>
      <w:pPr>
        <w:pStyle w:val="ListBullet"/>
        <w:spacing w:after="60"/>
        <w:ind w:left="360" w:hanging="216"/>
      </w:pPr>
      <w:r>
        <w:t>Mathematics: proportional reasoning, rational-number operations, expressions and equations, scale drawings, geometry, statistics, probability, measurement, budgeting, and optimization.</w:t>
      </w:r>
    </w:p>
    <w:p>
      <w:pPr>
        <w:pStyle w:val="ListBullet"/>
        <w:spacing w:after="60"/>
        <w:ind w:left="360" w:hanging="216"/>
      </w:pPr>
      <w:r>
        <w:t>Engineering Design and Applied STEM: defining problems, identifying criteria and constraints, creating prototypes, testing, collecting data, and improving solutions.</w:t>
      </w:r>
    </w:p>
    <w:p>
      <w:pPr>
        <w:pStyle w:val="ListBullet"/>
        <w:spacing w:after="60"/>
        <w:ind w:left="360" w:hanging="216"/>
      </w:pPr>
      <w:r>
        <w:t>History and Social Science Inquiry: evaluating perspectives, using evidence, constructing claims, negotiation, shared rules, and community decision-making through strategy and simulation games.</w:t>
      </w:r>
    </w:p>
    <w:p>
      <w:pPr>
        <w:pStyle w:val="ListBullet"/>
        <w:spacing w:after="60"/>
        <w:ind w:left="360" w:hanging="216"/>
      </w:pPr>
      <w:r>
        <w:t>Visual Arts and Design: generating ideas, using materials intentionally, craftsmanship, revision, and presenting original work.</w:t>
      </w:r>
    </w:p>
    <w:p>
      <w:pPr>
        <w:pStyle w:val="ListBullet"/>
        <w:spacing w:after="60"/>
        <w:ind w:left="360" w:hanging="216"/>
      </w:pPr>
      <w:r>
        <w:t>Executive Function and Social-Emotional Learning: planning, task initiation, time management, flexible thinking, perseverance, turn-taking, communication, and self-assessment.</w:t>
      </w:r>
    </w:p>
    <w:p>
      <w:pPr>
        <w:pStyle w:val="Heading2"/>
      </w:pPr>
      <w:r>
        <w:t>Learning Objectives</w:t>
      </w:r>
    </w:p>
    <w:p>
      <w:pPr>
        <w:pStyle w:val="ListBullet"/>
        <w:spacing w:after="60"/>
        <w:ind w:left="360" w:hanging="216"/>
      </w:pPr>
      <w:r>
        <w:t>Plan, build, test, and revise at least one standards-connected design challenge during each monthly cycle.</w:t>
      </w:r>
    </w:p>
    <w:p>
      <w:pPr>
        <w:pStyle w:val="ListBullet"/>
        <w:spacing w:after="60"/>
        <w:ind w:left="360" w:hanging="216"/>
      </w:pPr>
      <w:r>
        <w:t>Use mathematics to measure, scale, budget, compare, predict, and justify design or strategy choices.</w:t>
      </w:r>
    </w:p>
    <w:p>
      <w:pPr>
        <w:pStyle w:val="ListBullet"/>
        <w:spacing w:after="60"/>
        <w:ind w:left="360" w:hanging="216"/>
      </w:pPr>
      <w:r>
        <w:t>Read rules and task criteria closely, cite relevant details, and communicate conclusions clearly in writing and discussion.</w:t>
      </w:r>
    </w:p>
    <w:p>
      <w:pPr>
        <w:pStyle w:val="ListBullet"/>
        <w:spacing w:after="60"/>
        <w:ind w:left="360" w:hanging="216"/>
      </w:pPr>
      <w:r>
        <w:t>Analyze probability and data during games or experiments and distinguish predicted outcomes from observed results.</w:t>
      </w:r>
    </w:p>
    <w:p>
      <w:pPr>
        <w:pStyle w:val="ListBullet"/>
        <w:spacing w:after="60"/>
        <w:ind w:left="360" w:hanging="216"/>
      </w:pPr>
      <w:r>
        <w:t>Collaborate respectfully, respond to feedback, persist through setbacks, and evaluate the effectiveness of a final solution.</w:t>
      </w:r>
    </w:p>
    <w:p>
      <w:pPr>
        <w:pStyle w:val="ListBullet"/>
        <w:spacing w:after="60"/>
        <w:ind w:left="360" w:hanging="216"/>
      </w:pPr>
      <w:r>
        <w:t>Maintain a portfolio that demonstrates the learning process rather than only the finished product.</w:t>
      </w:r>
    </w:p>
    <w:p>
      <w:pPr>
        <w:pStyle w:val="Heading1"/>
      </w:pPr>
      <w:r>
        <w:t>Arizona State Educational Standards Alignment</w:t>
      </w:r>
    </w:p>
    <w:p>
      <w:r>
        <w:t>The membership learning plan intentionally practices selected Arizona middle-school standards for Grades 6–8. Individual projects may emphasize different standards; the portfolio identifies which standards were addressed during each visit. This supplemental program is not represented as a complete year-long middle-school course in any single subject.</w:t>
      </w: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Grade</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ELA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6</w:t>
            </w:r>
          </w:p>
        </w:tc>
        <w:tc>
          <w:tcPr>
            <w:tcW w:type="dxa" w:w="3293"/>
            <w:shd w:fill="FFFFFF"/>
          </w:tcPr>
          <w:p>
            <w:pPr>
              <w:spacing w:after="0" w:line="240" w:lineRule="auto"/>
            </w:pPr>
            <w:r/>
            <w:r>
              <w:rPr>
                <w:rFonts w:ascii="Aptos" w:hAnsi="Aptos"/>
                <w:b w:val="0"/>
                <w:color w:val="333333"/>
                <w:sz w:val="16"/>
              </w:rPr>
              <w:t>6.RI.1–3; 6.W.1–2, 5, 7–9; 6.SL.1, 4–6; 6.L.6</w:t>
            </w:r>
          </w:p>
        </w:tc>
        <w:tc>
          <w:tcPr>
            <w:tcW w:type="dxa" w:w="3293"/>
            <w:shd w:fill="FFFFFF"/>
          </w:tcPr>
          <w:p>
            <w:pPr>
              <w:spacing w:after="0" w:line="240" w:lineRule="auto"/>
            </w:pPr>
            <w:r/>
            <w:r>
              <w:rPr>
                <w:rFonts w:ascii="Aptos" w:hAnsi="Aptos"/>
                <w:b w:val="0"/>
                <w:color w:val="333333"/>
                <w:sz w:val="16"/>
              </w:rPr>
              <w:t>Cite evidence from directions and reference texts; analyze procedures; write arguments/explanations; research, revise, discuss, and present project findings.</w:t>
            </w:r>
          </w:p>
        </w:tc>
      </w:tr>
      <w:tr>
        <w:tc>
          <w:tcPr>
            <w:tcW w:type="dxa" w:w="3293"/>
            <w:shd w:fill="F5F7F9"/>
          </w:tcPr>
          <w:p>
            <w:pPr>
              <w:spacing w:after="0" w:line="240" w:lineRule="auto"/>
            </w:pPr>
            <w:r/>
            <w:r>
              <w:rPr>
                <w:rFonts w:ascii="Aptos" w:hAnsi="Aptos"/>
                <w:b w:val="0"/>
                <w:color w:val="333333"/>
                <w:sz w:val="16"/>
              </w:rPr>
              <w:t>7</w:t>
            </w:r>
          </w:p>
        </w:tc>
        <w:tc>
          <w:tcPr>
            <w:tcW w:type="dxa" w:w="3293"/>
            <w:shd w:fill="F5F7F9"/>
          </w:tcPr>
          <w:p>
            <w:pPr>
              <w:spacing w:after="0" w:line="240" w:lineRule="auto"/>
            </w:pPr>
            <w:r/>
            <w:r>
              <w:rPr>
                <w:rFonts w:ascii="Aptos" w:hAnsi="Aptos"/>
                <w:b w:val="0"/>
                <w:color w:val="333333"/>
                <w:sz w:val="16"/>
              </w:rPr>
              <w:t>7.RI.1–3; 7.W.1–2, 5, 7–9; 7.SL.1, 4–6; 7.L.6</w:t>
            </w:r>
          </w:p>
        </w:tc>
        <w:tc>
          <w:tcPr>
            <w:tcW w:type="dxa" w:w="3293"/>
            <w:shd w:fill="F5F7F9"/>
          </w:tcPr>
          <w:p>
            <w:pPr>
              <w:spacing w:after="0" w:line="240" w:lineRule="auto"/>
            </w:pPr>
            <w:r/>
            <w:r>
              <w:rPr>
                <w:rFonts w:ascii="Aptos" w:hAnsi="Aptos"/>
                <w:b w:val="0"/>
                <w:color w:val="333333"/>
                <w:sz w:val="16"/>
              </w:rPr>
              <w:t>Use several pieces of evidence; analyze interactions among ideas; conduct research; defend design or strategy choices; collaborate and present clearly.</w:t>
            </w:r>
          </w:p>
        </w:tc>
      </w:tr>
      <w:tr>
        <w:tc>
          <w:tcPr>
            <w:tcW w:type="dxa" w:w="3293"/>
            <w:shd w:fill="FFFFFF"/>
          </w:tcPr>
          <w:p>
            <w:pPr>
              <w:spacing w:after="0" w:line="240" w:lineRule="auto"/>
            </w:pPr>
            <w:r/>
            <w:r>
              <w:rPr>
                <w:rFonts w:ascii="Aptos" w:hAnsi="Aptos"/>
                <w:b w:val="0"/>
                <w:color w:val="333333"/>
                <w:sz w:val="16"/>
              </w:rPr>
              <w:t>8</w:t>
            </w:r>
          </w:p>
        </w:tc>
        <w:tc>
          <w:tcPr>
            <w:tcW w:type="dxa" w:w="3293"/>
            <w:shd w:fill="FFFFFF"/>
          </w:tcPr>
          <w:p>
            <w:pPr>
              <w:spacing w:after="0" w:line="240" w:lineRule="auto"/>
            </w:pPr>
            <w:r/>
            <w:r>
              <w:rPr>
                <w:rFonts w:ascii="Aptos" w:hAnsi="Aptos"/>
                <w:b w:val="0"/>
                <w:color w:val="333333"/>
                <w:sz w:val="16"/>
              </w:rPr>
              <w:t>8.RI.1–3; 8.W.1–2, 5, 7–9; 8.SL.1, 4–6; 8.L.6</w:t>
            </w:r>
          </w:p>
        </w:tc>
        <w:tc>
          <w:tcPr>
            <w:tcW w:type="dxa" w:w="3293"/>
            <w:shd w:fill="FFFFFF"/>
          </w:tcPr>
          <w:p>
            <w:pPr>
              <w:spacing w:after="0" w:line="240" w:lineRule="auto"/>
            </w:pPr>
            <w:r/>
            <w:r>
              <w:rPr>
                <w:rFonts w:ascii="Aptos" w:hAnsi="Aptos"/>
                <w:b w:val="0"/>
                <w:color w:val="333333"/>
                <w:sz w:val="16"/>
              </w:rPr>
              <w:t>Use the strongest evidence; analyze connections and distinctions; develop evidence-based writing; research independently; present claims and respond to questions.</w:t>
            </w:r>
          </w:p>
        </w:tc>
      </w:tr>
    </w:tbl>
    <w:p>
      <w:pPr>
        <w:spacing w:after="20"/>
      </w:pP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Grade</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Mathematics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6</w:t>
            </w:r>
          </w:p>
        </w:tc>
        <w:tc>
          <w:tcPr>
            <w:tcW w:type="dxa" w:w="3293"/>
            <w:shd w:fill="FFFFFF"/>
          </w:tcPr>
          <w:p>
            <w:pPr>
              <w:spacing w:after="0" w:line="240" w:lineRule="auto"/>
            </w:pPr>
            <w:r/>
            <w:r>
              <w:rPr>
                <w:rFonts w:ascii="Aptos" w:hAnsi="Aptos"/>
                <w:b w:val="0"/>
                <w:color w:val="333333"/>
                <w:sz w:val="16"/>
              </w:rPr>
              <w:t>6.RP.A.1–3; 6.NS.B–C; 6.EE.A–C; 6.G.A.1–4; 6.SP.A–B</w:t>
            </w:r>
          </w:p>
        </w:tc>
        <w:tc>
          <w:tcPr>
            <w:tcW w:type="dxa" w:w="3293"/>
            <w:shd w:fill="FFFFFF"/>
          </w:tcPr>
          <w:p>
            <w:pPr>
              <w:spacing w:after="0" w:line="240" w:lineRule="auto"/>
            </w:pPr>
            <w:r/>
            <w:r>
              <w:rPr>
                <w:rFonts w:ascii="Aptos" w:hAnsi="Aptos"/>
                <w:b w:val="0"/>
                <w:color w:val="333333"/>
                <w:sz w:val="16"/>
              </w:rPr>
              <w:t>Use ratios, rates, fractions, decimals, integers, expressions, equations, geometry, surface area, volume, statistics, and data displays in builds and games.</w:t>
            </w:r>
          </w:p>
        </w:tc>
      </w:tr>
      <w:tr>
        <w:tc>
          <w:tcPr>
            <w:tcW w:type="dxa" w:w="3293"/>
            <w:shd w:fill="F5F7F9"/>
          </w:tcPr>
          <w:p>
            <w:pPr>
              <w:spacing w:after="0" w:line="240" w:lineRule="auto"/>
            </w:pPr>
            <w:r/>
            <w:r>
              <w:rPr>
                <w:rFonts w:ascii="Aptos" w:hAnsi="Aptos"/>
                <w:b w:val="0"/>
                <w:color w:val="333333"/>
                <w:sz w:val="16"/>
              </w:rPr>
              <w:t>7</w:t>
            </w:r>
          </w:p>
        </w:tc>
        <w:tc>
          <w:tcPr>
            <w:tcW w:type="dxa" w:w="3293"/>
            <w:shd w:fill="F5F7F9"/>
          </w:tcPr>
          <w:p>
            <w:pPr>
              <w:spacing w:after="0" w:line="240" w:lineRule="auto"/>
            </w:pPr>
            <w:r/>
            <w:r>
              <w:rPr>
                <w:rFonts w:ascii="Aptos" w:hAnsi="Aptos"/>
                <w:b w:val="0"/>
                <w:color w:val="333333"/>
                <w:sz w:val="16"/>
              </w:rPr>
              <w:t>7.RP.A.1–3; 7.NS.A.1–3; 7.EE.A–B; 7.G.A–B; 7.SP.A–C</w:t>
            </w:r>
          </w:p>
        </w:tc>
        <w:tc>
          <w:tcPr>
            <w:tcW w:type="dxa" w:w="3293"/>
            <w:shd w:fill="F5F7F9"/>
          </w:tcPr>
          <w:p>
            <w:pPr>
              <w:spacing w:after="0" w:line="240" w:lineRule="auto"/>
            </w:pPr>
            <w:r/>
            <w:r>
              <w:rPr>
                <w:rFonts w:ascii="Aptos" w:hAnsi="Aptos"/>
                <w:b w:val="0"/>
                <w:color w:val="333333"/>
                <w:sz w:val="16"/>
              </w:rPr>
              <w:t>Apply proportional reasoning, rational-number operations, expressions/equations, scale drawings, geometry, sampling, comparison, and probability.</w:t>
            </w:r>
          </w:p>
        </w:tc>
      </w:tr>
      <w:tr>
        <w:tc>
          <w:tcPr>
            <w:tcW w:type="dxa" w:w="3293"/>
            <w:shd w:fill="FFFFFF"/>
          </w:tcPr>
          <w:p>
            <w:pPr>
              <w:spacing w:after="0" w:line="240" w:lineRule="auto"/>
            </w:pPr>
            <w:r/>
            <w:r>
              <w:rPr>
                <w:rFonts w:ascii="Aptos" w:hAnsi="Aptos"/>
                <w:b w:val="0"/>
                <w:color w:val="333333"/>
                <w:sz w:val="16"/>
              </w:rPr>
              <w:t>8</w:t>
            </w:r>
          </w:p>
        </w:tc>
        <w:tc>
          <w:tcPr>
            <w:tcW w:type="dxa" w:w="3293"/>
            <w:shd w:fill="FFFFFF"/>
          </w:tcPr>
          <w:p>
            <w:pPr>
              <w:spacing w:after="0" w:line="240" w:lineRule="auto"/>
            </w:pPr>
            <w:r/>
            <w:r>
              <w:rPr>
                <w:rFonts w:ascii="Aptos" w:hAnsi="Aptos"/>
                <w:b w:val="0"/>
                <w:color w:val="333333"/>
                <w:sz w:val="16"/>
              </w:rPr>
              <w:t>8.NS.A.1–2; 8.EE.A–C; 8.F.A–B; 8.G.A–C; 8.SP.A.1–4</w:t>
            </w:r>
          </w:p>
        </w:tc>
        <w:tc>
          <w:tcPr>
            <w:tcW w:type="dxa" w:w="3293"/>
            <w:shd w:fill="FFFFFF"/>
          </w:tcPr>
          <w:p>
            <w:pPr>
              <w:spacing w:after="0" w:line="240" w:lineRule="auto"/>
            </w:pPr>
            <w:r/>
            <w:r>
              <w:rPr>
                <w:rFonts w:ascii="Aptos" w:hAnsi="Aptos"/>
                <w:b w:val="0"/>
                <w:color w:val="333333"/>
                <w:sz w:val="16"/>
              </w:rPr>
              <w:t>Use real numbers, exponents, equations, functions, transformations, Pythagorean reasoning, volume, scatter plots, association, and two-way tables.</w:t>
            </w:r>
          </w:p>
        </w:tc>
      </w:tr>
    </w:tbl>
    <w:p>
      <w:pPr>
        <w:spacing w:after="20"/>
      </w:pP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Grade</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History &amp; Social Science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6</w:t>
            </w:r>
          </w:p>
        </w:tc>
        <w:tc>
          <w:tcPr>
            <w:tcW w:type="dxa" w:w="3293"/>
            <w:shd w:fill="FFFFFF"/>
          </w:tcPr>
          <w:p>
            <w:pPr>
              <w:spacing w:after="0" w:line="240" w:lineRule="auto"/>
            </w:pPr>
            <w:r/>
            <w:r>
              <w:rPr>
                <w:rFonts w:ascii="Aptos" w:hAnsi="Aptos"/>
                <w:b w:val="0"/>
                <w:color w:val="333333"/>
                <w:sz w:val="16"/>
              </w:rPr>
              <w:t>6.SP1–4; 6.C1–4; 6.G1–4; 6.E1–5, selected by project</w:t>
            </w:r>
          </w:p>
        </w:tc>
        <w:tc>
          <w:tcPr>
            <w:tcW w:type="dxa" w:w="3293"/>
            <w:shd w:fill="FFFFFF"/>
          </w:tcPr>
          <w:p>
            <w:pPr>
              <w:spacing w:after="0" w:line="240" w:lineRule="auto"/>
            </w:pPr>
            <w:r/>
            <w:r>
              <w:rPr>
                <w:rFonts w:ascii="Aptos" w:hAnsi="Aptos"/>
                <w:b w:val="0"/>
                <w:color w:val="333333"/>
                <w:sz w:val="16"/>
              </w:rPr>
              <w:t>Sequence and contextualize events; compare perspectives; use sources and evidence; analyze maps, resources, rules, cooperation, and economic choices in simulations.</w:t>
            </w:r>
          </w:p>
        </w:tc>
      </w:tr>
      <w:tr>
        <w:tc>
          <w:tcPr>
            <w:tcW w:type="dxa" w:w="3293"/>
            <w:shd w:fill="F5F7F9"/>
          </w:tcPr>
          <w:p>
            <w:pPr>
              <w:spacing w:after="0" w:line="240" w:lineRule="auto"/>
            </w:pPr>
            <w:r/>
            <w:r>
              <w:rPr>
                <w:rFonts w:ascii="Aptos" w:hAnsi="Aptos"/>
                <w:b w:val="0"/>
                <w:color w:val="333333"/>
                <w:sz w:val="16"/>
              </w:rPr>
              <w:t>7</w:t>
            </w:r>
          </w:p>
        </w:tc>
        <w:tc>
          <w:tcPr>
            <w:tcW w:type="dxa" w:w="3293"/>
            <w:shd w:fill="F5F7F9"/>
          </w:tcPr>
          <w:p>
            <w:pPr>
              <w:spacing w:after="0" w:line="240" w:lineRule="auto"/>
            </w:pPr>
            <w:r/>
            <w:r>
              <w:rPr>
                <w:rFonts w:ascii="Aptos" w:hAnsi="Aptos"/>
                <w:b w:val="0"/>
                <w:color w:val="333333"/>
                <w:sz w:val="16"/>
              </w:rPr>
              <w:t>7.SP1–4; 7.C1–4; 7.G1–4; 7.E1–5, selected by project</w:t>
            </w:r>
          </w:p>
        </w:tc>
        <w:tc>
          <w:tcPr>
            <w:tcW w:type="dxa" w:w="3293"/>
            <w:shd w:fill="F5F7F9"/>
          </w:tcPr>
          <w:p>
            <w:pPr>
              <w:spacing w:after="0" w:line="240" w:lineRule="auto"/>
            </w:pPr>
            <w:r/>
            <w:r>
              <w:rPr>
                <w:rFonts w:ascii="Aptos" w:hAnsi="Aptos"/>
                <w:b w:val="0"/>
                <w:color w:val="333333"/>
                <w:sz w:val="16"/>
              </w:rPr>
              <w:t>Develop claims and counterclaims from multiple sources; evaluate perspectives, leadership, incentives, community decisions, and consequences.</w:t>
            </w:r>
          </w:p>
        </w:tc>
      </w:tr>
      <w:tr>
        <w:tc>
          <w:tcPr>
            <w:tcW w:type="dxa" w:w="3293"/>
            <w:shd w:fill="FFFFFF"/>
          </w:tcPr>
          <w:p>
            <w:pPr>
              <w:spacing w:after="0" w:line="240" w:lineRule="auto"/>
            </w:pPr>
            <w:r/>
            <w:r>
              <w:rPr>
                <w:rFonts w:ascii="Aptos" w:hAnsi="Aptos"/>
                <w:b w:val="0"/>
                <w:color w:val="333333"/>
                <w:sz w:val="16"/>
              </w:rPr>
              <w:t>8</w:t>
            </w:r>
          </w:p>
        </w:tc>
        <w:tc>
          <w:tcPr>
            <w:tcW w:type="dxa" w:w="3293"/>
            <w:shd w:fill="FFFFFF"/>
          </w:tcPr>
          <w:p>
            <w:pPr>
              <w:spacing w:after="0" w:line="240" w:lineRule="auto"/>
            </w:pPr>
            <w:r/>
            <w:r>
              <w:rPr>
                <w:rFonts w:ascii="Aptos" w:hAnsi="Aptos"/>
                <w:b w:val="0"/>
                <w:color w:val="333333"/>
                <w:sz w:val="16"/>
              </w:rPr>
              <w:t>8.SP1–4; 8.C1–4; 8.G1–4; 8.E1–5, selected by project</w:t>
            </w:r>
          </w:p>
        </w:tc>
        <w:tc>
          <w:tcPr>
            <w:tcW w:type="dxa" w:w="3293"/>
            <w:shd w:fill="FFFFFF"/>
          </w:tcPr>
          <w:p>
            <w:pPr>
              <w:spacing w:after="0" w:line="240" w:lineRule="auto"/>
            </w:pPr>
            <w:r/>
            <w:r>
              <w:rPr>
                <w:rFonts w:ascii="Aptos" w:hAnsi="Aptos"/>
                <w:b w:val="0"/>
                <w:color w:val="333333"/>
                <w:sz w:val="16"/>
              </w:rPr>
              <w:t>Evaluate primary/secondary sources, historical context, credibility, civic processes, geographic relationships, economic decisions, and evidence-based arguments.</w:t>
            </w:r>
          </w:p>
        </w:tc>
      </w:tr>
    </w:tbl>
    <w:p>
      <w:pPr>
        <w:spacing w:after="20"/>
      </w:pPr>
    </w:p>
    <w:p>
      <w:pPr>
        <w:pStyle w:val="Heading1"/>
      </w:pPr>
      <w:r>
        <w:t>Sequence / Method of Teaching</w:t>
      </w:r>
    </w:p>
    <w:p>
      <w:r>
        <w:t>The curriculum repeats in four-week cycles so the membership remains academically purposeful while allowing the student to select projects that match his interests. Each 90-minute visit uses the following instructional rhythm: 10 minutes for goal setting and task selection; 15 minutes for reading/modeling and planning; 45 minutes for building, playing, testing, or investigating; 10 minutes for revision; and 10 minutes for documentation and reflection.</w:t>
      </w:r>
    </w:p>
    <w:tbl>
      <w:tblPr>
        <w:tblStyle w:val="TableGrid"/>
        <w:tblW w:type="auto" w:w="0"/>
        <w:jc w:val="center"/>
        <w:tblLayout w:type="fixed"/>
        <w:tblLook w:firstColumn="1" w:firstRow="1" w:lastColumn="0" w:lastRow="0" w:noHBand="0" w:noVBand="1" w:val="04A0"/>
      </w:tblPr>
      <w:tblGrid>
        <w:gridCol w:w="2469"/>
        <w:gridCol w:w="2469"/>
        <w:gridCol w:w="2469"/>
        <w:gridCol w:w="2469"/>
      </w:tblGrid>
      <w:tr>
        <w:trPr>
          <w:tblHeader w:val="true"/>
        </w:trPr>
        <w:tc>
          <w:tcPr>
            <w:tcW w:type="dxa" w:w="194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Weekly Phase</w:t>
            </w:r>
          </w:p>
        </w:tc>
        <w:tc>
          <w:tcPr>
            <w:tcW w:type="dxa" w:w="3960"/>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Teaching and Student Learning Activities</w:t>
            </w:r>
          </w:p>
        </w:tc>
        <w:tc>
          <w:tcPr>
            <w:tcW w:type="dxa" w:w="194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Evidence of Learning</w:t>
            </w:r>
          </w:p>
        </w:tc>
        <w:tc>
          <w:tcPr>
            <w:tcW w:type="dxa" w:w="1512"/>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Standards</w:t>
            </w:r>
          </w:p>
        </w:tc>
      </w:tr>
      <w:tr>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Week 1 — Define and Plan</w:t>
            </w:r>
          </w:p>
        </w:tc>
        <w:tc>
          <w:tcPr>
            <w:tcW w:type="dxa" w:w="3960"/>
            <w:vAlign w:val="center"/>
            <w:tcMar>
              <w:top w:w="80" w:type="dxa"/>
              <w:start w:w="110" w:type="dxa"/>
              <w:bottom w:w="80" w:type="dxa"/>
              <w:end w:w="110" w:type="dxa"/>
            </w:tcMar>
          </w:tcPr>
          <w:p>
            <w:pPr>
              <w:keepLines/>
              <w:spacing w:after="0" w:line="245" w:lineRule="auto"/>
            </w:pPr>
            <w:r/>
            <w:r>
              <w:rPr>
                <w:rFonts w:ascii="Aptos" w:hAnsi="Aptos"/>
                <w:b w:val="0"/>
                <w:color w:val="333333"/>
                <w:sz w:val="17"/>
              </w:rPr>
              <w:t>Select a design brief or strategy question. Read directions, define the problem, identify criteria and constraints, sketch or map a solution, predict results, and list needed materials.</w:t>
            </w:r>
          </w:p>
        </w:tc>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Design brief, annotated plan, vocabulary, prediction</w:t>
            </w:r>
          </w:p>
        </w:tc>
        <w:tc>
          <w:tcPr>
            <w:tcW w:type="dxa" w:w="1512"/>
            <w:vAlign w:val="center"/>
            <w:tcMar>
              <w:top w:w="80" w:type="dxa"/>
              <w:start w:w="110" w:type="dxa"/>
              <w:bottom w:w="80" w:type="dxa"/>
              <w:end w:w="110" w:type="dxa"/>
            </w:tcMar>
          </w:tcPr>
          <w:p>
            <w:pPr>
              <w:spacing w:after="0" w:line="240" w:lineRule="auto"/>
            </w:pPr>
            <w:r/>
            <w:r>
              <w:rPr>
                <w:rFonts w:ascii="Aptos" w:hAnsi="Aptos"/>
                <w:b w:val="0"/>
                <w:color w:val="333333"/>
                <w:sz w:val="15"/>
              </w:rPr>
              <w:t>6–8.RI.1–3; 6–8.W.2/7; grade-level RP/EE/G</w:t>
            </w:r>
          </w:p>
        </w:tc>
      </w:tr>
      <w:tr>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Week 2 — Build and Measure</w:t>
            </w:r>
          </w:p>
        </w:tc>
        <w:tc>
          <w:tcPr>
            <w:tcW w:type="dxa" w:w="396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Construct a prototype or complete a mathematical game investigation. Measure dimensions, track resources, apply ratios or equations, record trials, and photograph stages.</w:t>
            </w:r>
          </w:p>
        </w:tc>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Prototype, calculations, trial/data table, progress photos</w:t>
            </w:r>
          </w:p>
        </w:tc>
        <w:tc>
          <w:tcPr>
            <w:tcW w:type="dxa" w:w="1512"/>
            <w:vAlign w:val="center"/>
            <w:tcMar>
              <w:top w:w="80" w:type="dxa"/>
              <w:start w:w="110" w:type="dxa"/>
              <w:bottom w:w="80" w:type="dxa"/>
              <w:end w:w="110" w:type="dxa"/>
            </w:tcMar>
            <w:shd w:fill="F5F7F9"/>
          </w:tcPr>
          <w:p>
            <w:pPr>
              <w:spacing w:after="0" w:line="240" w:lineRule="auto"/>
            </w:pPr>
            <w:r/>
            <w:r>
              <w:rPr>
                <w:rFonts w:ascii="Aptos" w:hAnsi="Aptos"/>
                <w:b w:val="0"/>
                <w:color w:val="333333"/>
                <w:sz w:val="15"/>
              </w:rPr>
              <w:t>Grade-level NS/EE/G/SP; MP.4/5</w:t>
            </w:r>
          </w:p>
        </w:tc>
      </w:tr>
      <w:tr>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Week 3 — Test, Play, and Improve</w:t>
            </w:r>
          </w:p>
        </w:tc>
        <w:tc>
          <w:tcPr>
            <w:tcW w:type="dxa" w:w="3960"/>
            <w:vAlign w:val="center"/>
            <w:tcMar>
              <w:top w:w="80" w:type="dxa"/>
              <w:start w:w="110" w:type="dxa"/>
              <w:bottom w:w="80" w:type="dxa"/>
              <w:end w:w="110" w:type="dxa"/>
            </w:tcMar>
          </w:tcPr>
          <w:p>
            <w:pPr>
              <w:keepLines/>
              <w:spacing w:after="0" w:line="245" w:lineRule="auto"/>
            </w:pPr>
            <w:r/>
            <w:r>
              <w:rPr>
                <w:rFonts w:ascii="Aptos" w:hAnsi="Aptos"/>
                <w:b w:val="0"/>
                <w:color w:val="333333"/>
                <w:sz w:val="17"/>
              </w:rPr>
              <w:t>Test the project or play repeated strategy-game rounds. Compare predicted and observed results, analyze probability or data, seek feedback, identify failure points, and revise.</w:t>
            </w:r>
          </w:p>
        </w:tc>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Test log, probability/data analysis, revision notes</w:t>
            </w:r>
          </w:p>
        </w:tc>
        <w:tc>
          <w:tcPr>
            <w:tcW w:type="dxa" w:w="1512"/>
            <w:vAlign w:val="center"/>
            <w:tcMar>
              <w:top w:w="80" w:type="dxa"/>
              <w:start w:w="110" w:type="dxa"/>
              <w:bottom w:w="80" w:type="dxa"/>
              <w:end w:w="110" w:type="dxa"/>
            </w:tcMar>
          </w:tcPr>
          <w:p>
            <w:pPr>
              <w:spacing w:after="0" w:line="240" w:lineRule="auto"/>
            </w:pPr>
            <w:r/>
            <w:r>
              <w:rPr>
                <w:rFonts w:ascii="Aptos" w:hAnsi="Aptos"/>
                <w:b w:val="0"/>
                <w:color w:val="333333"/>
                <w:sz w:val="15"/>
              </w:rPr>
              <w:t>Grade-level SP; 6–8.W.5; 6–8.SL.1; MP.1/3</w:t>
            </w:r>
          </w:p>
        </w:tc>
      </w:tr>
      <w:tr>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Week 4 — Communicate and Extend</w:t>
            </w:r>
          </w:p>
        </w:tc>
        <w:tc>
          <w:tcPr>
            <w:tcW w:type="dxa" w:w="396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Finish the project, write an explanation or argument, present evidence and reasoning, reflect on collaboration and perseverance, and propose a more advanced next challenge.</w:t>
            </w:r>
          </w:p>
        </w:tc>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Final product, written explanation, oral presentation, self-assessment</w:t>
            </w:r>
          </w:p>
        </w:tc>
        <w:tc>
          <w:tcPr>
            <w:tcW w:type="dxa" w:w="1512"/>
            <w:vAlign w:val="center"/>
            <w:tcMar>
              <w:top w:w="80" w:type="dxa"/>
              <w:start w:w="110" w:type="dxa"/>
              <w:bottom w:w="80" w:type="dxa"/>
              <w:end w:w="110" w:type="dxa"/>
            </w:tcMar>
            <w:shd w:fill="F5F7F9"/>
          </w:tcPr>
          <w:p>
            <w:pPr>
              <w:spacing w:after="0" w:line="240" w:lineRule="auto"/>
            </w:pPr>
            <w:r/>
            <w:r>
              <w:rPr>
                <w:rFonts w:ascii="Aptos" w:hAnsi="Aptos"/>
                <w:b w:val="0"/>
                <w:color w:val="333333"/>
                <w:sz w:val="15"/>
              </w:rPr>
              <w:t>6–8.W.1–2; 6–8.SL.4; 6–8.L.6; grade-level SP3</w:t>
            </w:r>
          </w:p>
        </w:tc>
      </w:tr>
    </w:tbl>
    <w:p>
      <w:pPr>
        <w:spacing w:after="20"/>
      </w:pPr>
    </w:p>
    <w:p/>
    <w:p>
      <w:pPr>
        <w:pStyle w:val="Heading2"/>
      </w:pPr>
      <w:r>
        <w:t>Differentiation by Grade Level</w:t>
      </w:r>
    </w:p>
    <w:tbl>
      <w:tblPr>
        <w:tblStyle w:val="TableGrid"/>
        <w:tblW w:type="auto" w:w="0"/>
        <w:tblLook w:firstColumn="1" w:firstRow="1" w:lastColumn="0" w:lastRow="0" w:noHBand="0" w:noVBand="1" w:val="04A0"/>
      </w:tblPr>
      <w:tblGrid>
        <w:gridCol w:w="4939"/>
        <w:gridCol w:w="4939"/>
      </w:tblGrid>
      <w:tr>
        <w:tc>
          <w:tcPr>
            <w:tcW w:type="dxa" w:w="4939"/>
            <w:shd w:fill="163A70"/>
          </w:tcPr>
          <w:p>
            <w:pPr>
              <w:spacing w:after="0" w:line="240" w:lineRule="auto"/>
            </w:pPr>
            <w:r/>
            <w:r>
              <w:rPr>
                <w:rFonts w:ascii="Aptos" w:hAnsi="Aptos"/>
                <w:b/>
                <w:color w:val="FFFFFF"/>
                <w:sz w:val="17"/>
              </w:rPr>
              <w:t>Grade</w:t>
            </w:r>
          </w:p>
        </w:tc>
        <w:tc>
          <w:tcPr>
            <w:tcW w:type="dxa" w:w="4939"/>
            <w:shd w:fill="163A70"/>
          </w:tcPr>
          <w:p>
            <w:pPr>
              <w:spacing w:after="0" w:line="240" w:lineRule="auto"/>
            </w:pPr>
            <w:r/>
            <w:r>
              <w:rPr>
                <w:rFonts w:ascii="Aptos" w:hAnsi="Aptos"/>
                <w:b/>
                <w:color w:val="FFFFFF"/>
                <w:sz w:val="17"/>
              </w:rPr>
              <w:t>Instructional Adaptation</w:t>
            </w:r>
          </w:p>
        </w:tc>
      </w:tr>
      <w:tr>
        <w:tc>
          <w:tcPr>
            <w:tcW w:type="dxa" w:w="4939"/>
            <w:shd w:fill="FFFFFF"/>
          </w:tcPr>
          <w:p>
            <w:pPr>
              <w:spacing w:after="0" w:line="240" w:lineRule="auto"/>
            </w:pPr>
            <w:r/>
            <w:r>
              <w:rPr>
                <w:rFonts w:ascii="Aptos" w:hAnsi="Aptos"/>
                <w:b w:val="0"/>
                <w:color w:val="333333"/>
                <w:sz w:val="16"/>
              </w:rPr>
              <w:t>Grade 6</w:t>
            </w:r>
          </w:p>
        </w:tc>
        <w:tc>
          <w:tcPr>
            <w:tcW w:type="dxa" w:w="4939"/>
            <w:shd w:fill="FFFFFF"/>
          </w:tcPr>
          <w:p>
            <w:pPr>
              <w:spacing w:after="0" w:line="240" w:lineRule="auto"/>
            </w:pPr>
            <w:r/>
            <w:r>
              <w:rPr>
                <w:rFonts w:ascii="Aptos" w:hAnsi="Aptos"/>
                <w:b w:val="0"/>
                <w:color w:val="333333"/>
                <w:sz w:val="16"/>
              </w:rPr>
              <w:t>Emphasize ratios, unit rates, fractions/decimals, integers, expressions, area/surface area/volume, introductory statistics, structured research, and explicit planning supports.</w:t>
            </w:r>
          </w:p>
        </w:tc>
      </w:tr>
      <w:tr>
        <w:tc>
          <w:tcPr>
            <w:tcW w:type="dxa" w:w="4939"/>
            <w:shd w:fill="F5F7F9"/>
          </w:tcPr>
          <w:p>
            <w:pPr>
              <w:spacing w:after="0" w:line="240" w:lineRule="auto"/>
            </w:pPr>
            <w:r>
              <w:t>Grades 6–8</w:t>
            </w:r>
          </w:p>
        </w:tc>
        <w:tc>
          <w:tcPr>
            <w:tcW w:type="dxa" w:w="4939"/>
            <w:shd w:fill="F5F7F9"/>
          </w:tcPr>
          <w:p>
            <w:pPr>
              <w:spacing w:after="0" w:line="240" w:lineRule="auto"/>
            </w:pPr>
            <w:r/>
            <w:r>
              <w:rPr>
                <w:rFonts w:ascii="Aptos" w:hAnsi="Aptos"/>
                <w:b w:val="0"/>
                <w:color w:val="333333"/>
                <w:sz w:val="16"/>
              </w:rPr>
              <w:t>Increase proportional reasoning, rational-number operations, probability, scale and geometric design, multi-step problem solving, claims/counterclaims, and independent revision.</w:t>
            </w:r>
          </w:p>
        </w:tc>
      </w:tr>
      <w:tr>
        <w:tc>
          <w:tcPr>
            <w:tcW w:type="dxa" w:w="4939"/>
            <w:shd w:fill="FFFFFF"/>
          </w:tcPr>
          <w:p>
            <w:pPr>
              <w:spacing w:after="0" w:line="240" w:lineRule="auto"/>
            </w:pPr>
            <w:r/>
            <w:r>
              <w:rPr>
                <w:rFonts w:ascii="Aptos" w:hAnsi="Aptos"/>
                <w:b w:val="0"/>
                <w:color w:val="333333"/>
                <w:sz w:val="16"/>
              </w:rPr>
              <w:t>Grade 8</w:t>
            </w:r>
          </w:p>
        </w:tc>
        <w:tc>
          <w:tcPr>
            <w:tcW w:type="dxa" w:w="4939"/>
            <w:shd w:fill="FFFFFF"/>
          </w:tcPr>
          <w:p>
            <w:pPr>
              <w:spacing w:after="0" w:line="240" w:lineRule="auto"/>
            </w:pPr>
            <w:r/>
            <w:r>
              <w:rPr>
                <w:rFonts w:ascii="Aptos" w:hAnsi="Aptos"/>
                <w:b w:val="0"/>
                <w:color w:val="333333"/>
                <w:sz w:val="16"/>
              </w:rPr>
              <w:t>Add functions, linear relationships, transformations, exponents, Pythagorean applications, bivariate data, deeper research, optimization, and more independent project management.</w:t>
            </w:r>
          </w:p>
        </w:tc>
      </w:tr>
      <w:tr>
        <w:tc>
          <w:tcPr>
            <w:tcW w:type="dxa" w:w="4939"/>
            <w:shd w:fill="F5F7F9"/>
          </w:tcPr>
          <w:p>
            <w:pPr>
              <w:spacing w:after="0" w:line="240" w:lineRule="auto"/>
            </w:pPr>
            <w:r/>
            <w:r>
              <w:rPr>
                <w:rFonts w:ascii="Aptos" w:hAnsi="Aptos"/>
                <w:b w:val="0"/>
                <w:color w:val="333333"/>
                <w:sz w:val="16"/>
              </w:rPr>
              <w:t>All Grades</w:t>
            </w:r>
          </w:p>
        </w:tc>
        <w:tc>
          <w:tcPr>
            <w:tcW w:type="dxa" w:w="4939"/>
            <w:shd w:fill="F5F7F9"/>
          </w:tcPr>
          <w:p>
            <w:pPr>
              <w:spacing w:after="0" w:line="240" w:lineRule="auto"/>
            </w:pPr>
            <w:r/>
            <w:r>
              <w:rPr>
                <w:rFonts w:ascii="Aptos" w:hAnsi="Aptos"/>
                <w:b w:val="0"/>
                <w:color w:val="333333"/>
                <w:sz w:val="16"/>
              </w:rPr>
              <w:t>Provide visual schedules, chunked directions, models, choice within constraints, movement or sensory breaks, assistive tools, peer collaboration, and multiple ways to demonstrate learning as needed.</w:t>
            </w:r>
          </w:p>
        </w:tc>
      </w:tr>
    </w:tbl>
    <w:p>
      <w:pPr>
        <w:pStyle w:val="Heading2"/>
      </w:pPr>
      <w:r>
        <w:t>Suggested Monthly Project Options</w:t>
      </w: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2232"/>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Project Option</w:t>
            </w:r>
          </w:p>
        </w:tc>
        <w:tc>
          <w:tcPr>
            <w:tcW w:type="dxa" w:w="4608"/>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Student Task</w:t>
            </w:r>
          </w:p>
        </w:tc>
        <w:tc>
          <w:tcPr>
            <w:tcW w:type="dxa" w:w="2520"/>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Primary Academic Emphasis</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Structural Engineering Challenge</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Design a tower, bridge, shelter, or marble-run support with measurable criteria and material limits.</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Scale, ratios, geometry, equations, explanatory writing</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Game Probability Investigation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Analyze dice, cards, or spinners; predict outcomes; collect repeated-trial data; compare theoretical and experimental probability.</w:t>
            </w:r>
          </w:p>
        </w:tc>
        <w:tc>
          <w:tcPr>
            <w:tcW w:type="dxa" w:w="2520"/>
            <w:vAlign w:val="center"/>
            <w:tcMar>
              <w:top w:w="80" w:type="dxa"/>
              <w:start w:w="110" w:type="dxa"/>
              <w:bottom w:w="80" w:type="dxa"/>
              <w:end w:w="110" w:type="dxa"/>
            </w:tcMar>
            <w:shd w:fill="F5F7F9"/>
          </w:tcPr>
          <w:p>
            <w:pPr>
              <w:keepLines/>
              <w:spacing w:after="0" w:line="245" w:lineRule="auto"/>
            </w:pPr>
            <w:r>
              <w:t>Grade 6–8 probability/statistics, data comparison, argumentation</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Strategy Game Analysis</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Learn and accurately teach a game, compare strategies, track results, and defend an evidence-based recommendation.</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Procedural reading, discussion, rational numbers, claims/evidence</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Forge World Community Design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Create a purposeful addition to a shared LEGO world under size, function, and resource constraints; explain how it benefits the community.</w:t>
            </w:r>
          </w:p>
        </w:tc>
        <w:tc>
          <w:tcPr>
            <w:tcW w:type="dxa" w:w="252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Scale, geometry, civic reasoning, design communication</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Rube Goldberg or Motion Build</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Plan a multi-step cause-and-effect chain, measure reliability, test repeatedly, and revise weak transitions.</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Sequencing, measurement, data, systems thinking, perseverance</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Creative Design Commission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Respond to a themed client brief by researching, sketching, constructing, revising, and presenting an original artifact.</w:t>
            </w:r>
          </w:p>
        </w:tc>
        <w:tc>
          <w:tcPr>
            <w:tcW w:type="dxa" w:w="252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Research, visual design, budgeting, presentation</w:t>
            </w:r>
          </w:p>
        </w:tc>
      </w:tr>
    </w:tbl>
    <w:p>
      <w:pPr>
        <w:spacing w:after="20"/>
      </w:pPr>
    </w:p>
    <w:p>
      <w:pPr>
        <w:pStyle w:val="Heading1"/>
      </w:pPr>
      <w:r>
        <w:t>Assessment and Documentation of Learning</w:t>
      </w:r>
    </w:p>
    <w:p>
      <w:pPr>
        <w:pStyle w:val="ListBullet"/>
        <w:spacing w:after="60"/>
        <w:ind w:left="360" w:hanging="216"/>
      </w:pPr>
      <w:r>
        <w:t>Formative assessment: educator questions, observation, math checks, plan review, discussion participation, and feedback during each visit.</w:t>
      </w:r>
    </w:p>
    <w:p>
      <w:pPr>
        <w:pStyle w:val="ListBullet"/>
        <w:spacing w:after="60"/>
        <w:ind w:left="360" w:hanging="216"/>
      </w:pPr>
      <w:r>
        <w:t>Portfolio evidence: dated goal sheets, sketches, calculations, rules notes, data tables, photos, revisions, written explanations, and reflections.</w:t>
      </w:r>
    </w:p>
    <w:p>
      <w:pPr>
        <w:pStyle w:val="ListBullet"/>
        <w:spacing w:after="60"/>
        <w:ind w:left="360" w:hanging="216"/>
      </w:pPr>
      <w:r>
        <w:t>Suggested mastery criteria: accurate reasoning; application of middle-school mathematics; relevant evidence; clear communication; purposeful revision; craftsmanship; and constructive collaboration.</w:t>
      </w:r>
    </w:p>
    <w:p>
      <w:pPr>
        <w:pStyle w:val="ListBullet"/>
        <w:spacing w:after="60"/>
        <w:ind w:left="360" w:hanging="216"/>
      </w:pPr>
      <w:r>
        <w:t>Monthly summary: the student selects one strongest artifact and explains the standard practiced, challenge encountered, revision made, and next learning goal.</w:t>
      </w:r>
    </w:p>
    <w:p>
      <w:pPr>
        <w:pStyle w:val="ListBullet"/>
        <w:spacing w:after="60"/>
        <w:ind w:left="360" w:hanging="216"/>
      </w:pPr>
      <w:r>
        <w:t>Attendance and instructional log: record dates, approximate time, activities, standards practiced, and the adult facilitating the planned learning visit.</w:t>
      </w:r>
    </w:p>
    <w:p>
      <w:pPr>
        <w:pStyle w:val="Heading1"/>
        <w:spacing w:before="140"/>
      </w:pPr>
      <w:r>
        <w:t>Materials Needed</w:t>
      </w:r>
    </w:p>
    <w:tbl>
      <w:tblPr>
        <w:tblStyle w:val="TableGrid"/>
        <w:tblW w:type="auto" w:w="0"/>
        <w:jc w:val="center"/>
        <w:tblLayout w:type="fixed"/>
        <w:tblLook w:firstColumn="1" w:firstRow="1" w:lastColumn="0" w:lastRow="0" w:noHBand="0" w:noVBand="1" w:val="04A0"/>
      </w:tblPr>
      <w:tblGrid>
        <w:gridCol w:w="4939"/>
        <w:gridCol w:w="4939"/>
      </w:tblGrid>
      <w:tr>
        <w:trPr>
          <w:tblHeader w:val="true"/>
        </w:trPr>
        <w:tc>
          <w:tcPr>
            <w:tcW w:type="dxa" w:w="3096"/>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Material / Program</w:t>
            </w:r>
          </w:p>
        </w:tc>
        <w:tc>
          <w:tcPr>
            <w:tcW w:type="dxa" w:w="626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How the Student Uses It for Instruction</w:t>
            </w:r>
          </w:p>
        </w:tc>
      </w:tr>
      <w:tr>
        <w:tc>
          <w:tcPr>
            <w:tcW w:type="dxa" w:w="3096"/>
            <w:vAlign w:val="center"/>
            <w:tcMar>
              <w:top w:w="55" w:type="dxa"/>
              <w:start w:w="105" w:type="dxa"/>
              <w:bottom w:w="55" w:type="dxa"/>
              <w:end w:w="105" w:type="dxa"/>
            </w:tcMar>
          </w:tcPr>
          <w:p>
            <w:pPr>
              <w:keepLines/>
              <w:spacing w:after="0" w:line="240" w:lineRule="auto"/>
            </w:pPr>
            <w:r>
              <w:rPr>
                <w:sz w:val="16"/>
              </w:rPr>
            </w:r>
            <w:r>
              <w:rPr>
                <w:rFonts w:ascii="Aptos" w:hAnsi="Aptos"/>
                <w:b w:val="0"/>
                <w:color w:val="333333"/>
                <w:sz w:val="16"/>
              </w:rPr>
              <w:t>MindForge Play Studio Individual Membership</w:t>
            </w:r>
          </w:p>
        </w:tc>
        <w:tc>
          <w:tcPr>
            <w:tcW w:type="dxa" w:w="6264"/>
            <w:vAlign w:val="center"/>
            <w:tcMar>
              <w:top w:w="55" w:type="dxa"/>
              <w:start w:w="105" w:type="dxa"/>
              <w:bottom w:w="55" w:type="dxa"/>
              <w:end w:w="105" w:type="dxa"/>
            </w:tcMar>
          </w:tcPr>
          <w:p>
            <w:pPr>
              <w:keepLines/>
              <w:spacing w:after="0" w:line="240" w:lineRule="auto"/>
            </w:pPr>
            <w:r>
              <w:t>This required program item provides the student recurring individual access during open hours to the MindForge hands-on learning environment and its available construction, maker, strategy-game, and collaborative project resources. The membership supports repeated practice, longer-term projects, revision across visits, portfolio evidence, and the monthly learning sequence described above.</w:t>
            </w:r>
          </w:p>
        </w:tc>
      </w:tr>
      <w:tr>
        <w:tc>
          <w:tcPr>
            <w:tcW w:type="dxa" w:w="3096"/>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Parent/home-educator monthly learning plan and visit log</w:t>
            </w:r>
          </w:p>
        </w:tc>
        <w:tc>
          <w:tcPr>
            <w:tcW w:type="dxa" w:w="6264"/>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The facilitating adult selects standards-connected goals, records attendance and activities, and ensures that open-studio time is used as planned instruction rather than unstructured recreation alone.</w:t>
            </w:r>
          </w:p>
        </w:tc>
      </w:tr>
      <w:tr>
        <w:tc>
          <w:tcPr>
            <w:tcW w:type="dxa" w:w="3096"/>
            <w:vAlign w:val="center"/>
            <w:tcMar>
              <w:top w:w="55" w:type="dxa"/>
              <w:start w:w="105" w:type="dxa"/>
              <w:bottom w:w="55" w:type="dxa"/>
              <w:end w:w="105" w:type="dxa"/>
            </w:tcMar>
          </w:tcPr>
          <w:p>
            <w:pPr>
              <w:keepLines/>
              <w:spacing w:after="0" w:line="240" w:lineRule="auto"/>
            </w:pPr>
            <w:r>
              <w:rPr>
                <w:sz w:val="16"/>
              </w:rPr>
            </w:r>
            <w:r>
              <w:rPr>
                <w:rFonts w:ascii="Aptos" w:hAnsi="Aptos"/>
                <w:b w:val="0"/>
                <w:color w:val="333333"/>
                <w:sz w:val="16"/>
              </w:rPr>
              <w:t>MindForge studio construction and maker materials available during the visit</w:t>
            </w:r>
          </w:p>
        </w:tc>
        <w:tc>
          <w:tcPr>
            <w:tcW w:type="dxa" w:w="6264"/>
            <w:vAlign w:val="center"/>
            <w:tcMar>
              <w:top w:w="55" w:type="dxa"/>
              <w:start w:w="105" w:type="dxa"/>
              <w:bottom w:w="55" w:type="dxa"/>
              <w:end w:w="105" w:type="dxa"/>
            </w:tcMar>
          </w:tcPr>
          <w:p>
            <w:pPr>
              <w:keepLines/>
              <w:spacing w:after="0" w:line="240" w:lineRule="auto"/>
            </w:pPr>
            <w:r>
              <w:t>the student uses available materials to prototype, measure, model, test, revise, and demonstrate solutions. Exact materials may vary by studio availability and selected challenge.</w:t>
            </w:r>
          </w:p>
        </w:tc>
      </w:tr>
      <w:tr>
        <w:tc>
          <w:tcPr>
            <w:tcW w:type="dxa" w:w="3096"/>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MindForge board, card, logic, and strategy games available during the visit</w:t>
            </w:r>
          </w:p>
        </w:tc>
        <w:tc>
          <w:tcPr>
            <w:tcW w:type="dxa" w:w="6264"/>
            <w:vAlign w:val="center"/>
            <w:tcMar>
              <w:top w:w="55" w:type="dxa"/>
              <w:start w:w="105" w:type="dxa"/>
              <w:bottom w:w="55" w:type="dxa"/>
              <w:end w:w="105" w:type="dxa"/>
            </w:tcMar>
            <w:shd w:fill="F5F7F9"/>
          </w:tcPr>
          <w:p>
            <w:pPr>
              <w:keepLines/>
              <w:spacing w:after="0" w:line="240" w:lineRule="auto"/>
            </w:pPr>
            <w:r>
              <w:t>The student reads complex rules, applies rational-number and probability concepts, practices strategic reasoning, communicates with other players, and analyzes decisions and outcomes.</w:t>
            </w:r>
          </w:p>
        </w:tc>
      </w:tr>
      <w:tr>
        <w:tc>
          <w:tcPr>
            <w:tcW w:type="dxa" w:w="3096"/>
            <w:vAlign w:val="center"/>
            <w:tcMar>
              <w:top w:w="55" w:type="dxa"/>
              <w:start w:w="105" w:type="dxa"/>
              <w:bottom w:w="55" w:type="dxa"/>
              <w:end w:w="105" w:type="dxa"/>
            </w:tcMar>
          </w:tcPr>
          <w:p>
            <w:pPr>
              <w:keepLines/>
              <w:spacing w:after="0" w:line="240" w:lineRule="auto"/>
            </w:pPr>
            <w:r>
              <w:rPr>
                <w:sz w:val="16"/>
              </w:rPr>
            </w:r>
            <w:r>
              <w:rPr>
                <w:rFonts w:ascii="Aptos" w:hAnsi="Aptos"/>
                <w:b w:val="0"/>
                <w:color w:val="333333"/>
                <w:sz w:val="16"/>
              </w:rPr>
              <w:t>Engineering/design notebook or three-ring binder</w:t>
            </w:r>
          </w:p>
        </w:tc>
        <w:tc>
          <w:tcPr>
            <w:tcW w:type="dxa" w:w="6264"/>
            <w:vAlign w:val="center"/>
            <w:tcMar>
              <w:top w:w="55" w:type="dxa"/>
              <w:start w:w="105" w:type="dxa"/>
              <w:bottom w:w="55" w:type="dxa"/>
              <w:end w:w="105" w:type="dxa"/>
            </w:tcMar>
          </w:tcPr>
          <w:p>
            <w:pPr>
              <w:keepLines/>
              <w:spacing w:after="0" w:line="240" w:lineRule="auto"/>
            </w:pPr>
            <w:r>
              <w:t>The student maintains dated plans, sketches, measurements, calculations, vocabulary, data tables, explanations, and reflections as evidence of learning.</w:t>
            </w:r>
          </w:p>
        </w:tc>
      </w:tr>
      <w:tr>
        <w:tc>
          <w:tcPr>
            <w:tcW w:type="dxa" w:w="3096"/>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Graph paper, ruler, protractor, measuring tape, pencils, eraser, and colored pencils</w:t>
            </w:r>
          </w:p>
        </w:tc>
        <w:tc>
          <w:tcPr>
            <w:tcW w:type="dxa" w:w="6264"/>
            <w:vAlign w:val="center"/>
            <w:tcMar>
              <w:top w:w="55" w:type="dxa"/>
              <w:start w:w="105" w:type="dxa"/>
              <w:bottom w:w="55" w:type="dxa"/>
              <w:end w:w="105" w:type="dxa"/>
            </w:tcMar>
            <w:shd w:fill="F5F7F9"/>
          </w:tcPr>
          <w:p>
            <w:pPr>
              <w:keepLines/>
              <w:spacing w:after="0" w:line="240" w:lineRule="auto"/>
            </w:pPr>
            <w:r>
              <w:t>The student creates scale drawings, measures angles and dimensions, calculates area or volume, annotates plans, and revises written or visual work.</w:t>
            </w:r>
          </w:p>
        </w:tc>
      </w:tr>
      <w:tr>
        <w:tc>
          <w:tcPr>
            <w:tcW w:type="dxa" w:w="3096"/>
            <w:vAlign w:val="center"/>
            <w:tcMar>
              <w:top w:w="55" w:type="dxa"/>
              <w:start w:w="105" w:type="dxa"/>
              <w:bottom w:w="55" w:type="dxa"/>
              <w:end w:w="105" w:type="dxa"/>
            </w:tcMar>
          </w:tcPr>
          <w:p>
            <w:pPr>
              <w:keepLines/>
              <w:spacing w:after="0" w:line="240" w:lineRule="auto"/>
            </w:pPr>
            <w:r>
              <w:rPr>
                <w:sz w:val="16"/>
              </w:rPr>
            </w:r>
            <w:r>
              <w:rPr>
                <w:rFonts w:ascii="Aptos" w:hAnsi="Aptos"/>
                <w:b w:val="0"/>
                <w:color w:val="333333"/>
                <w:sz w:val="16"/>
              </w:rPr>
              <w:t>Calculator (optional; educator-approved)</w:t>
            </w:r>
          </w:p>
        </w:tc>
        <w:tc>
          <w:tcPr>
            <w:tcW w:type="dxa" w:w="6264"/>
            <w:vAlign w:val="center"/>
            <w:tcMar>
              <w:top w:w="55" w:type="dxa"/>
              <w:start w:w="105" w:type="dxa"/>
              <w:bottom w:w="55" w:type="dxa"/>
              <w:end w:w="105" w:type="dxa"/>
            </w:tcMar>
          </w:tcPr>
          <w:p>
            <w:pPr>
              <w:keepLines/>
              <w:spacing w:after="0" w:line="240" w:lineRule="auto"/>
            </w:pPr>
            <w:r>
              <w:t>The student checks multi-step calculations, statistics, percentages, and probability after first representing or explaining the mathematical reasoning.</w:t>
            </w:r>
          </w:p>
        </w:tc>
      </w:tr>
      <w:tr>
        <w:tc>
          <w:tcPr>
            <w:tcW w:type="dxa" w:w="3096"/>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Phone or camera used by the facilitating adult</w:t>
            </w:r>
          </w:p>
        </w:tc>
        <w:tc>
          <w:tcPr>
            <w:tcW w:type="dxa" w:w="6264"/>
            <w:vAlign w:val="center"/>
            <w:tcMar>
              <w:top w:w="55" w:type="dxa"/>
              <w:start w:w="105" w:type="dxa"/>
              <w:bottom w:w="55" w:type="dxa"/>
              <w:end w:w="105" w:type="dxa"/>
            </w:tcMar>
            <w:shd w:fill="F5F7F9"/>
          </w:tcPr>
          <w:p>
            <w:pPr>
              <w:keepLines/>
              <w:spacing w:after="0" w:line="240" w:lineRule="auto"/>
            </w:pPr>
            <w:r>
              <w:t>The adult photographs project stages and final work so the student can analyze changes, document revisions, and include visual evidence in the student's portfolio.</w:t>
            </w:r>
          </w:p>
        </w:tc>
      </w:tr>
      <w:tr>
        <w:tc>
          <w:tcPr>
            <w:tcW w:type="dxa" w:w="3096"/>
            <w:vAlign w:val="center"/>
            <w:tcMar>
              <w:top w:w="55" w:type="dxa"/>
              <w:start w:w="105" w:type="dxa"/>
              <w:bottom w:w="55" w:type="dxa"/>
              <w:end w:w="105" w:type="dxa"/>
            </w:tcMar>
          </w:tcPr>
          <w:p>
            <w:pPr>
              <w:keepLines/>
              <w:spacing w:after="0" w:line="240" w:lineRule="auto"/>
            </w:pPr>
            <w:r>
              <w:rPr>
                <w:sz w:val="16"/>
              </w:rPr>
            </w:r>
            <w:r>
              <w:rPr>
                <w:rFonts w:ascii="Aptos" w:hAnsi="Aptos"/>
                <w:b w:val="0"/>
                <w:color w:val="333333"/>
                <w:sz w:val="16"/>
              </w:rPr>
              <w:t>Portfolio folder or digital scan location</w:t>
            </w:r>
          </w:p>
        </w:tc>
        <w:tc>
          <w:tcPr>
            <w:tcW w:type="dxa" w:w="6264"/>
            <w:vAlign w:val="center"/>
            <w:tcMar>
              <w:top w:w="55" w:type="dxa"/>
              <w:start w:w="105" w:type="dxa"/>
              <w:bottom w:w="55" w:type="dxa"/>
              <w:end w:w="105" w:type="dxa"/>
            </w:tcMar>
          </w:tcPr>
          <w:p>
            <w:pPr>
              <w:keepLines/>
              <w:spacing w:after="0" w:line="240" w:lineRule="auto"/>
            </w:pPr>
            <w:r>
              <w:t>The student stores completed work and monthly summaries for progress review and Arizona ESA documentation.</w:t>
            </w:r>
          </w:p>
        </w:tc>
      </w:tr>
      <w:tr>
        <w:tc>
          <w:tcPr>
            <w:tcW w:type="dxa" w:w="3096"/>
            <w:vAlign w:val="center"/>
            <w:tcMar>
              <w:top w:w="55" w:type="dxa"/>
              <w:start w:w="105" w:type="dxa"/>
              <w:bottom w:w="55" w:type="dxa"/>
              <w:end w:w="105" w:type="dxa"/>
            </w:tcMar>
            <w:shd w:fill="F5F7F9"/>
          </w:tcPr>
          <w:p>
            <w:pPr>
              <w:keepLines/>
              <w:spacing w:after="0" w:line="240" w:lineRule="auto"/>
            </w:pPr>
            <w:r>
              <w:rPr>
                <w:sz w:val="16"/>
              </w:rPr>
            </w:r>
            <w:r>
              <w:rPr>
                <w:rFonts w:ascii="Aptos" w:hAnsi="Aptos"/>
                <w:b w:val="0"/>
                <w:color w:val="333333"/>
                <w:sz w:val="16"/>
              </w:rPr>
              <w:t>Optional consumable project materials or seasonal kits</w:t>
            </w:r>
          </w:p>
        </w:tc>
        <w:tc>
          <w:tcPr>
            <w:tcW w:type="dxa" w:w="6264"/>
            <w:vAlign w:val="center"/>
            <w:tcMar>
              <w:top w:w="55" w:type="dxa"/>
              <w:start w:w="105" w:type="dxa"/>
              <w:bottom w:w="55" w:type="dxa"/>
              <w:end w:w="105" w:type="dxa"/>
            </w:tcMar>
            <w:shd w:fill="F5F7F9"/>
          </w:tcPr>
          <w:p>
            <w:pPr>
              <w:keepLines/>
              <w:spacing w:after="0" w:line="240" w:lineRule="auto"/>
            </w:pPr>
            <w:r>
              <w:t>When separately selected, the student uses consumables to complete a defined standards-connected design brief. These materials are documented according to the specific project and are not assumed to be included with membership.</w:t>
            </w:r>
          </w:p>
        </w:tc>
      </w:tr>
    </w:tbl>
    <w:p>
      <w:pPr>
        <w:spacing w:after="20"/>
      </w:pPr>
    </w:p>
    <w:p>
      <w:pPr>
        <w:pStyle w:val="Heading1"/>
        <w:spacing w:before="120" w:after="60"/>
      </w:pPr>
      <w:r>
        <w:t>Standards Sources</w:t>
      </w:r>
    </w:p>
    <w:p>
      <w:pPr>
        <w:pStyle w:val="ListBullet"/>
        <w:spacing w:after="40"/>
        <w:ind w:left="360" w:hanging="216"/>
      </w:pPr>
      <w:r>
        <w:rPr>
          <w:sz w:val="18"/>
        </w:rPr>
        <w:t>Arizona Department of Education, Arizona English Language Arts Standards — Grades 6–8: https://www.azed.gov/standards-practices/k-12standards/english-language-arts-standards</w:t>
      </w:r>
    </w:p>
    <w:p>
      <w:pPr>
        <w:pStyle w:val="ListBullet"/>
        <w:spacing w:after="40"/>
        <w:ind w:left="360" w:hanging="216"/>
      </w:pPr>
      <w:r>
        <w:rPr>
          <w:sz w:val="18"/>
        </w:rPr>
        <w:t>Arizona Department of Education, Arizona Mathematics Standards — Grades 6–8: https://www.azed.gov/standards-practices/k-12standards/mathematics-standards</w:t>
      </w:r>
    </w:p>
    <w:p>
      <w:pPr>
        <w:pStyle w:val="ListBullet"/>
        <w:spacing w:after="40"/>
        <w:ind w:left="360" w:hanging="216"/>
      </w:pPr>
      <w:r>
        <w:rPr>
          <w:sz w:val="18"/>
        </w:rPr>
        <w:t>Arizona Department of Education, Arizona History and Social Science Standards (2018): https://www.azed.gov/standards-practices/k-12standards/standards-social-studies</w:t>
      </w:r>
    </w:p>
    <w:p>
      <w:pPr>
        <w:spacing w:before="40" w:after="0" w:line="240" w:lineRule="auto"/>
      </w:pPr>
      <w:r>
        <w:rPr>
          <w:sz w:val="17"/>
        </w:rPr>
        <w:t>Prepared for educational documentation. This curriculum describes a planned educational use of membership access. Final acceptance of an expense or curriculum document remains subject to the applicable Arizona ESA program requirements.</w:t>
      </w:r>
    </w:p>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MindForge Play Studio • Forge Individual Membership • Arizona Standards-Aligned Supplemental Curriculum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63A70"/>
        <w:sz w:val="16"/>
      </w:rPr>
      <w:t>MINDFORGE PLAY STUDIO  |  GRADES 6–8 CURRICULUM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3333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63A70"/>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63A70"/>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63A7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163A7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MindForge Individual Membership Learning Lab — Grades 6–8 Curriculum</dc:title>
  <dc:subject>Arizona standards-aligned middle-school supplemental curriculum template</dc:subject>
  <dc:creator>MindForge Play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