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21C6DB"/>
          <w:sz w:val="22"/>
        </w:rPr>
        <w:t>MINDFORGE PLAY STUDIO</w:t>
      </w:r>
    </w:p>
    <w:p>
      <w:pPr>
        <w:pStyle w:val="Title"/>
        <w:jc w:val="center"/>
      </w:pPr>
      <w:r>
        <w:t>Individual Membership Learning Lab</w:t>
      </w:r>
    </w:p>
    <w:p>
      <w:pPr>
        <w:spacing w:after="220"/>
        <w:jc w:val="center"/>
      </w:pPr>
      <w:r>
        <w:rPr>
          <w:b/>
          <w:color w:val="163A70"/>
          <w:sz w:val="26"/>
        </w:rPr>
        <w:t>Kindergarten–Fifth Grade Arizona Standards-Aligned Curriculum</w:t>
      </w:r>
    </w:p>
    <w:tbl>
      <w:tblPr>
        <w:tblStyle w:val="TableGrid"/>
        <w:tblW w:type="auto" w:w="0"/>
        <w:jc w:val="center"/>
        <w:tblLook w:firstColumn="1" w:firstRow="1" w:lastColumn="0" w:lastRow="0" w:noHBand="0" w:noVBand="1" w:val="04A0"/>
      </w:tblPr>
      <w:tblGrid>
        <w:gridCol w:w="4968"/>
        <w:gridCol w:w="4968"/>
      </w:tblGrid>
      <w:tr>
        <w:tc>
          <w:tcPr>
            <w:tcW w:type="dxa" w:w="4968"/>
            <w:vAlign w:val="center"/>
            <w:tcMar>
              <w:top w:w="70" w:type="dxa"/>
              <w:start w:w="100" w:type="dxa"/>
              <w:bottom w:w="70" w:type="dxa"/>
              <w:end w:w="100" w:type="dxa"/>
            </w:tcMar>
            <w:shd w:fill="F5F7F9"/>
          </w:tcPr>
          <w:p>
            <w:pPr>
              <w:keepLines/>
              <w:spacing w:after="0" w:line="240" w:lineRule="auto"/>
            </w:pPr>
            <w:r>
              <w:rPr>
                <w:b/>
              </w:rPr>
            </w:r>
            <w:r>
              <w:rPr>
                <w:rFonts w:ascii="Aptos" w:hAnsi="Aptos"/>
                <w:b w:val="0"/>
                <w:color w:val="333333"/>
                <w:sz w:val="18"/>
              </w:rPr>
              <w:t>Student Name</w:t>
              <w:br/>
              <w:t>________________________________</w:t>
            </w:r>
          </w:p>
        </w:tc>
        <w:tc>
          <w:tcPr>
            <w:tcW w:type="dxa" w:w="4968"/>
            <w:vAlign w:val="center"/>
            <w:tcMar>
              <w:top w:w="70" w:type="dxa"/>
              <w:start w:w="100" w:type="dxa"/>
              <w:bottom w:w="70" w:type="dxa"/>
              <w:end w:w="100" w:type="dxa"/>
            </w:tcMar>
            <w:shd w:fill="FFFFFF"/>
          </w:tcPr>
          <w:p>
            <w:pPr>
              <w:keepLines/>
              <w:spacing w:after="0" w:line="240" w:lineRule="auto"/>
            </w:pPr>
            <w:r>
              <w:rPr>
                <w:b/>
              </w:rPr>
            </w:r>
            <w:r>
              <w:rPr>
                <w:rFonts w:ascii="Aptos" w:hAnsi="Aptos"/>
                <w:b w:val="0"/>
                <w:color w:val="333333"/>
                <w:sz w:val="18"/>
              </w:rPr>
              <w:t>Student Application ID #</w:t>
              <w:br/>
              <w:t>________________________________</w:t>
            </w:r>
          </w:p>
        </w:tc>
      </w:tr>
      <w:tr>
        <w:tc>
          <w:tcPr>
            <w:tcW w:type="dxa" w:w="4968"/>
            <w:vAlign w:val="center"/>
            <w:tcMar>
              <w:top w:w="70" w:type="dxa"/>
              <w:start w:w="100" w:type="dxa"/>
              <w:bottom w:w="70" w:type="dxa"/>
              <w:end w:w="100" w:type="dxa"/>
            </w:tcMar>
            <w:shd w:fill="F5F7F9"/>
          </w:tcPr>
          <w:p>
            <w:pPr>
              <w:keepLines/>
              <w:spacing w:after="0" w:line="240" w:lineRule="auto"/>
            </w:pPr>
            <w:r>
              <w:rPr>
                <w:b/>
              </w:rPr>
            </w:r>
            <w:r>
              <w:rPr>
                <w:rFonts w:ascii="Aptos" w:hAnsi="Aptos"/>
                <w:b w:val="0"/>
                <w:color w:val="333333"/>
                <w:sz w:val="18"/>
              </w:rPr>
              <w:t>Grade Level</w:t>
              <w:br/>
              <w:t>K  /  1  /  2  /  3  /  4  /  5</w:t>
            </w:r>
          </w:p>
        </w:tc>
        <w:tc>
          <w:tcPr>
            <w:tcW w:type="dxa" w:w="4968"/>
            <w:vAlign w:val="center"/>
            <w:tcMar>
              <w:top w:w="70" w:type="dxa"/>
              <w:start w:w="100" w:type="dxa"/>
              <w:bottom w:w="70" w:type="dxa"/>
              <w:end w:w="100" w:type="dxa"/>
            </w:tcMar>
            <w:shd w:fill="FFFFFF"/>
          </w:tcPr>
          <w:p>
            <w:pPr>
              <w:keepLines/>
              <w:spacing w:after="0" w:line="240" w:lineRule="auto"/>
            </w:pPr>
            <w:r>
              <w:rPr>
                <w:b/>
              </w:rPr>
            </w:r>
            <w:r>
              <w:rPr>
                <w:rFonts w:ascii="Aptos" w:hAnsi="Aptos"/>
                <w:b w:val="0"/>
                <w:color w:val="333333"/>
                <w:sz w:val="18"/>
              </w:rPr>
              <w:t>Course Format</w:t>
              <w:br/>
              <w:t>Ongoing monthly enrichment; suggested 1–2 planned visits per week</w:t>
            </w:r>
          </w:p>
        </w:tc>
      </w:tr>
    </w:tbl>
    <w:p/>
    <w:p>
      <w:pPr>
        <w:pStyle w:val="Heading1"/>
      </w:pPr>
      <w:r>
        <w:t>Curriculum Title</w:t>
      </w:r>
    </w:p>
    <w:p>
      <w:r>
        <w:t>MindForge Play Studio Individual Membership Learning Lab: Explore, Create, Connect, and Belong</w:t>
      </w:r>
    </w:p>
    <w:p>
      <w:pPr>
        <w:pStyle w:val="Heading1"/>
      </w:pPr>
      <w:r>
        <w:t>Scope / Overview of Class</w:t>
      </w:r>
    </w:p>
    <w:p>
      <w:r>
        <w:t>This differentiated K–5 enrichment curriculum uses recurring MindForge Play Studio visits to provide hands-on learning through construction, maker challenges, puzzles, board and strategy games, collaborative play, storytelling, measurement, investigation, and creative design. Activities are adjusted to the student’s enrolled grade, developmental readiness, interests, and support needs while maintaining clear academic goals and work samples.</w:t>
      </w:r>
    </w:p>
    <w:p>
      <w:r>
        <w:t>The Individual Membership provides repeated access during open hours so a student can return to ideas, improve projects over multiple visits, build fluency, and develop independence. A parent, home educator, or designated instructor uses this curriculum to select a grade-appropriate objective, introduce the task, ask guiding questions, and document learning. MindForge staff maintain the learning environment and may explain available materials or studio expectations; membership access alone is not represented as continuous one-to-one instruction.</w:t>
      </w:r>
    </w:p>
    <w:p>
      <w:pPr>
        <w:pStyle w:val="Heading2"/>
      </w:pPr>
      <w:r>
        <w:t>Subjects Taught</w:t>
      </w:r>
    </w:p>
    <w:p>
      <w:pPr>
        <w:pStyle w:val="ListBullet"/>
        <w:spacing w:after="60"/>
        <w:ind w:left="360" w:hanging="216"/>
      </w:pPr>
      <w:r>
        <w:t>English Language Arts: listening comprehension, informational reading, following directions, vocabulary, discussion, storytelling, explanatory writing, opinion writing, and presentation.</w:t>
      </w:r>
    </w:p>
    <w:p>
      <w:pPr>
        <w:pStyle w:val="ListBullet"/>
        <w:spacing w:after="60"/>
        <w:ind w:left="360" w:hanging="216"/>
      </w:pPr>
      <w:r>
        <w:t>Mathematics: counting and operations, patterns, place value, measurement, data, geometry, fractions, multiplication/division, multi-step problem solving, and mathematical reasoning as appropriate to grade.</w:t>
      </w:r>
    </w:p>
    <w:p>
      <w:pPr>
        <w:pStyle w:val="ListBullet"/>
        <w:spacing w:after="60"/>
        <w:ind w:left="360" w:hanging="216"/>
      </w:pPr>
      <w:r>
        <w:t>Science and Engineering Practices: asking questions, defining problems, creating models, planning tests, observing, recording data, comparing results, and improving designs.</w:t>
      </w:r>
    </w:p>
    <w:p>
      <w:pPr>
        <w:pStyle w:val="ListBullet"/>
        <w:spacing w:after="60"/>
        <w:ind w:left="360" w:hanging="216"/>
      </w:pPr>
      <w:r>
        <w:t>History and Social Science Inquiry: sequencing events, comparing perspectives, using evidence, cooperation, rules, citizenship, maps, communities, and decision-making.</w:t>
      </w:r>
    </w:p>
    <w:p>
      <w:pPr>
        <w:pStyle w:val="ListBullet"/>
        <w:spacing w:after="60"/>
        <w:ind w:left="360" w:hanging="216"/>
      </w:pPr>
      <w:r>
        <w:t>Visual Arts and Design: generating ideas, choosing materials, craftsmanship, revising work, explaining artistic choices, and sharing completed creations.</w:t>
      </w:r>
    </w:p>
    <w:p>
      <w:pPr>
        <w:pStyle w:val="ListBullet"/>
        <w:spacing w:after="60"/>
        <w:ind w:left="360" w:hanging="216"/>
      </w:pPr>
      <w:r>
        <w:t>Executive Function and Social-Emotional Learning: planning, task initiation, sustained attention, flexibility, perseverance, turn-taking, communication, self-regulation, and reflection.</w:t>
      </w:r>
    </w:p>
    <w:p>
      <w:pPr>
        <w:pStyle w:val="Heading2"/>
      </w:pPr>
      <w:r>
        <w:t>Learning Objectives</w:t>
      </w:r>
    </w:p>
    <w:p>
      <w:pPr>
        <w:pStyle w:val="ListBullet"/>
        <w:spacing w:after="60"/>
        <w:ind w:left="360" w:hanging="216"/>
      </w:pPr>
      <w:r>
        <w:t>Follow and explain grade-appropriate directions, rules, or design criteria.</w:t>
      </w:r>
    </w:p>
    <w:p>
      <w:pPr>
        <w:pStyle w:val="ListBullet"/>
        <w:spacing w:after="60"/>
        <w:ind w:left="360" w:hanging="216"/>
      </w:pPr>
      <w:r>
        <w:t>Use mathematics to count, measure, compare, organize, calculate, represent, or solve problems during hands-on activities.</w:t>
      </w:r>
    </w:p>
    <w:p>
      <w:pPr>
        <w:pStyle w:val="ListBullet"/>
        <w:spacing w:after="60"/>
        <w:ind w:left="360" w:hanging="216"/>
      </w:pPr>
      <w:r>
        <w:t>Plan, build, test, and improve a creation or solution while explaining the reasoning used.</w:t>
      </w:r>
    </w:p>
    <w:p>
      <w:pPr>
        <w:pStyle w:val="ListBullet"/>
        <w:spacing w:after="60"/>
        <w:ind w:left="360" w:hanging="216"/>
      </w:pPr>
      <w:r>
        <w:t>Ask questions, make predictions, record observations, and compare expected and actual results.</w:t>
      </w:r>
    </w:p>
    <w:p>
      <w:pPr>
        <w:pStyle w:val="ListBullet"/>
        <w:spacing w:after="60"/>
        <w:ind w:left="360" w:hanging="216"/>
      </w:pPr>
      <w:r>
        <w:t>Communicate ideas through speaking, drawing, labeling, writing, models, or demonstrations according to grade level.</w:t>
      </w:r>
    </w:p>
    <w:p>
      <w:pPr>
        <w:pStyle w:val="ListBullet"/>
        <w:spacing w:after="60"/>
        <w:ind w:left="360" w:hanging="216"/>
      </w:pPr>
      <w:r>
        <w:t>Collaborate respectfully, persist through challenges, use materials responsibly, and reflect on learning.</w:t>
      </w:r>
    </w:p>
    <w:p>
      <w:pPr>
        <w:pStyle w:val="Heading1"/>
      </w:pPr>
      <w:r>
        <w:t>Arizona State Educational Standards Alignment</w:t>
      </w:r>
    </w:p>
    <w:p>
      <w:r>
        <w:t>The standards below provide a grade-specific menu for planned membership visits. The facilitating educator selects only the row matching the student’s enrolled grade and the activity being completed. The curriculum supports selected standards and does not replace a complete year-long course in any subject.</w:t>
      </w:r>
    </w:p>
    <w:tbl>
      <w:tblPr>
        <w:tblStyle w:val="TableGrid"/>
        <w:tblW w:type="auto" w:w="0"/>
        <w:jc w:val="center"/>
        <w:tblLayout w:type="fixed"/>
        <w:tblLook w:firstColumn="1" w:firstRow="1" w:lastColumn="0" w:lastRow="0" w:noHBand="0" w:noVBand="1" w:val="04A0"/>
      </w:tblPr>
      <w:tblGrid>
        <w:gridCol w:w="3312"/>
        <w:gridCol w:w="3312"/>
        <w:gridCol w:w="3312"/>
      </w:tblGrid>
      <w:tr>
        <w:trPr>
          <w:tblHeader w:val="true"/>
        </w:trPr>
        <w:tc>
          <w:tcPr>
            <w:tcW w:type="dxa" w:w="792"/>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Grade</w:t>
            </w:r>
          </w:p>
        </w:tc>
        <w:tc>
          <w:tcPr>
            <w:tcW w:type="dxa" w:w="2952"/>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Arizona ELA Standards</w:t>
            </w:r>
          </w:p>
        </w:tc>
        <w:tc>
          <w:tcPr>
            <w:tcW w:type="dxa" w:w="5616"/>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Membership Learning Application</w:t>
            </w:r>
          </w:p>
        </w:tc>
      </w:tr>
      <w:tr>
        <w:tc>
          <w:tcPr>
            <w:tcW w:type="dxa" w:w="79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K</w:t>
            </w:r>
          </w:p>
        </w:tc>
        <w:tc>
          <w:tcPr>
            <w:tcW w:type="dxa" w:w="295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K.RI.1–3; K.W.2–3; K.SL.1–2, 4–6; K.L.6</w:t>
            </w:r>
          </w:p>
        </w:tc>
        <w:tc>
          <w:tcPr>
            <w:tcW w:type="dxa" w:w="561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Ask/answer questions about directions or information; draw, dictate, or write about an experience; participate in discussion; describe familiar ideas and use new vocabulary.</w:t>
            </w:r>
          </w:p>
        </w:tc>
      </w:tr>
      <w:tr>
        <w:tc>
          <w:tcPr>
            <w:tcW w:type="dxa" w:w="79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1</w:t>
            </w:r>
          </w:p>
        </w:tc>
        <w:tc>
          <w:tcPr>
            <w:tcW w:type="dxa" w:w="295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1.RI.1–3; 1.W.2, 5, 8; 1.SL.1–2, 4–6; 1.L.6</w:t>
            </w:r>
          </w:p>
        </w:tc>
        <w:tc>
          <w:tcPr>
            <w:tcW w:type="dxa" w:w="561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Use details to answer questions; explain a topic; revise with support; recount information; collaborate and describe ideas clearly.</w:t>
            </w:r>
          </w:p>
        </w:tc>
      </w:tr>
      <w:tr>
        <w:tc>
          <w:tcPr>
            <w:tcW w:type="dxa" w:w="79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2</w:t>
            </w:r>
          </w:p>
        </w:tc>
        <w:tc>
          <w:tcPr>
            <w:tcW w:type="dxa" w:w="295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2.RI.1–3; 2.W.2, 5, 8; 2.SL.1–2, 4, 6; 2.L.6</w:t>
            </w:r>
          </w:p>
        </w:tc>
        <w:tc>
          <w:tcPr>
            <w:tcW w:type="dxa" w:w="561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Use key details, connect events and steps, write explanations, revise, participate in discussions, and present complete ideas.</w:t>
            </w:r>
          </w:p>
        </w:tc>
      </w:tr>
      <w:tr>
        <w:tc>
          <w:tcPr>
            <w:tcW w:type="dxa" w:w="79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3</w:t>
            </w:r>
          </w:p>
        </w:tc>
        <w:tc>
          <w:tcPr>
            <w:tcW w:type="dxa" w:w="295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3.RI.1–3; 3.W.1–2, 5, 7–8; 3.SL.1, 4, 6; 3.L.6</w:t>
            </w:r>
          </w:p>
        </w:tc>
        <w:tc>
          <w:tcPr>
            <w:tcW w:type="dxa" w:w="561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Use evidence; analyze steps and relationships; write opinions/explanations; conduct short research; discuss and report clearly.</w:t>
            </w:r>
          </w:p>
        </w:tc>
      </w:tr>
      <w:tr>
        <w:tc>
          <w:tcPr>
            <w:tcW w:type="dxa" w:w="79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4</w:t>
            </w:r>
          </w:p>
        </w:tc>
        <w:tc>
          <w:tcPr>
            <w:tcW w:type="dxa" w:w="295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4.RI.1–3; 4.W.1–2, 5, 7–9; 4.SL.1, 4–6; 4.L.6</w:t>
            </w:r>
          </w:p>
        </w:tc>
        <w:tc>
          <w:tcPr>
            <w:tcW w:type="dxa" w:w="561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Refer to details and examples; explain procedures; research, revise, support claims, collaborate, and present organized findings.</w:t>
            </w:r>
          </w:p>
        </w:tc>
      </w:tr>
      <w:tr>
        <w:tc>
          <w:tcPr>
            <w:tcW w:type="dxa" w:w="79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5</w:t>
            </w:r>
          </w:p>
        </w:tc>
        <w:tc>
          <w:tcPr>
            <w:tcW w:type="dxa" w:w="295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5.RI.1–3; 5.W.1–2, 5, 7–9; 5.SL.1, 4–6; 5.L.6</w:t>
            </w:r>
          </w:p>
        </w:tc>
        <w:tc>
          <w:tcPr>
            <w:tcW w:type="dxa" w:w="561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Quote accurately; analyze relationships; develop evidence-based writing; research; collaborate and present with logical sequence.</w:t>
            </w:r>
          </w:p>
        </w:tc>
      </w:tr>
    </w:tbl>
    <w:p>
      <w:pPr>
        <w:spacing w:after="20"/>
      </w:pPr>
    </w:p>
    <w:tbl>
      <w:tblPr>
        <w:tblStyle w:val="TableGrid"/>
        <w:tblW w:type="auto" w:w="0"/>
        <w:jc w:val="center"/>
        <w:tblLayout w:type="fixed"/>
        <w:tblLook w:firstColumn="1" w:firstRow="1" w:lastColumn="0" w:lastRow="0" w:noHBand="0" w:noVBand="1" w:val="04A0"/>
      </w:tblPr>
      <w:tblGrid>
        <w:gridCol w:w="3312"/>
        <w:gridCol w:w="3312"/>
        <w:gridCol w:w="3312"/>
      </w:tblGrid>
      <w:tr>
        <w:trPr>
          <w:tblHeader w:val="true"/>
        </w:trPr>
        <w:tc>
          <w:tcPr>
            <w:tcW w:type="dxa" w:w="792"/>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Grade</w:t>
            </w:r>
          </w:p>
        </w:tc>
        <w:tc>
          <w:tcPr>
            <w:tcW w:type="dxa" w:w="3096"/>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Arizona Mathematics Standards</w:t>
            </w:r>
          </w:p>
        </w:tc>
        <w:tc>
          <w:tcPr>
            <w:tcW w:type="dxa" w:w="5472"/>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Membership Learning Application</w:t>
            </w:r>
          </w:p>
        </w:tc>
      </w:tr>
      <w:tr>
        <w:tc>
          <w:tcPr>
            <w:tcW w:type="dxa" w:w="79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K</w:t>
            </w:r>
          </w:p>
        </w:tc>
        <w:tc>
          <w:tcPr>
            <w:tcW w:type="dxa" w:w="309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K.CC.A.1–3; K.CC.B.4–5; K.OA.A.1–5; K.MD.A.1–2; K.MD.B.3; K.G.A.1–3; K.G.B.4–6</w:t>
            </w:r>
          </w:p>
        </w:tc>
        <w:tc>
          <w:tcPr>
            <w:tcW w:type="dxa" w:w="547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Count materials; compare groups and attributes; model addition/subtraction; sort data; name, describe, compose, and build shapes.</w:t>
            </w:r>
          </w:p>
        </w:tc>
      </w:tr>
      <w:tr>
        <w:tc>
          <w:tcPr>
            <w:tcW w:type="dxa" w:w="79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1</w:t>
            </w:r>
          </w:p>
        </w:tc>
        <w:tc>
          <w:tcPr>
            <w:tcW w:type="dxa" w:w="309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1.OA.A–D; 1.NBT.A–C; 1.MD.A–C; 1.G.A.1–3</w:t>
            </w:r>
          </w:p>
        </w:tc>
        <w:tc>
          <w:tcPr>
            <w:tcW w:type="dxa" w:w="547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Solve addition/subtraction problems; use place value; measure and compare lengths; tell time; organize data; compose and partition shapes.</w:t>
            </w:r>
          </w:p>
        </w:tc>
      </w:tr>
      <w:tr>
        <w:tc>
          <w:tcPr>
            <w:tcW w:type="dxa" w:w="79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2</w:t>
            </w:r>
          </w:p>
        </w:tc>
        <w:tc>
          <w:tcPr>
            <w:tcW w:type="dxa" w:w="309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2.OA.A–C; 2.NBT.A–B; 2.MD.A–D; 2.G.A.1–3</w:t>
            </w:r>
          </w:p>
        </w:tc>
        <w:tc>
          <w:tcPr>
            <w:tcW w:type="dxa" w:w="547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Solve one- and two-step problems; use place value and operations; measure, estimate, graph data, work with time/money, and partition shapes.</w:t>
            </w:r>
          </w:p>
        </w:tc>
      </w:tr>
      <w:tr>
        <w:tc>
          <w:tcPr>
            <w:tcW w:type="dxa" w:w="79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3</w:t>
            </w:r>
          </w:p>
        </w:tc>
        <w:tc>
          <w:tcPr>
            <w:tcW w:type="dxa" w:w="309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3.OA.A–D; 3.NBT.A; 3.NF.A; 3.MD.A–D; 3.G.A.1–2</w:t>
            </w:r>
          </w:p>
        </w:tc>
        <w:tc>
          <w:tcPr>
            <w:tcW w:type="dxa" w:w="547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Apply multiplication/division; solve multi-step problems; use fractions; measure area/perimeter/time; represent data; reason about shapes.</w:t>
            </w:r>
          </w:p>
        </w:tc>
      </w:tr>
      <w:tr>
        <w:tc>
          <w:tcPr>
            <w:tcW w:type="dxa" w:w="79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4</w:t>
            </w:r>
          </w:p>
        </w:tc>
        <w:tc>
          <w:tcPr>
            <w:tcW w:type="dxa" w:w="309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4.OA.A–C; 4.NBT.A–B; 4.NF.A–C; 4.MD.A–C; 4.G.A.1–3</w:t>
            </w:r>
          </w:p>
        </w:tc>
        <w:tc>
          <w:tcPr>
            <w:tcW w:type="dxa" w:w="547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Use four operations and factors; apply place value; compare/operate with fractions; solve measurement problems; analyze lines, angles, and symmetry.</w:t>
            </w:r>
          </w:p>
        </w:tc>
      </w:tr>
      <w:tr>
        <w:tc>
          <w:tcPr>
            <w:tcW w:type="dxa" w:w="79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5</w:t>
            </w:r>
          </w:p>
        </w:tc>
        <w:tc>
          <w:tcPr>
            <w:tcW w:type="dxa" w:w="309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5.OA.A–B; 5.NBT.A–B; 5.NF.A–B; 5.MD.A–C; 5.G.A–B</w:t>
            </w:r>
          </w:p>
        </w:tc>
        <w:tc>
          <w:tcPr>
            <w:tcW w:type="dxa" w:w="547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Write/evaluate expressions; use decimals and fractions; convert measurements; analyze volume; graph points; classify shapes and patterns.</w:t>
            </w:r>
          </w:p>
        </w:tc>
      </w:tr>
    </w:tbl>
    <w:p>
      <w:pPr>
        <w:spacing w:after="20"/>
      </w:pPr>
    </w:p>
    <w:tbl>
      <w:tblPr>
        <w:tblStyle w:val="TableGrid"/>
        <w:tblW w:type="auto" w:w="0"/>
        <w:jc w:val="center"/>
        <w:tblLayout w:type="fixed"/>
        <w:tblLook w:firstColumn="1" w:firstRow="1" w:lastColumn="0" w:lastRow="0" w:noHBand="0" w:noVBand="1" w:val="04A0"/>
      </w:tblPr>
      <w:tblGrid>
        <w:gridCol w:w="3312"/>
        <w:gridCol w:w="3312"/>
        <w:gridCol w:w="3312"/>
      </w:tblGrid>
      <w:tr>
        <w:trPr>
          <w:tblHeader w:val="true"/>
        </w:trPr>
        <w:tc>
          <w:tcPr>
            <w:tcW w:type="dxa" w:w="1152"/>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Grade Band</w:t>
            </w:r>
          </w:p>
        </w:tc>
        <w:tc>
          <w:tcPr>
            <w:tcW w:type="dxa" w:w="3888"/>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Arizona History &amp; Social Science Standards</w:t>
            </w:r>
          </w:p>
        </w:tc>
        <w:tc>
          <w:tcPr>
            <w:tcW w:type="dxa" w:w="4320"/>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Membership Learning Application</w:t>
            </w:r>
          </w:p>
        </w:tc>
      </w:tr>
      <w:tr>
        <w:tc>
          <w:tcPr>
            <w:tcW w:type="dxa" w:w="1152"/>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K–2</w:t>
            </w:r>
          </w:p>
        </w:tc>
        <w:tc>
          <w:tcPr>
            <w:tcW w:type="dxa" w:w="3888"/>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K.SP1.1–3 / 1.SP1.1–3 / 2.SP1.1–3; grade-level SP2, SP3, C1, and C4 standards</w:t>
            </w:r>
          </w:p>
        </w:tc>
        <w:tc>
          <w:tcPr>
            <w:tcW w:type="dxa" w:w="4320"/>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6"/>
              </w:rPr>
              <w:t>Sequence steps and events; compare viewpoints; ask questions; use observations or simple sources; practice rules, cooperation, needs/wants, and community responsibility.</w:t>
            </w:r>
          </w:p>
        </w:tc>
      </w:tr>
      <w:tr>
        <w:tc>
          <w:tcPr>
            <w:tcW w:type="dxa" w:w="1152"/>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3–5</w:t>
            </w:r>
          </w:p>
        </w:tc>
        <w:tc>
          <w:tcPr>
            <w:tcW w:type="dxa" w:w="3888"/>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3.SP1–4 / 4.SP1–4 / 5.SP1–4; grade-level C1–C4, G1–G4, and E1–E5 standards selected by project</w:t>
            </w:r>
          </w:p>
        </w:tc>
        <w:tc>
          <w:tcPr>
            <w:tcW w:type="dxa" w:w="4320"/>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6"/>
              </w:rPr>
              <w:t>Use timelines, maps, evidence, perspectives, claims, civic decision-making, resources, and economic choices within games, shared builds, or themed projects.</w:t>
            </w:r>
          </w:p>
        </w:tc>
      </w:tr>
    </w:tbl>
    <w:p>
      <w:pPr>
        <w:spacing w:after="20"/>
      </w:pPr>
    </w:p>
    <w:p>
      <w:pPr>
        <w:pStyle w:val="Heading1"/>
      </w:pPr>
      <w:r>
        <w:t>Sequence / Method of Teaching</w:t>
      </w:r>
    </w:p>
    <w:p>
      <w:r>
        <w:t>The curriculum repeats in four-week learning cycles. Kindergarten and first-grade visits may be 45–60 minutes; grades 2–5 may use 60–90 minutes. A typical visit includes: welcome and goal (5–10 minutes), brief model or read-aloud (5–15 minutes), hands-on work (25–50 minutes), cleanup and revision (5–10 minutes), and documentation/reflection (5–10 minutes).</w:t>
      </w:r>
    </w:p>
    <w:tbl>
      <w:tblPr>
        <w:tblStyle w:val="TableGrid"/>
        <w:tblW w:type="auto" w:w="0"/>
        <w:jc w:val="center"/>
        <w:tblLayout w:type="fixed"/>
        <w:tblLook w:firstColumn="1" w:firstRow="1" w:lastColumn="0" w:lastRow="0" w:noHBand="0" w:noVBand="1" w:val="04A0"/>
      </w:tblPr>
      <w:tblGrid>
        <w:gridCol w:w="3312"/>
        <w:gridCol w:w="3312"/>
        <w:gridCol w:w="3312"/>
      </w:tblGrid>
      <w:tr>
        <w:trPr>
          <w:tblHeader w:val="true"/>
        </w:trPr>
        <w:tc>
          <w:tcPr>
            <w:tcW w:type="dxa" w:w="1656"/>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Weekly Phase</w:t>
            </w:r>
          </w:p>
        </w:tc>
        <w:tc>
          <w:tcPr>
            <w:tcW w:type="dxa" w:w="5256"/>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Teaching and Student Learning Activities</w:t>
            </w:r>
          </w:p>
        </w:tc>
        <w:tc>
          <w:tcPr>
            <w:tcW w:type="dxa" w:w="2664"/>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Evidence of Learning</w:t>
            </w:r>
          </w:p>
        </w:tc>
      </w:tr>
      <w:tr>
        <w:tc>
          <w:tcPr>
            <w:tcW w:type="dxa" w:w="165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Week 1 — Explore and Plan</w:t>
            </w:r>
          </w:p>
        </w:tc>
        <w:tc>
          <w:tcPr>
            <w:tcW w:type="dxa" w:w="525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Choose a grade-appropriate question, game, or design prompt. Read or listen to directions; identify the goal; activate prior knowledge; predict; sketch, draw, dictate, or write a plan.</w:t>
            </w:r>
          </w:p>
        </w:tc>
        <w:tc>
          <w:tcPr>
            <w:tcW w:type="dxa" w:w="2664"/>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Plan, drawing, prediction, oral explanation, selected standard</w:t>
            </w:r>
          </w:p>
        </w:tc>
      </w:tr>
      <w:tr>
        <w:tc>
          <w:tcPr>
            <w:tcW w:type="dxa" w:w="165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Week 2 — Create and Measure</w:t>
            </w:r>
          </w:p>
        </w:tc>
        <w:tc>
          <w:tcPr>
            <w:tcW w:type="dxa" w:w="525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Build, make, solve, or play. Count or calculate, measure, sort, compare, identify shapes/patterns, follow steps, and record observations at the student’s grade level.</w:t>
            </w:r>
          </w:p>
        </w:tc>
        <w:tc>
          <w:tcPr>
            <w:tcW w:type="dxa" w:w="2664"/>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Work sample, calculations, measurement/data page, photo</w:t>
            </w:r>
          </w:p>
        </w:tc>
      </w:tr>
      <w:tr>
        <w:tc>
          <w:tcPr>
            <w:tcW w:type="dxa" w:w="165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Week 3 — Test and Improve</w:t>
            </w:r>
          </w:p>
        </w:tc>
        <w:tc>
          <w:tcPr>
            <w:tcW w:type="dxa" w:w="525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Test a structure, repeat a trial, replay with a strategy, compare results, discuss cause and effect, receive feedback, and make one purposeful change.</w:t>
            </w:r>
          </w:p>
        </w:tc>
        <w:tc>
          <w:tcPr>
            <w:tcW w:type="dxa" w:w="2664"/>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Test record, before/after evidence, revision explanation</w:t>
            </w:r>
          </w:p>
        </w:tc>
      </w:tr>
      <w:tr>
        <w:tc>
          <w:tcPr>
            <w:tcW w:type="dxa" w:w="165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Week 4 — Connect and Share</w:t>
            </w:r>
          </w:p>
        </w:tc>
        <w:tc>
          <w:tcPr>
            <w:tcW w:type="dxa" w:w="525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Complete the project, connect it to a story/community/real-world use, write or dictate an explanation, present the work, and choose a next goal.</w:t>
            </w:r>
          </w:p>
        </w:tc>
        <w:tc>
          <w:tcPr>
            <w:tcW w:type="dxa" w:w="2664"/>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Final product, explanation, presentation, reflection</w:t>
            </w:r>
          </w:p>
        </w:tc>
      </w:tr>
    </w:tbl>
    <w:p>
      <w:pPr>
        <w:spacing w:after="20"/>
      </w:pPr>
    </w:p>
    <w:p>
      <w:pPr>
        <w:pStyle w:val="Heading2"/>
      </w:pPr>
      <w:r>
        <w:t>Differentiation by Grade Band</w:t>
      </w:r>
    </w:p>
    <w:tbl>
      <w:tblPr>
        <w:tblStyle w:val="TableGrid"/>
        <w:tblW w:type="auto" w:w="0"/>
        <w:jc w:val="center"/>
        <w:tblLayout w:type="fixed"/>
        <w:tblLook w:firstColumn="1" w:firstRow="1" w:lastColumn="0" w:lastRow="0" w:noHBand="0" w:noVBand="1" w:val="04A0"/>
      </w:tblPr>
      <w:tblGrid>
        <w:gridCol w:w="4968"/>
        <w:gridCol w:w="4968"/>
      </w:tblGrid>
      <w:tr>
        <w:trPr>
          <w:tblHeader w:val="true"/>
        </w:trPr>
        <w:tc>
          <w:tcPr>
            <w:tcW w:type="dxa" w:w="2160"/>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Grade Band</w:t>
            </w:r>
          </w:p>
        </w:tc>
        <w:tc>
          <w:tcPr>
            <w:tcW w:type="dxa" w:w="7416"/>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Instructional Adaptation</w:t>
            </w:r>
          </w:p>
        </w:tc>
      </w:tr>
      <w:tr>
        <w:tc>
          <w:tcPr>
            <w:tcW w:type="dxa" w:w="2160"/>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Kindergarten–Grade 1</w:t>
            </w:r>
          </w:p>
        </w:tc>
        <w:tc>
          <w:tcPr>
            <w:tcW w:type="dxa" w:w="741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Use play-based tasks, read-aloud directions, manipulatives, oral responses, drawing/dictation, counting within the student’s range, short work periods, movement, and adult modeling.</w:t>
            </w:r>
          </w:p>
        </w:tc>
      </w:tr>
      <w:tr>
        <w:tc>
          <w:tcPr>
            <w:tcW w:type="dxa" w:w="2160"/>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Grades 2–3</w:t>
            </w:r>
          </w:p>
        </w:tc>
        <w:tc>
          <w:tcPr>
            <w:tcW w:type="dxa" w:w="741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Add written directions, labeled diagrams, standard measurement tools, data tables, multi-step problems, short paragraphs, peer collaboration, and guided revision.</w:t>
            </w:r>
          </w:p>
        </w:tc>
      </w:tr>
      <w:tr>
        <w:tc>
          <w:tcPr>
            <w:tcW w:type="dxa" w:w="2160"/>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Grades 4–5</w:t>
            </w:r>
          </w:p>
        </w:tc>
        <w:tc>
          <w:tcPr>
            <w:tcW w:type="dxa" w:w="741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Increase independence, research, constraints, fractions/decimals, area/volume, budgeting, written claims with evidence, comparative data, multi-session projects, and formal presentations.</w:t>
            </w:r>
          </w:p>
        </w:tc>
      </w:tr>
      <w:tr>
        <w:tc>
          <w:tcPr>
            <w:tcW w:type="dxa" w:w="2160"/>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All Grades</w:t>
            </w:r>
          </w:p>
        </w:tc>
        <w:tc>
          <w:tcPr>
            <w:tcW w:type="dxa" w:w="741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Offer visual schedules, choice within clear limits, sensory/movement breaks, chunked directions, repeated practice, assistive tools, and multiple ways to demonstrate learning as needed.</w:t>
            </w:r>
          </w:p>
        </w:tc>
      </w:tr>
    </w:tbl>
    <w:p>
      <w:pPr>
        <w:spacing w:after="20"/>
      </w:pPr>
    </w:p>
    <w:p>
      <w:pPr>
        <w:pStyle w:val="Heading2"/>
      </w:pPr>
      <w:r>
        <w:t>Suggested Project and Activity Options</w:t>
      </w:r>
    </w:p>
    <w:tbl>
      <w:tblPr>
        <w:tblStyle w:val="TableGrid"/>
        <w:tblW w:type="auto" w:w="0"/>
        <w:jc w:val="center"/>
        <w:tblLayout w:type="fixed"/>
        <w:tblLook w:firstColumn="1" w:firstRow="1" w:lastColumn="0" w:lastRow="0" w:noHBand="0" w:noVBand="1" w:val="04A0"/>
      </w:tblPr>
      <w:tblGrid>
        <w:gridCol w:w="4968"/>
        <w:gridCol w:w="4968"/>
      </w:tblGrid>
      <w:tr>
        <w:trPr>
          <w:tblHeader w:val="true"/>
        </w:trPr>
        <w:tc>
          <w:tcPr>
            <w:tcW w:type="dxa" w:w="2376"/>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Activity Option</w:t>
            </w:r>
          </w:p>
        </w:tc>
        <w:tc>
          <w:tcPr>
            <w:tcW w:type="dxa" w:w="7200"/>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Educational Use</w:t>
            </w:r>
          </w:p>
        </w:tc>
      </w:tr>
      <w:tr>
        <w:tc>
          <w:tcPr>
            <w:tcW w:type="dxa" w:w="237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LEGO or Construction Challenge</w:t>
            </w:r>
          </w:p>
        </w:tc>
        <w:tc>
          <w:tcPr>
            <w:tcW w:type="dxa" w:w="7200"/>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Build a bridge, tower, habitat, vehicle, community structure, pattern, or model using grade-appropriate size, shape, measurement, cost, or strength criteria.</w:t>
            </w:r>
          </w:p>
        </w:tc>
      </w:tr>
      <w:tr>
        <w:tc>
          <w:tcPr>
            <w:tcW w:type="dxa" w:w="237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Board and Strategy Game Lab</w:t>
            </w:r>
          </w:p>
        </w:tc>
        <w:tc>
          <w:tcPr>
            <w:tcW w:type="dxa" w:w="7200"/>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Learn rules, count or calculate, take turns, compare choices, use probability, explain a strategy, track results, and reflect on fair play.</w:t>
            </w:r>
          </w:p>
        </w:tc>
      </w:tr>
      <w:tr>
        <w:tc>
          <w:tcPr>
            <w:tcW w:type="dxa" w:w="237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Marble Run or Cause-and-Effect Build</w:t>
            </w:r>
          </w:p>
        </w:tc>
        <w:tc>
          <w:tcPr>
            <w:tcW w:type="dxa" w:w="7200"/>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Plan a pathway, predict motion, measure distance/time, test repeated trials, identify problems, and revise the design.</w:t>
            </w:r>
          </w:p>
        </w:tc>
      </w:tr>
      <w:tr>
        <w:tc>
          <w:tcPr>
            <w:tcW w:type="dxa" w:w="237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Maker or Art Design Brief</w:t>
            </w:r>
          </w:p>
        </w:tc>
        <w:tc>
          <w:tcPr>
            <w:tcW w:type="dxa" w:w="7200"/>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Respond to a theme or client need through research, sketching, material choice, construction, craftsmanship, revision, and presentation.</w:t>
            </w:r>
          </w:p>
        </w:tc>
      </w:tr>
      <w:tr>
        <w:tc>
          <w:tcPr>
            <w:tcW w:type="dxa" w:w="2376"/>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Forge World Community Project</w:t>
            </w:r>
          </w:p>
        </w:tc>
        <w:tc>
          <w:tcPr>
            <w:tcW w:type="dxa" w:w="7200"/>
            <w:vAlign w:val="center"/>
            <w:tcMar>
              <w:top w:w="70" w:type="dxa"/>
              <w:start w:w="100" w:type="dxa"/>
              <w:bottom w:w="70" w:type="dxa"/>
              <w:end w:w="100" w:type="dxa"/>
            </w:tcMar>
            <w:shd w:fill="FFFFFF"/>
          </w:tcPr>
          <w:p>
            <w:pPr>
              <w:keepLines/>
              <w:spacing w:after="0" w:line="240" w:lineRule="auto"/>
            </w:pPr>
            <w:r/>
            <w:r>
              <w:rPr>
                <w:rFonts w:ascii="Aptos" w:hAnsi="Aptos"/>
                <w:b w:val="0"/>
                <w:color w:val="333333"/>
                <w:sz w:val="17"/>
              </w:rPr>
              <w:t>Design a purposeful addition to a shared world, describe who uses it, apply rules and spatial reasoning, and explain how it benefits the community.</w:t>
            </w:r>
          </w:p>
        </w:tc>
      </w:tr>
      <w:tr>
        <w:tc>
          <w:tcPr>
            <w:tcW w:type="dxa" w:w="2376"/>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Puzzle and Logic Investigation</w:t>
            </w:r>
          </w:p>
        </w:tc>
        <w:tc>
          <w:tcPr>
            <w:tcW w:type="dxa" w:w="7200"/>
            <w:vAlign w:val="center"/>
            <w:tcMar>
              <w:top w:w="70" w:type="dxa"/>
              <w:start w:w="100" w:type="dxa"/>
              <w:bottom w:w="70" w:type="dxa"/>
              <w:end w:w="100" w:type="dxa"/>
            </w:tcMar>
            <w:shd w:fill="F5F7F9"/>
          </w:tcPr>
          <w:p>
            <w:pPr>
              <w:keepLines/>
              <w:spacing w:after="0" w:line="240" w:lineRule="auto"/>
            </w:pPr>
            <w:r/>
            <w:r>
              <w:rPr>
                <w:rFonts w:ascii="Aptos" w:hAnsi="Aptos"/>
                <w:b w:val="0"/>
                <w:color w:val="333333"/>
                <w:sz w:val="17"/>
              </w:rPr>
              <w:t>Identify patterns, test possible solutions, explain reasoning, compare methods, and create a new puzzle or variation.</w:t>
            </w:r>
          </w:p>
        </w:tc>
      </w:tr>
    </w:tbl>
    <w:p>
      <w:pPr>
        <w:spacing w:after="20"/>
      </w:pPr>
    </w:p>
    <w:p>
      <w:pPr>
        <w:pStyle w:val="Heading1"/>
      </w:pPr>
      <w:r>
        <w:t>Assessment and Documentation of Learning</w:t>
      </w:r>
    </w:p>
    <w:p>
      <w:pPr>
        <w:pStyle w:val="ListBullet"/>
        <w:spacing w:after="60"/>
        <w:ind w:left="360" w:hanging="216"/>
      </w:pPr>
      <w:r>
        <w:t>Formative assessment: educator observation, questioning, direction-following, math checks, discussion, and feedback during each visit.</w:t>
      </w:r>
    </w:p>
    <w:p>
      <w:pPr>
        <w:pStyle w:val="ListBullet"/>
        <w:spacing w:after="60"/>
        <w:ind w:left="360" w:hanging="216"/>
      </w:pPr>
      <w:r>
        <w:t>Portfolio evidence: dated plans, drawings, writing/dictation, calculations, data tables, photographs, revision notes, and reflections.</w:t>
      </w:r>
    </w:p>
    <w:p>
      <w:pPr>
        <w:pStyle w:val="ListBullet"/>
        <w:spacing w:after="60"/>
        <w:ind w:left="360" w:hanging="216"/>
      </w:pPr>
      <w:r>
        <w:t>Mastery is based on grade-appropriate reasoning, communication, skill application, purposeful revision, perseverance, and responsible collaboration—not on the appearance of the final product alone.</w:t>
      </w:r>
    </w:p>
    <w:p>
      <w:pPr>
        <w:pStyle w:val="ListBullet"/>
        <w:spacing w:after="60"/>
        <w:ind w:left="360" w:hanging="216"/>
      </w:pPr>
      <w:r>
        <w:t>Monthly record: document visit dates, instructional time, activity, selected standards, adult facilitator, student evidence, and next learning goal.</w:t>
      </w:r>
    </w:p>
    <w:p>
      <w:pPr>
        <w:pStyle w:val="Heading1"/>
        <w:spacing w:before="140"/>
      </w:pPr>
      <w:r>
        <w:t>Materials Needed</w:t>
      </w:r>
    </w:p>
    <w:tbl>
      <w:tblPr>
        <w:tblStyle w:val="TableGrid"/>
        <w:tblW w:type="auto" w:w="0"/>
        <w:jc w:val="center"/>
        <w:tblLayout w:type="fixed"/>
        <w:tblLook w:firstColumn="1" w:firstRow="1" w:lastColumn="0" w:lastRow="0" w:noHBand="0" w:noVBand="1" w:val="04A0"/>
      </w:tblPr>
      <w:tblGrid>
        <w:gridCol w:w="4968"/>
        <w:gridCol w:w="4968"/>
      </w:tblGrid>
      <w:tr>
        <w:trPr>
          <w:tblHeader w:val="true"/>
        </w:trPr>
        <w:tc>
          <w:tcPr>
            <w:tcW w:type="dxa" w:w="3096"/>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Material / Program</w:t>
            </w:r>
          </w:p>
        </w:tc>
        <w:tc>
          <w:tcPr>
            <w:tcW w:type="dxa" w:w="6480"/>
            <w:vAlign w:val="center"/>
            <w:tcMar>
              <w:top w:w="70" w:type="dxa"/>
              <w:start w:w="100" w:type="dxa"/>
              <w:bottom w:w="70" w:type="dxa"/>
              <w:end w:w="100" w:type="dxa"/>
            </w:tcMar>
            <w:shd w:fill="163A70"/>
          </w:tcPr>
          <w:p>
            <w:pPr>
              <w:keepLines/>
              <w:spacing w:after="0" w:line="240" w:lineRule="auto"/>
            </w:pPr>
            <w:r/>
            <w:r>
              <w:rPr>
                <w:rFonts w:ascii="Aptos" w:hAnsi="Aptos"/>
                <w:b/>
                <w:color w:val="FFFFFF"/>
                <w:sz w:val="17"/>
              </w:rPr>
              <w:t>How the Student Uses It for Instruction</w:t>
            </w:r>
          </w:p>
        </w:tc>
      </w:tr>
      <w:tr>
        <w:tc>
          <w:tcPr>
            <w:tcW w:type="dxa" w:w="3096"/>
            <w:vAlign w:val="center"/>
            <w:tcMar>
              <w:top w:w="50" w:type="dxa"/>
              <w:start w:w="100" w:type="dxa"/>
              <w:bottom w:w="50" w:type="dxa"/>
              <w:end w:w="100" w:type="dxa"/>
            </w:tcMar>
            <w:shd w:fill="FFFFFF"/>
          </w:tcPr>
          <w:p>
            <w:pPr>
              <w:keepLines/>
              <w:spacing w:after="0" w:line="240" w:lineRule="auto"/>
            </w:pPr>
            <w:r/>
            <w:r>
              <w:rPr>
                <w:rFonts w:ascii="Aptos" w:hAnsi="Aptos"/>
                <w:b w:val="0"/>
                <w:color w:val="333333"/>
                <w:sz w:val="16"/>
              </w:rPr>
              <w:t>MindForge Play Studio Individual Membership</w:t>
            </w:r>
          </w:p>
        </w:tc>
        <w:tc>
          <w:tcPr>
            <w:tcW w:type="dxa" w:w="6480"/>
            <w:vAlign w:val="center"/>
            <w:tcMar>
              <w:top w:w="50" w:type="dxa"/>
              <w:start w:w="100" w:type="dxa"/>
              <w:bottom w:w="50" w:type="dxa"/>
              <w:end w:w="100" w:type="dxa"/>
            </w:tcMar>
            <w:shd w:fill="FFFFFF"/>
          </w:tcPr>
          <w:p>
            <w:pPr>
              <w:keepLines/>
              <w:spacing w:after="0" w:line="240" w:lineRule="auto"/>
            </w:pPr>
            <w:r/>
            <w:r>
              <w:rPr>
                <w:rFonts w:ascii="Aptos" w:hAnsi="Aptos"/>
                <w:b w:val="0"/>
                <w:color w:val="333333"/>
                <w:sz w:val="16"/>
              </w:rPr>
              <w:t>This required program item provides the student recurring individual access during open hours to MindForge’s hands-on construction, maker, puzzle, strategy-game, and collaborative learning environment. Repeated access allows the student to complete the four-week learning cycle, revisit skills, continue multi-session projects, test and improve work, and create portfolio evidence.</w:t>
            </w:r>
          </w:p>
        </w:tc>
      </w:tr>
      <w:tr>
        <w:tc>
          <w:tcPr>
            <w:tcW w:type="dxa" w:w="3096"/>
            <w:vAlign w:val="center"/>
            <w:tcMar>
              <w:top w:w="50" w:type="dxa"/>
              <w:start w:w="100" w:type="dxa"/>
              <w:bottom w:w="50" w:type="dxa"/>
              <w:end w:w="100" w:type="dxa"/>
            </w:tcMar>
            <w:shd w:fill="F5F7F9"/>
          </w:tcPr>
          <w:p>
            <w:pPr>
              <w:keepLines/>
              <w:spacing w:after="0" w:line="240" w:lineRule="auto"/>
            </w:pPr>
            <w:r/>
            <w:r>
              <w:rPr>
                <w:rFonts w:ascii="Aptos" w:hAnsi="Aptos"/>
                <w:b w:val="0"/>
                <w:color w:val="333333"/>
                <w:sz w:val="16"/>
              </w:rPr>
              <w:t>Parent/home-educator learning plan and visit log</w:t>
            </w:r>
          </w:p>
        </w:tc>
        <w:tc>
          <w:tcPr>
            <w:tcW w:type="dxa" w:w="6480"/>
            <w:vAlign w:val="center"/>
            <w:tcMar>
              <w:top w:w="50" w:type="dxa"/>
              <w:start w:w="100" w:type="dxa"/>
              <w:bottom w:w="50" w:type="dxa"/>
              <w:end w:w="100" w:type="dxa"/>
            </w:tcMar>
            <w:shd w:fill="F5F7F9"/>
          </w:tcPr>
          <w:p>
            <w:pPr>
              <w:keepLines/>
              <w:spacing w:after="0" w:line="240" w:lineRule="auto"/>
            </w:pPr>
            <w:r/>
            <w:r>
              <w:rPr>
                <w:rFonts w:ascii="Aptos" w:hAnsi="Aptos"/>
                <w:b w:val="0"/>
                <w:color w:val="333333"/>
                <w:sz w:val="16"/>
              </w:rPr>
              <w:t>The facilitating adult selects the student’s grade-level standards, plans the learning goal, records attendance and instructional time, asks guiding questions, and documents progress.</w:t>
            </w:r>
          </w:p>
        </w:tc>
      </w:tr>
      <w:tr>
        <w:tc>
          <w:tcPr>
            <w:tcW w:type="dxa" w:w="3096"/>
            <w:vAlign w:val="center"/>
            <w:tcMar>
              <w:top w:w="50" w:type="dxa"/>
              <w:start w:w="100" w:type="dxa"/>
              <w:bottom w:w="50" w:type="dxa"/>
              <w:end w:w="100" w:type="dxa"/>
            </w:tcMar>
            <w:shd w:fill="FFFFFF"/>
          </w:tcPr>
          <w:p>
            <w:pPr>
              <w:keepLines/>
              <w:spacing w:after="0" w:line="240" w:lineRule="auto"/>
            </w:pPr>
            <w:r/>
            <w:r>
              <w:rPr>
                <w:rFonts w:ascii="Aptos" w:hAnsi="Aptos"/>
                <w:b w:val="0"/>
                <w:color w:val="333333"/>
                <w:sz w:val="16"/>
              </w:rPr>
              <w:t>Studio construction and maker materials available during the visit</w:t>
            </w:r>
          </w:p>
        </w:tc>
        <w:tc>
          <w:tcPr>
            <w:tcW w:type="dxa" w:w="6480"/>
            <w:vAlign w:val="center"/>
            <w:tcMar>
              <w:top w:w="50" w:type="dxa"/>
              <w:start w:w="100" w:type="dxa"/>
              <w:bottom w:w="50" w:type="dxa"/>
              <w:end w:w="100" w:type="dxa"/>
            </w:tcMar>
            <w:shd w:fill="FFFFFF"/>
          </w:tcPr>
          <w:p>
            <w:pPr>
              <w:keepLines/>
              <w:spacing w:after="0" w:line="240" w:lineRule="auto"/>
            </w:pPr>
            <w:r/>
            <w:r>
              <w:rPr>
                <w:rFonts w:ascii="Aptos" w:hAnsi="Aptos"/>
                <w:b w:val="0"/>
                <w:color w:val="333333"/>
                <w:sz w:val="16"/>
              </w:rPr>
              <w:t>The student uses available materials to count, sort, measure, model, build, test, revise, and communicate solutions. Materials vary by activity and studio availability.</w:t>
            </w:r>
          </w:p>
        </w:tc>
      </w:tr>
      <w:tr>
        <w:tc>
          <w:tcPr>
            <w:tcW w:type="dxa" w:w="3096"/>
            <w:vAlign w:val="center"/>
            <w:tcMar>
              <w:top w:w="50" w:type="dxa"/>
              <w:start w:w="100" w:type="dxa"/>
              <w:bottom w:w="50" w:type="dxa"/>
              <w:end w:w="100" w:type="dxa"/>
            </w:tcMar>
            <w:shd w:fill="F5F7F9"/>
          </w:tcPr>
          <w:p>
            <w:pPr>
              <w:keepLines/>
              <w:spacing w:after="0" w:line="240" w:lineRule="auto"/>
            </w:pPr>
            <w:r/>
            <w:r>
              <w:rPr>
                <w:rFonts w:ascii="Aptos" w:hAnsi="Aptos"/>
                <w:b w:val="0"/>
                <w:color w:val="333333"/>
                <w:sz w:val="16"/>
              </w:rPr>
              <w:t>Studio board, card, puzzle, logic, and strategy games available during the visit</w:t>
            </w:r>
          </w:p>
        </w:tc>
        <w:tc>
          <w:tcPr>
            <w:tcW w:type="dxa" w:w="6480"/>
            <w:vAlign w:val="center"/>
            <w:tcMar>
              <w:top w:w="50" w:type="dxa"/>
              <w:start w:w="100" w:type="dxa"/>
              <w:bottom w:w="50" w:type="dxa"/>
              <w:end w:w="100" w:type="dxa"/>
            </w:tcMar>
            <w:shd w:fill="F5F7F9"/>
          </w:tcPr>
          <w:p>
            <w:pPr>
              <w:keepLines/>
              <w:spacing w:after="0" w:line="240" w:lineRule="auto"/>
            </w:pPr>
            <w:r/>
            <w:r>
              <w:rPr>
                <w:rFonts w:ascii="Aptos" w:hAnsi="Aptos"/>
                <w:b w:val="0"/>
                <w:color w:val="333333"/>
                <w:sz w:val="16"/>
              </w:rPr>
              <w:t>The student practices reading/listening to rules, counting and operations, probability, strategic reasoning, turn-taking, communication, and reflection at the appropriate grade level.</w:t>
            </w:r>
          </w:p>
        </w:tc>
      </w:tr>
      <w:tr>
        <w:tc>
          <w:tcPr>
            <w:tcW w:type="dxa" w:w="3096"/>
            <w:vAlign w:val="center"/>
            <w:tcMar>
              <w:top w:w="50" w:type="dxa"/>
              <w:start w:w="100" w:type="dxa"/>
              <w:bottom w:w="50" w:type="dxa"/>
              <w:end w:w="100" w:type="dxa"/>
            </w:tcMar>
            <w:shd w:fill="FFFFFF"/>
          </w:tcPr>
          <w:p>
            <w:pPr>
              <w:keepLines/>
              <w:spacing w:after="0" w:line="240" w:lineRule="auto"/>
            </w:pPr>
            <w:r/>
            <w:r>
              <w:rPr>
                <w:rFonts w:ascii="Aptos" w:hAnsi="Aptos"/>
                <w:b w:val="0"/>
                <w:color w:val="333333"/>
                <w:sz w:val="16"/>
              </w:rPr>
              <w:t>Learning notebook, binder, or elementary portfolio folder</w:t>
            </w:r>
          </w:p>
        </w:tc>
        <w:tc>
          <w:tcPr>
            <w:tcW w:type="dxa" w:w="6480"/>
            <w:vAlign w:val="center"/>
            <w:tcMar>
              <w:top w:w="50" w:type="dxa"/>
              <w:start w:w="100" w:type="dxa"/>
              <w:bottom w:w="50" w:type="dxa"/>
              <w:end w:w="100" w:type="dxa"/>
            </w:tcMar>
            <w:shd w:fill="FFFFFF"/>
          </w:tcPr>
          <w:p>
            <w:pPr>
              <w:keepLines/>
              <w:spacing w:after="0" w:line="240" w:lineRule="auto"/>
            </w:pPr>
            <w:r/>
            <w:r>
              <w:rPr>
                <w:rFonts w:ascii="Aptos" w:hAnsi="Aptos"/>
                <w:b w:val="0"/>
                <w:color w:val="333333"/>
                <w:sz w:val="16"/>
              </w:rPr>
              <w:t>The student stores plans, drawings, writing or dictation, calculations, data, photographs, explanations, and reflections as evidence of learning.</w:t>
            </w:r>
          </w:p>
        </w:tc>
      </w:tr>
      <w:tr>
        <w:tc>
          <w:tcPr>
            <w:tcW w:type="dxa" w:w="3096"/>
            <w:vAlign w:val="center"/>
            <w:tcMar>
              <w:top w:w="50" w:type="dxa"/>
              <w:start w:w="100" w:type="dxa"/>
              <w:bottom w:w="50" w:type="dxa"/>
              <w:end w:w="100" w:type="dxa"/>
            </w:tcMar>
            <w:shd w:fill="F5F7F9"/>
          </w:tcPr>
          <w:p>
            <w:pPr>
              <w:keepLines/>
              <w:spacing w:after="0" w:line="240" w:lineRule="auto"/>
            </w:pPr>
            <w:r/>
            <w:r>
              <w:rPr>
                <w:rFonts w:ascii="Aptos" w:hAnsi="Aptos"/>
                <w:b w:val="0"/>
                <w:color w:val="333333"/>
                <w:sz w:val="16"/>
              </w:rPr>
              <w:t>Paper, graph paper, pencils, eraser, crayons/colored pencils, ruler, and other grade-appropriate measuring tools</w:t>
            </w:r>
          </w:p>
        </w:tc>
        <w:tc>
          <w:tcPr>
            <w:tcW w:type="dxa" w:w="6480"/>
            <w:vAlign w:val="center"/>
            <w:tcMar>
              <w:top w:w="50" w:type="dxa"/>
              <w:start w:w="100" w:type="dxa"/>
              <w:bottom w:w="50" w:type="dxa"/>
              <w:end w:w="100" w:type="dxa"/>
            </w:tcMar>
            <w:shd w:fill="F5F7F9"/>
          </w:tcPr>
          <w:p>
            <w:pPr>
              <w:keepLines/>
              <w:spacing w:after="0" w:line="240" w:lineRule="auto"/>
            </w:pPr>
            <w:r/>
            <w:r>
              <w:rPr>
                <w:rFonts w:ascii="Aptos" w:hAnsi="Aptos"/>
                <w:b w:val="0"/>
                <w:color w:val="333333"/>
                <w:sz w:val="16"/>
              </w:rPr>
              <w:t>The student sketches, labels, writes, records data, creates patterns or scale representations, measures, calculates, and revises work.</w:t>
            </w:r>
          </w:p>
        </w:tc>
      </w:tr>
      <w:tr>
        <w:tc>
          <w:tcPr>
            <w:tcW w:type="dxa" w:w="3096"/>
            <w:vAlign w:val="center"/>
            <w:tcMar>
              <w:top w:w="50" w:type="dxa"/>
              <w:start w:w="100" w:type="dxa"/>
              <w:bottom w:w="50" w:type="dxa"/>
              <w:end w:w="100" w:type="dxa"/>
            </w:tcMar>
            <w:shd w:fill="FFFFFF"/>
          </w:tcPr>
          <w:p>
            <w:pPr>
              <w:keepLines/>
              <w:spacing w:after="0" w:line="240" w:lineRule="auto"/>
            </w:pPr>
            <w:r/>
            <w:r>
              <w:rPr>
                <w:rFonts w:ascii="Aptos" w:hAnsi="Aptos"/>
                <w:b w:val="0"/>
                <w:color w:val="333333"/>
                <w:sz w:val="16"/>
              </w:rPr>
              <w:t>Phone or camera used by the facilitating adult</w:t>
            </w:r>
          </w:p>
        </w:tc>
        <w:tc>
          <w:tcPr>
            <w:tcW w:type="dxa" w:w="6480"/>
            <w:vAlign w:val="center"/>
            <w:tcMar>
              <w:top w:w="50" w:type="dxa"/>
              <w:start w:w="100" w:type="dxa"/>
              <w:bottom w:w="50" w:type="dxa"/>
              <w:end w:w="100" w:type="dxa"/>
            </w:tcMar>
            <w:shd w:fill="FFFFFF"/>
          </w:tcPr>
          <w:p>
            <w:pPr>
              <w:keepLines/>
              <w:spacing w:after="0" w:line="240" w:lineRule="auto"/>
            </w:pPr>
            <w:r/>
            <w:r>
              <w:rPr>
                <w:rFonts w:ascii="Aptos" w:hAnsi="Aptos"/>
                <w:b w:val="0"/>
                <w:color w:val="333333"/>
                <w:sz w:val="16"/>
              </w:rPr>
              <w:t>The adult photographs project stages and final products so the student can compare changes, explain revisions, and preserve evidence of hands-on learning.</w:t>
            </w:r>
          </w:p>
        </w:tc>
      </w:tr>
      <w:tr>
        <w:tc>
          <w:tcPr>
            <w:tcW w:type="dxa" w:w="3096"/>
            <w:vAlign w:val="center"/>
            <w:tcMar>
              <w:top w:w="50" w:type="dxa"/>
              <w:start w:w="100" w:type="dxa"/>
              <w:bottom w:w="50" w:type="dxa"/>
              <w:end w:w="100" w:type="dxa"/>
            </w:tcMar>
            <w:shd w:fill="F5F7F9"/>
          </w:tcPr>
          <w:p>
            <w:pPr>
              <w:keepLines/>
              <w:spacing w:after="0" w:line="240" w:lineRule="auto"/>
            </w:pPr>
            <w:r/>
            <w:r>
              <w:rPr>
                <w:rFonts w:ascii="Aptos" w:hAnsi="Aptos"/>
                <w:b w:val="0"/>
                <w:color w:val="333333"/>
                <w:sz w:val="16"/>
              </w:rPr>
              <w:t>Optional calculator or assistive learning tools</w:t>
            </w:r>
          </w:p>
        </w:tc>
        <w:tc>
          <w:tcPr>
            <w:tcW w:type="dxa" w:w="6480"/>
            <w:vAlign w:val="center"/>
            <w:tcMar>
              <w:top w:w="50" w:type="dxa"/>
              <w:start w:w="100" w:type="dxa"/>
              <w:bottom w:w="50" w:type="dxa"/>
              <w:end w:w="100" w:type="dxa"/>
            </w:tcMar>
            <w:shd w:fill="F5F7F9"/>
          </w:tcPr>
          <w:p>
            <w:pPr>
              <w:keepLines/>
              <w:spacing w:after="0" w:line="240" w:lineRule="auto"/>
            </w:pPr>
            <w:r/>
            <w:r>
              <w:rPr>
                <w:rFonts w:ascii="Aptos" w:hAnsi="Aptos"/>
                <w:b w:val="0"/>
                <w:color w:val="333333"/>
                <w:sz w:val="16"/>
              </w:rPr>
              <w:t>When appropriate to grade or learning needs, the student uses approved tools to check work, access directions, communicate understanding, or complete tasks with increasing independence.</w:t>
            </w:r>
          </w:p>
        </w:tc>
      </w:tr>
      <w:tr>
        <w:tc>
          <w:tcPr>
            <w:tcW w:type="dxa" w:w="3096"/>
            <w:vAlign w:val="center"/>
            <w:tcMar>
              <w:top w:w="50" w:type="dxa"/>
              <w:start w:w="100" w:type="dxa"/>
              <w:bottom w:w="50" w:type="dxa"/>
              <w:end w:w="100" w:type="dxa"/>
            </w:tcMar>
            <w:shd w:fill="FFFFFF"/>
          </w:tcPr>
          <w:p>
            <w:pPr>
              <w:keepLines/>
              <w:spacing w:after="0" w:line="240" w:lineRule="auto"/>
            </w:pPr>
            <w:r/>
            <w:r>
              <w:rPr>
                <w:rFonts w:ascii="Aptos" w:hAnsi="Aptos"/>
                <w:b w:val="0"/>
                <w:color w:val="333333"/>
                <w:sz w:val="16"/>
              </w:rPr>
              <w:t>Optional consumable project materials or seasonal kits</w:t>
            </w:r>
          </w:p>
        </w:tc>
        <w:tc>
          <w:tcPr>
            <w:tcW w:type="dxa" w:w="6480"/>
            <w:vAlign w:val="center"/>
            <w:tcMar>
              <w:top w:w="50" w:type="dxa"/>
              <w:start w:w="100" w:type="dxa"/>
              <w:bottom w:w="50" w:type="dxa"/>
              <w:end w:w="100" w:type="dxa"/>
            </w:tcMar>
            <w:shd w:fill="FFFFFF"/>
          </w:tcPr>
          <w:p>
            <w:pPr>
              <w:keepLines/>
              <w:spacing w:after="0" w:line="240" w:lineRule="auto"/>
            </w:pPr>
            <w:r/>
            <w:r>
              <w:rPr>
                <w:rFonts w:ascii="Aptos" w:hAnsi="Aptos"/>
                <w:b w:val="0"/>
                <w:color w:val="333333"/>
                <w:sz w:val="16"/>
              </w:rPr>
              <w:t>When separately selected, the student uses consumables to complete a defined standards-connected design or maker project. The specific educational use is documented with that project.</w:t>
            </w:r>
          </w:p>
        </w:tc>
      </w:tr>
    </w:tbl>
    <w:p>
      <w:pPr>
        <w:spacing w:after="20"/>
      </w:pPr>
    </w:p>
    <w:p>
      <w:pPr>
        <w:pStyle w:val="Heading1"/>
        <w:spacing w:before="100" w:after="60"/>
      </w:pPr>
      <w:r>
        <w:t>Standards Sources</w:t>
      </w:r>
    </w:p>
    <w:p>
      <w:pPr>
        <w:pStyle w:val="ListBullet"/>
        <w:spacing w:after="40"/>
        <w:ind w:left="360" w:hanging="216"/>
      </w:pPr>
      <w:r>
        <w:rPr>
          <w:sz w:val="17"/>
        </w:rPr>
        <w:t>Arizona Department of Education, English Language Arts Standards: https://www.azed.gov/standards-practices/k-12standards/english-language-arts-standards</w:t>
      </w:r>
    </w:p>
    <w:p>
      <w:pPr>
        <w:pStyle w:val="ListBullet"/>
        <w:spacing w:after="40"/>
        <w:ind w:left="360" w:hanging="216"/>
      </w:pPr>
      <w:r>
        <w:rPr>
          <w:sz w:val="17"/>
        </w:rPr>
        <w:t>Arizona Department of Education, Mathematics Standards: https://www.azed.gov/standards-practices/k-12standards/mathematics-standards</w:t>
      </w:r>
    </w:p>
    <w:p>
      <w:pPr>
        <w:pStyle w:val="ListBullet"/>
        <w:spacing w:after="40"/>
        <w:ind w:left="360" w:hanging="216"/>
      </w:pPr>
      <w:r>
        <w:rPr>
          <w:sz w:val="17"/>
        </w:rPr>
        <w:t>Arizona Department of Education, History and Social Science Standards: https://www.azed.gov/standards-practices/k-12standards/standards-social-studies</w:t>
      </w:r>
    </w:p>
    <w:p>
      <w:pPr>
        <w:pStyle w:val="ListBullet"/>
        <w:spacing w:after="40"/>
        <w:ind w:left="360" w:hanging="216"/>
      </w:pPr>
      <w:r>
        <w:rPr>
          <w:sz w:val="17"/>
        </w:rPr>
        <w:t>Arizona Department of Education, Science Standards and Science &amp; Engineering Practices: https://www.azed.gov/standards-practices/k-12standards/standards-science</w:t>
      </w:r>
    </w:p>
    <w:p>
      <w:pPr>
        <w:spacing w:before="40" w:after="0" w:line="240" w:lineRule="auto"/>
      </w:pPr>
      <w:r>
        <w:rPr>
          <w:sz w:val="16"/>
        </w:rPr>
        <w:t>Prepared for educational documentation. This curriculum describes planned educational use of membership access. Final acceptance of an expense or curriculum document remains subject to applicable Arizona ESA program requirements.</w:t>
      </w:r>
    </w:p>
    <w:sectPr w:rsidR="00FC693F" w:rsidRPr="0006063C" w:rsidSect="00034616">
      <w:headerReference w:type="default" r:id="rId9"/>
      <w:footerReference w:type="default" r:id="rId10"/>
      <w:pgSz w:w="12240" w:h="15840"/>
      <w:pgMar w:top="1008" w:right="1152" w:bottom="1008" w:left="1152"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MindForge Play Studio • Individual Membership • Arizona Standards-Aligned K–5 Curriculum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163A70"/>
        <w:sz w:val="16"/>
      </w:rPr>
      <w:t>MINDFORGE PLAY STUDIO  |  K–5 CURRICULUM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ptos" w:hAnsi="Aptos"/>
      <w:color w:val="3333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ptos Display" w:hAnsi="Aptos Display"/>
      <w:b/>
      <w:bCs/>
      <w:color w:val="163A70"/>
      <w:sz w:val="31"/>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163A70"/>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ptos Display" w:hAnsi="Aptos Display"/>
      <w:b/>
      <w:bCs/>
      <w:color w:val="163A7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b/>
      <w:color w:val="163A7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MindForge Individual Membership Learning Lab — K–5 Curriculum</dc:title>
  <dc:subject>Arizona standards-aligned elementary supplemental curriculum template</dc:subject>
  <dc:creator>MindForge Play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