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6673" w14:textId="0026D709" w:rsidR="00801231" w:rsidRDefault="00B0368A">
      <w:r>
        <w:rPr>
          <w:noProof/>
        </w:rPr>
        <w:drawing>
          <wp:inline distT="0" distB="0" distL="0" distR="0" wp14:anchorId="2FD690B4" wp14:editId="557A2673">
            <wp:extent cx="17653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 file Smart logo_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524000"/>
                    </a:xfrm>
                    <a:prstGeom prst="rect">
                      <a:avLst/>
                    </a:prstGeom>
                  </pic:spPr>
                </pic:pic>
              </a:graphicData>
            </a:graphic>
          </wp:inline>
        </w:drawing>
      </w:r>
    </w:p>
    <w:p w14:paraId="6D142E09" w14:textId="3A371133" w:rsidR="007503D2" w:rsidRDefault="007503D2"/>
    <w:p w14:paraId="6D9B920A" w14:textId="69E8024A" w:rsidR="007503D2" w:rsidRDefault="007503D2">
      <w:r>
        <w:t>Geo Fencing Facts and Figures</w:t>
      </w:r>
    </w:p>
    <w:p w14:paraId="04ACC10E" w14:textId="55B9E439" w:rsidR="007503D2" w:rsidRDefault="004B32DF">
      <w:hyperlink r:id="rId6" w:history="1">
        <w:r w:rsidRPr="00C80397">
          <w:rPr>
            <w:rStyle w:val="Hyperlink"/>
          </w:rPr>
          <w:t>https://www.youtube.com/watc</w:t>
        </w:r>
        <w:r w:rsidRPr="00C80397">
          <w:rPr>
            <w:rStyle w:val="Hyperlink"/>
          </w:rPr>
          <w:t>h</w:t>
        </w:r>
        <w:r w:rsidRPr="00C80397">
          <w:rPr>
            <w:rStyle w:val="Hyperlink"/>
          </w:rPr>
          <w:t>?v=NTkBT8eASWs</w:t>
        </w:r>
      </w:hyperlink>
      <w:r>
        <w:t xml:space="preserve"> </w:t>
      </w:r>
    </w:p>
    <w:p w14:paraId="75DCB3E8" w14:textId="77777777" w:rsidR="007503D2" w:rsidRDefault="007503D2" w:rsidP="007503D2">
      <w:pPr>
        <w:pStyle w:val="NormalWeb"/>
      </w:pPr>
      <w:r>
        <w:rPr>
          <w:rFonts w:ascii="Sintony" w:hAnsi="Sintony"/>
          <w:b/>
          <w:bCs/>
          <w:color w:val="02A3B7"/>
          <w:sz w:val="34"/>
          <w:szCs w:val="34"/>
        </w:rPr>
        <w:t xml:space="preserve">Geo-Conversion Lift Dashboards </w:t>
      </w:r>
    </w:p>
    <w:p w14:paraId="2EEEB1DC" w14:textId="0193D543" w:rsidR="007503D2" w:rsidRDefault="007503D2" w:rsidP="007503D2">
      <w:pPr>
        <w:pStyle w:val="NormalWeb"/>
      </w:pPr>
      <w:r>
        <w:rPr>
          <w:rFonts w:ascii="SourceSansPro" w:hAnsi="SourceSansPro"/>
          <w:sz w:val="22"/>
          <w:szCs w:val="22"/>
        </w:rPr>
        <w:t>Analyze your geo-targeting campaigns in how they are driving traffic to their conversion zones with S</w:t>
      </w:r>
      <w:r w:rsidR="00F5720D">
        <w:rPr>
          <w:rFonts w:ascii="SourceSansPro" w:hAnsi="SourceSansPro"/>
          <w:sz w:val="22"/>
          <w:szCs w:val="22"/>
        </w:rPr>
        <w:t xml:space="preserve">MART </w:t>
      </w:r>
      <w:r>
        <w:rPr>
          <w:rFonts w:ascii="SourceSansPro" w:hAnsi="SourceSansPro"/>
          <w:sz w:val="22"/>
          <w:szCs w:val="22"/>
        </w:rPr>
        <w:t xml:space="preserve">Geo-Conversion Lift and Geo-Conversion Lift Overview Dashboards in the Reporting &amp; Analytics Center. Metrics within the dashboards include: </w:t>
      </w:r>
    </w:p>
    <w:p w14:paraId="162A1207" w14:textId="77777777" w:rsidR="007503D2" w:rsidRDefault="007503D2" w:rsidP="007503D2">
      <w:pPr>
        <w:pStyle w:val="NormalWeb"/>
      </w:pPr>
      <w:r>
        <w:rPr>
          <w:rFonts w:ascii="SourceSansPro" w:hAnsi="SourceSansPro"/>
          <w:b/>
          <w:bCs/>
          <w:sz w:val="22"/>
          <w:szCs w:val="22"/>
        </w:rPr>
        <w:t xml:space="preserve">Geo-Conversion Lift* </w:t>
      </w:r>
    </w:p>
    <w:p w14:paraId="6702467F" w14:textId="77777777" w:rsidR="007503D2" w:rsidRDefault="007503D2" w:rsidP="007503D2">
      <w:pPr>
        <w:pStyle w:val="NormalWeb"/>
      </w:pPr>
      <w:r>
        <w:rPr>
          <w:rFonts w:ascii="SourceSansPro" w:hAnsi="SourceSansPro"/>
          <w:sz w:val="22"/>
          <w:szCs w:val="22"/>
        </w:rPr>
        <w:t xml:space="preserve">Percentage difference in Campaign Conversion Rate vs. Natural Conversion Rate. Calculated by (Campaign Conversion Rate – Natural Conversion Rate) ÷ Natural Conversion Rate. </w:t>
      </w:r>
    </w:p>
    <w:p w14:paraId="5D575991" w14:textId="77777777" w:rsidR="007503D2" w:rsidRDefault="007503D2" w:rsidP="007503D2">
      <w:pPr>
        <w:pStyle w:val="NormalWeb"/>
      </w:pPr>
      <w:r>
        <w:rPr>
          <w:rFonts w:ascii="SourceSansPro" w:hAnsi="SourceSansPro"/>
          <w:b/>
          <w:bCs/>
          <w:sz w:val="22"/>
          <w:szCs w:val="22"/>
        </w:rPr>
        <w:t xml:space="preserve">New User Campaign Conversion Lift* </w:t>
      </w:r>
    </w:p>
    <w:p w14:paraId="7B13EAEF" w14:textId="77777777" w:rsidR="007503D2" w:rsidRDefault="007503D2" w:rsidP="007503D2">
      <w:pPr>
        <w:pStyle w:val="NormalWeb"/>
      </w:pPr>
      <w:r>
        <w:rPr>
          <w:rFonts w:ascii="SourceSansPro" w:hAnsi="SourceSansPro"/>
          <w:sz w:val="22"/>
          <w:szCs w:val="22"/>
        </w:rPr>
        <w:t xml:space="preserve">The campaign conversion lift with repeat converters excluded. </w:t>
      </w:r>
    </w:p>
    <w:p w14:paraId="4628DC2B" w14:textId="77777777" w:rsidR="007503D2" w:rsidRDefault="007503D2" w:rsidP="007503D2">
      <w:pPr>
        <w:pStyle w:val="NormalWeb"/>
      </w:pPr>
      <w:r>
        <w:rPr>
          <w:rFonts w:ascii="SourceSansPro" w:hAnsi="SourceSansPro"/>
          <w:b/>
          <w:bCs/>
          <w:sz w:val="22"/>
          <w:szCs w:val="22"/>
        </w:rPr>
        <w:t xml:space="preserve">Converter Funnel </w:t>
      </w:r>
    </w:p>
    <w:p w14:paraId="28933584" w14:textId="77777777" w:rsidR="007503D2" w:rsidRDefault="007503D2" w:rsidP="007503D2">
      <w:pPr>
        <w:pStyle w:val="NormalWeb"/>
      </w:pPr>
      <w:r>
        <w:rPr>
          <w:rFonts w:ascii="SourceSansPro" w:hAnsi="SourceSansPro"/>
          <w:sz w:val="22"/>
          <w:szCs w:val="22"/>
        </w:rPr>
        <w:t xml:space="preserve">Shows the relative number of Natural Converters compared to New Natural Converters, Campaign Converters, and New Campaign Converters. </w:t>
      </w:r>
    </w:p>
    <w:p w14:paraId="3278BEE7" w14:textId="77777777" w:rsidR="007503D2" w:rsidRDefault="007503D2" w:rsidP="007503D2">
      <w:pPr>
        <w:pStyle w:val="NormalWeb"/>
      </w:pPr>
      <w:r>
        <w:rPr>
          <w:rFonts w:ascii="SourceSansPro" w:hAnsi="SourceSansPro"/>
          <w:b/>
          <w:bCs/>
          <w:sz w:val="22"/>
          <w:szCs w:val="22"/>
        </w:rPr>
        <w:t xml:space="preserve">• Natural Converters: </w:t>
      </w:r>
      <w:r>
        <w:rPr>
          <w:rFonts w:ascii="SourceSansPro" w:hAnsi="SourceSansPro"/>
          <w:sz w:val="22"/>
          <w:szCs w:val="22"/>
        </w:rPr>
        <w:t xml:space="preserve">Users who have been detected in a target zone, and then detected in a conversion zone within the number of days designated in the conversion attribution settings for that campaign, regardless of having been served an ad or not. </w:t>
      </w:r>
    </w:p>
    <w:p w14:paraId="5D40755D" w14:textId="77777777" w:rsidR="007503D2" w:rsidRDefault="007503D2" w:rsidP="007503D2">
      <w:pPr>
        <w:pStyle w:val="NormalWeb"/>
      </w:pPr>
      <w:r>
        <w:rPr>
          <w:rFonts w:ascii="SourceSansPro" w:hAnsi="SourceSansPro"/>
          <w:b/>
          <w:bCs/>
          <w:sz w:val="22"/>
          <w:szCs w:val="22"/>
        </w:rPr>
        <w:t xml:space="preserve">• New Natural Converters: </w:t>
      </w:r>
      <w:r>
        <w:rPr>
          <w:rFonts w:ascii="SourceSansPro" w:hAnsi="SourceSansPro"/>
          <w:sz w:val="22"/>
          <w:szCs w:val="22"/>
        </w:rPr>
        <w:t xml:space="preserve">Natural Converters who have been detected for the first time in a conversion zone within the number of days designated in the conversion attribution settings for that campaign. </w:t>
      </w:r>
    </w:p>
    <w:p w14:paraId="0CE35BA3" w14:textId="77777777" w:rsidR="007503D2" w:rsidRDefault="007503D2" w:rsidP="007503D2">
      <w:pPr>
        <w:pStyle w:val="NormalWeb"/>
      </w:pPr>
      <w:r>
        <w:rPr>
          <w:rFonts w:ascii="SourceSansPro" w:hAnsi="SourceSansPro"/>
          <w:b/>
          <w:bCs/>
          <w:sz w:val="22"/>
          <w:szCs w:val="22"/>
        </w:rPr>
        <w:t xml:space="preserve">• Campaign Converters: </w:t>
      </w:r>
      <w:r>
        <w:rPr>
          <w:rFonts w:ascii="SourceSansPro" w:hAnsi="SourceSansPro"/>
          <w:sz w:val="22"/>
          <w:szCs w:val="22"/>
        </w:rPr>
        <w:t xml:space="preserve">Users who have been detected in a target zone, served an ad, then detected in a conversion zone within the number of days designated in the conversion attribution settings for that campaign. </w:t>
      </w:r>
    </w:p>
    <w:p w14:paraId="093F3072" w14:textId="77777777" w:rsidR="007503D2" w:rsidRDefault="007503D2" w:rsidP="007503D2">
      <w:pPr>
        <w:pStyle w:val="NormalWeb"/>
      </w:pPr>
      <w:r>
        <w:rPr>
          <w:rFonts w:ascii="SourceSansPro" w:hAnsi="SourceSansPro"/>
          <w:b/>
          <w:bCs/>
          <w:sz w:val="22"/>
          <w:szCs w:val="22"/>
        </w:rPr>
        <w:t xml:space="preserve">• New Campaign Converters: </w:t>
      </w:r>
      <w:r>
        <w:rPr>
          <w:rFonts w:ascii="SourceSansPro" w:hAnsi="SourceSansPro"/>
          <w:sz w:val="22"/>
          <w:szCs w:val="22"/>
        </w:rPr>
        <w:t>Campaign Converters who have been detected for the first time in</w:t>
      </w:r>
      <w:r>
        <w:rPr>
          <w:rFonts w:ascii="SourceSansPro" w:hAnsi="SourceSansPro"/>
          <w:sz w:val="22"/>
          <w:szCs w:val="22"/>
        </w:rPr>
        <w:br/>
        <w:t xml:space="preserve">a conversion zone within the number of days designated in the conversion attributions settings for that campaign. </w:t>
      </w:r>
    </w:p>
    <w:p w14:paraId="583229AE" w14:textId="77777777" w:rsidR="007503D2" w:rsidRDefault="007503D2" w:rsidP="007503D2">
      <w:pPr>
        <w:pStyle w:val="NormalWeb"/>
      </w:pPr>
      <w:r>
        <w:rPr>
          <w:rFonts w:ascii="SourceSansPro" w:hAnsi="SourceSansPro"/>
          <w:b/>
          <w:bCs/>
          <w:sz w:val="22"/>
          <w:szCs w:val="22"/>
        </w:rPr>
        <w:t xml:space="preserve">Natural Conversion Rate* </w:t>
      </w:r>
    </w:p>
    <w:p w14:paraId="1775CEC2" w14:textId="77777777" w:rsidR="007503D2" w:rsidRDefault="007503D2" w:rsidP="007503D2">
      <w:pPr>
        <w:pStyle w:val="NormalWeb"/>
      </w:pPr>
      <w:r>
        <w:rPr>
          <w:rFonts w:ascii="SourceSansPro" w:hAnsi="SourceSansPro"/>
          <w:sz w:val="22"/>
          <w:szCs w:val="22"/>
        </w:rPr>
        <w:t xml:space="preserve">The percentage of users that have been detected in a target zone, not served an ad, and then detected in a conversion zone for the same campaign. </w:t>
      </w:r>
    </w:p>
    <w:p w14:paraId="1D899416" w14:textId="77777777" w:rsidR="007503D2" w:rsidRDefault="007503D2" w:rsidP="007503D2">
      <w:pPr>
        <w:pStyle w:val="NormalWeb"/>
      </w:pPr>
      <w:r>
        <w:rPr>
          <w:rFonts w:ascii="SourceSansPro" w:hAnsi="SourceSansPro"/>
          <w:b/>
          <w:bCs/>
          <w:sz w:val="22"/>
          <w:szCs w:val="22"/>
        </w:rPr>
        <w:t xml:space="preserve">Natural Days to Convert </w:t>
      </w:r>
    </w:p>
    <w:p w14:paraId="4202DEE4" w14:textId="77777777" w:rsidR="007503D2" w:rsidRDefault="007503D2" w:rsidP="007503D2">
      <w:pPr>
        <w:pStyle w:val="NormalWeb"/>
      </w:pPr>
      <w:r>
        <w:rPr>
          <w:rFonts w:ascii="SourceSansPro" w:hAnsi="SourceSansPro"/>
          <w:sz w:val="22"/>
          <w:szCs w:val="22"/>
        </w:rPr>
        <w:lastRenderedPageBreak/>
        <w:t xml:space="preserve">The average number of days it takes users, whether they’ve been served an ad or not, to go from a target zone to the conversion zone. </w:t>
      </w:r>
    </w:p>
    <w:p w14:paraId="032DB4F0" w14:textId="77777777" w:rsidR="007503D2" w:rsidRDefault="007503D2" w:rsidP="007503D2">
      <w:pPr>
        <w:pStyle w:val="NormalWeb"/>
      </w:pPr>
      <w:r>
        <w:rPr>
          <w:rFonts w:ascii="SourceSansPro" w:hAnsi="SourceSansPro"/>
          <w:b/>
          <w:bCs/>
          <w:sz w:val="22"/>
          <w:szCs w:val="22"/>
        </w:rPr>
        <w:t xml:space="preserve">Campaign Conversion Rate* </w:t>
      </w:r>
    </w:p>
    <w:p w14:paraId="0B830214" w14:textId="77777777" w:rsidR="007503D2" w:rsidRDefault="007503D2" w:rsidP="007503D2">
      <w:pPr>
        <w:pStyle w:val="NormalWeb"/>
      </w:pPr>
      <w:r>
        <w:rPr>
          <w:rFonts w:ascii="SourceSansPro" w:hAnsi="SourceSansPro"/>
          <w:sz w:val="22"/>
          <w:szCs w:val="22"/>
        </w:rPr>
        <w:t xml:space="preserve">The percentage of users who were detected in a target zone, were then served an ad, and then were detected in a conversion zone for the same campaign. </w:t>
      </w:r>
    </w:p>
    <w:p w14:paraId="3BF37729" w14:textId="77777777" w:rsidR="007503D2" w:rsidRDefault="007503D2" w:rsidP="007503D2">
      <w:pPr>
        <w:pStyle w:val="NormalWeb"/>
      </w:pPr>
      <w:r>
        <w:rPr>
          <w:rFonts w:ascii="SourceSansPro" w:hAnsi="SourceSansPro"/>
          <w:b/>
          <w:bCs/>
          <w:sz w:val="22"/>
          <w:szCs w:val="22"/>
        </w:rPr>
        <w:t xml:space="preserve">Campaign Days to Convert </w:t>
      </w:r>
    </w:p>
    <w:p w14:paraId="062F2BB7" w14:textId="77777777" w:rsidR="007503D2" w:rsidRDefault="007503D2" w:rsidP="007503D2">
      <w:pPr>
        <w:pStyle w:val="NormalWeb"/>
      </w:pPr>
      <w:r>
        <w:rPr>
          <w:rFonts w:ascii="SourceSansPro" w:hAnsi="SourceSansPro"/>
          <w:sz w:val="22"/>
          <w:szCs w:val="22"/>
        </w:rPr>
        <w:t xml:space="preserve">The average number of days it takes users who were served an ad to go from a target zone to the conversion zone. </w:t>
      </w:r>
    </w:p>
    <w:p w14:paraId="5AACCF24" w14:textId="77777777" w:rsidR="007503D2" w:rsidRDefault="007503D2" w:rsidP="007503D2">
      <w:pPr>
        <w:pStyle w:val="NormalWeb"/>
      </w:pPr>
      <w:r>
        <w:rPr>
          <w:rFonts w:ascii="Sintony" w:hAnsi="Sintony"/>
          <w:b/>
          <w:bCs/>
          <w:color w:val="02A3B7"/>
          <w:sz w:val="34"/>
          <w:szCs w:val="34"/>
        </w:rPr>
        <w:t xml:space="preserve">Geo-Conversion Lift Methodology </w:t>
      </w:r>
    </w:p>
    <w:p w14:paraId="329372BE" w14:textId="2F6158F3" w:rsidR="007503D2" w:rsidRDefault="007503D2" w:rsidP="007503D2">
      <w:pPr>
        <w:pStyle w:val="NormalWeb"/>
      </w:pPr>
      <w:r>
        <w:rPr>
          <w:rFonts w:ascii="SourceSansPro" w:hAnsi="SourceSansPro"/>
          <w:sz w:val="22"/>
          <w:szCs w:val="22"/>
        </w:rPr>
        <w:t>S</w:t>
      </w:r>
      <w:r w:rsidR="00C643FD">
        <w:rPr>
          <w:rFonts w:ascii="SourceSansPro" w:hAnsi="SourceSansPro"/>
          <w:sz w:val="22"/>
          <w:szCs w:val="22"/>
        </w:rPr>
        <w:t xml:space="preserve">MART Communities </w:t>
      </w:r>
      <w:r>
        <w:rPr>
          <w:rFonts w:ascii="SourceSansPro" w:hAnsi="SourceSansPro"/>
          <w:sz w:val="22"/>
          <w:szCs w:val="22"/>
        </w:rPr>
        <w:t>Natural Conversion Rate provides a convenient and intuitive baseline for comparison while avoiding</w:t>
      </w:r>
      <w:r w:rsidR="00C643FD">
        <w:rPr>
          <w:rFonts w:ascii="SourceSansPro" w:hAnsi="SourceSansPro"/>
          <w:sz w:val="22"/>
          <w:szCs w:val="22"/>
        </w:rPr>
        <w:t xml:space="preserve"> </w:t>
      </w:r>
      <w:r>
        <w:rPr>
          <w:rFonts w:ascii="SourceSansPro" w:hAnsi="SourceSansPro"/>
          <w:sz w:val="22"/>
          <w:szCs w:val="22"/>
        </w:rPr>
        <w:t>the complexity of a formal controlled experiment and</w:t>
      </w:r>
      <w:r w:rsidR="00C643FD">
        <w:rPr>
          <w:rFonts w:ascii="SourceSansPro" w:hAnsi="SourceSansPro"/>
          <w:sz w:val="22"/>
          <w:szCs w:val="22"/>
        </w:rPr>
        <w:t xml:space="preserve"> </w:t>
      </w:r>
      <w:r>
        <w:rPr>
          <w:rFonts w:ascii="SourceSansPro" w:hAnsi="SourceSansPro"/>
          <w:sz w:val="22"/>
          <w:szCs w:val="22"/>
        </w:rPr>
        <w:t xml:space="preserve">the expense of a holdout set. This means </w:t>
      </w:r>
      <w:r w:rsidR="00C643FD">
        <w:rPr>
          <w:rFonts w:ascii="SourceSansPro" w:hAnsi="SourceSansPro"/>
          <w:sz w:val="22"/>
          <w:szCs w:val="22"/>
        </w:rPr>
        <w:t>brands</w:t>
      </w:r>
      <w:r>
        <w:rPr>
          <w:rFonts w:ascii="SourceSansPro" w:hAnsi="SourceSansPro"/>
          <w:sz w:val="22"/>
          <w:szCs w:val="22"/>
        </w:rPr>
        <w:t xml:space="preserve"> do not need to dedicate what is traditionally 20% of their spend towards a hold-out set to accomplish a conversion lift metric. This is ideal for localized programmatic campaigns. It leverages </w:t>
      </w:r>
      <w:r w:rsidR="00C643FD">
        <w:rPr>
          <w:rFonts w:ascii="SourceSansPro" w:hAnsi="SourceSansPro"/>
          <w:sz w:val="22"/>
          <w:szCs w:val="22"/>
        </w:rPr>
        <w:t xml:space="preserve">SCT’s </w:t>
      </w:r>
      <w:r>
        <w:rPr>
          <w:rFonts w:ascii="SourceSansPro" w:hAnsi="SourceSansPro"/>
          <w:sz w:val="22"/>
          <w:szCs w:val="22"/>
        </w:rPr>
        <w:t xml:space="preserve">large mass of dynamic geo-location data to tell the target user’s story and build the foundation for a statistically rigorous comparison test. </w:t>
      </w:r>
    </w:p>
    <w:p w14:paraId="5DA5B49E" w14:textId="77777777" w:rsidR="007503D2" w:rsidRDefault="007503D2" w:rsidP="007503D2">
      <w:pPr>
        <w:pStyle w:val="NormalWeb"/>
      </w:pPr>
      <w:r>
        <w:rPr>
          <w:rFonts w:ascii="SourceSansPro" w:hAnsi="SourceSansPro"/>
          <w:b/>
          <w:bCs/>
          <w:sz w:val="22"/>
          <w:szCs w:val="22"/>
        </w:rPr>
        <w:t xml:space="preserve">Baseline vs. Holdout Set </w:t>
      </w:r>
    </w:p>
    <w:p w14:paraId="390F0A2F" w14:textId="301FC320" w:rsidR="007503D2" w:rsidRDefault="00C643FD" w:rsidP="007503D2">
      <w:pPr>
        <w:pStyle w:val="NormalWeb"/>
      </w:pPr>
      <w:r>
        <w:rPr>
          <w:rFonts w:ascii="SourceSansPro" w:hAnsi="SourceSansPro"/>
          <w:sz w:val="22"/>
          <w:szCs w:val="22"/>
        </w:rPr>
        <w:t xml:space="preserve">SCT </w:t>
      </w:r>
      <w:r w:rsidR="007503D2">
        <w:rPr>
          <w:rFonts w:ascii="SourceSansPro" w:hAnsi="SourceSansPro"/>
          <w:sz w:val="22"/>
          <w:szCs w:val="22"/>
        </w:rPr>
        <w:t xml:space="preserve">utilizes the Natural Conversion Rate as a baseline rather than a holdout set. This approach is well established statistically and often used in dynamic online application. It does not provide a cause-effect conclusion. Rather, the goal is an A/B comparison similar to A/B testing with the hypothesis, “Is the Natural Conversion Rate different than the Campaign Conversion Rate?” </w:t>
      </w:r>
    </w:p>
    <w:p w14:paraId="11067F6C" w14:textId="77777777" w:rsidR="007503D2" w:rsidRDefault="007503D2" w:rsidP="007503D2">
      <w:pPr>
        <w:pStyle w:val="NormalWeb"/>
      </w:pPr>
      <w:r>
        <w:rPr>
          <w:rFonts w:ascii="SourceSansPro" w:hAnsi="SourceSansPro"/>
          <w:b/>
          <w:bCs/>
          <w:sz w:val="22"/>
          <w:szCs w:val="22"/>
        </w:rPr>
        <w:t xml:space="preserve">Saturation Avoidance </w:t>
      </w:r>
    </w:p>
    <w:p w14:paraId="41531D9D" w14:textId="31984081" w:rsidR="007503D2" w:rsidRDefault="007503D2" w:rsidP="007503D2">
      <w:pPr>
        <w:pStyle w:val="NormalWeb"/>
      </w:pPr>
      <w:r>
        <w:rPr>
          <w:rFonts w:ascii="SourceSansPro" w:hAnsi="SourceSansPro"/>
          <w:sz w:val="22"/>
          <w:szCs w:val="22"/>
        </w:rPr>
        <w:t>S</w:t>
      </w:r>
      <w:r w:rsidR="00C643FD">
        <w:rPr>
          <w:rFonts w:ascii="SourceSansPro" w:hAnsi="SourceSansPro"/>
          <w:sz w:val="22"/>
          <w:szCs w:val="22"/>
        </w:rPr>
        <w:t xml:space="preserve">CT </w:t>
      </w:r>
      <w:r>
        <w:rPr>
          <w:rFonts w:ascii="SourceSansPro" w:hAnsi="SourceSansPro"/>
          <w:sz w:val="22"/>
          <w:szCs w:val="22"/>
        </w:rPr>
        <w:t xml:space="preserve">avoids the Natural Conversion Rate from becoming saturated with users who have been served an ad by not including them in the calculations. This may decrease the users in the baseline calculation, but the impact is negligible because of the preponderance of geo-location data. It also allows faster convergence to statistical significance because the two rates will be further apart. </w:t>
      </w:r>
    </w:p>
    <w:p w14:paraId="3314049E"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intony" w:eastAsia="Times New Roman" w:hAnsi="Sintony" w:cs="Times New Roman"/>
          <w:b/>
          <w:bCs/>
          <w:color w:val="02A3B7"/>
          <w:sz w:val="34"/>
          <w:szCs w:val="34"/>
        </w:rPr>
        <w:t xml:space="preserve">Addressable Geo-Fencing </w:t>
      </w:r>
    </w:p>
    <w:p w14:paraId="2201F372"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b/>
          <w:bCs/>
          <w:sz w:val="22"/>
          <w:szCs w:val="22"/>
        </w:rPr>
        <w:t xml:space="preserve">What is Addressable Geo-Fencing? </w:t>
      </w:r>
    </w:p>
    <w:p w14:paraId="3FE53248" w14:textId="752EF7AB"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sz w:val="22"/>
          <w:szCs w:val="22"/>
        </w:rPr>
        <w:t>S</w:t>
      </w:r>
      <w:r w:rsidR="00C643FD">
        <w:rPr>
          <w:rFonts w:ascii="SourceSansPro" w:eastAsia="Times New Roman" w:hAnsi="SourceSansPro" w:cs="Times New Roman"/>
          <w:sz w:val="22"/>
          <w:szCs w:val="22"/>
        </w:rPr>
        <w:t xml:space="preserve">CT </w:t>
      </w:r>
      <w:r w:rsidRPr="00837C81">
        <w:rPr>
          <w:rFonts w:ascii="SourceSansPro" w:eastAsia="Times New Roman" w:hAnsi="SourceSansPro" w:cs="Times New Roman"/>
          <w:sz w:val="22"/>
          <w:szCs w:val="22"/>
        </w:rPr>
        <w:t xml:space="preserve">Addressable Geo-Fencing brings </w:t>
      </w:r>
      <w:r w:rsidR="00C643FD">
        <w:rPr>
          <w:rFonts w:ascii="SourceSansPro" w:eastAsia="Times New Roman" w:hAnsi="SourceSansPro" w:cs="Times New Roman"/>
          <w:sz w:val="22"/>
          <w:szCs w:val="22"/>
        </w:rPr>
        <w:t xml:space="preserve">brands </w:t>
      </w:r>
      <w:r w:rsidRPr="00837C81">
        <w:rPr>
          <w:rFonts w:ascii="SourceSansPro" w:eastAsia="Times New Roman" w:hAnsi="SourceSansPro" w:cs="Times New Roman"/>
          <w:sz w:val="22"/>
          <w:szCs w:val="22"/>
        </w:rPr>
        <w:t xml:space="preserve">a powerful, efficient, and accurate new way to target specific households and businesses with digital advertising. </w:t>
      </w:r>
    </w:p>
    <w:p w14:paraId="28D94577" w14:textId="77777777" w:rsidR="00C643FD" w:rsidRDefault="00837C81" w:rsidP="00837C81">
      <w:p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Addressable Geo-Fencing can be used both as a stand-alone tactic and to improve the results of addressable TV campaigns, direct mail campaigns, and other marketing efforts that target specific households.</w:t>
      </w:r>
    </w:p>
    <w:p w14:paraId="56C6D423" w14:textId="0687F546" w:rsidR="00837C81" w:rsidRPr="00837C81" w:rsidRDefault="00837C81" w:rsidP="00837C81">
      <w:p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br/>
        <w:t xml:space="preserve">By extending the reach, improving the frequency, and providing foot traffic attribution, Addressable Geo-Fencing makes all household targeting efforts more effective. </w:t>
      </w:r>
    </w:p>
    <w:p w14:paraId="09F62168" w14:textId="77777777" w:rsidR="00C643FD" w:rsidRDefault="00837C81" w:rsidP="00837C81">
      <w:p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To use Addressable Geo-Fencing, advertisers upload up to 1 million street addresses into the S</w:t>
      </w:r>
      <w:r w:rsidR="00C643FD">
        <w:rPr>
          <w:rFonts w:ascii="SourceSansPro" w:eastAsia="Times New Roman" w:hAnsi="SourceSansPro" w:cs="Times New Roman"/>
          <w:sz w:val="22"/>
          <w:szCs w:val="22"/>
        </w:rPr>
        <w:t xml:space="preserve">CT </w:t>
      </w:r>
      <w:r w:rsidRPr="00837C81">
        <w:rPr>
          <w:rFonts w:ascii="SourceSansPro" w:eastAsia="Times New Roman" w:hAnsi="SourceSansPro" w:cs="Times New Roman"/>
          <w:sz w:val="22"/>
          <w:szCs w:val="22"/>
        </w:rPr>
        <w:t xml:space="preserve">platform. </w:t>
      </w:r>
      <w:r w:rsidRPr="00837C81">
        <w:rPr>
          <w:rFonts w:ascii="SourceSansPro" w:eastAsia="Times New Roman" w:hAnsi="SourceSansPro" w:cs="Times New Roman"/>
          <w:b/>
          <w:i/>
          <w:sz w:val="22"/>
          <w:szCs w:val="22"/>
        </w:rPr>
        <w:t xml:space="preserve">Those street addresses are then automatically converted into geo-fences that conform to the plat lines of each address. Then, devices seen within those plat lines </w:t>
      </w:r>
      <w:r w:rsidRPr="00837C81">
        <w:rPr>
          <w:rFonts w:ascii="SourceSansPro" w:eastAsia="Times New Roman" w:hAnsi="SourceSansPro" w:cs="Times New Roman"/>
          <w:sz w:val="22"/>
          <w:szCs w:val="22"/>
        </w:rPr>
        <w:t xml:space="preserve">are targeted with mobile, video, and/or OTT/CTV ads. </w:t>
      </w:r>
    </w:p>
    <w:p w14:paraId="3CD07820" w14:textId="01649008" w:rsidR="00837C81" w:rsidRPr="00837C81" w:rsidRDefault="00837C81" w:rsidP="00837C81">
      <w:pPr>
        <w:spacing w:before="100" w:beforeAutospacing="1" w:after="100" w:afterAutospacing="1"/>
        <w:rPr>
          <w:rFonts w:ascii="Times New Roman" w:eastAsia="Times New Roman" w:hAnsi="Times New Roman" w:cs="Times New Roman"/>
          <w:b/>
          <w:i/>
        </w:rPr>
      </w:pPr>
      <w:r w:rsidRPr="00837C81">
        <w:rPr>
          <w:rFonts w:ascii="SourceSansPro" w:eastAsia="Times New Roman" w:hAnsi="SourceSansPro" w:cs="Times New Roman"/>
          <w:sz w:val="22"/>
          <w:szCs w:val="22"/>
        </w:rPr>
        <w:t xml:space="preserve">Additional data targeting overlays can also be applied. </w:t>
      </w:r>
    </w:p>
    <w:p w14:paraId="249D2A36"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b/>
          <w:bCs/>
          <w:sz w:val="22"/>
          <w:szCs w:val="22"/>
        </w:rPr>
        <w:lastRenderedPageBreak/>
        <w:t xml:space="preserve">Why Use Addressable Geo-Fencing? </w:t>
      </w:r>
    </w:p>
    <w:p w14:paraId="3C691124" w14:textId="788DFCBD"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Highly</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precise.</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Targeting</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is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based</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off</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of</w:t>
      </w:r>
      <w:r w:rsidR="00C643FD">
        <w:rPr>
          <w:rFonts w:ascii="SourceSansPro" w:eastAsia="Times New Roman" w:hAnsi="SourceSansPro" w:cs="Times New Roman"/>
          <w:sz w:val="22"/>
          <w:szCs w:val="22"/>
        </w:rPr>
        <w:t xml:space="preserve"> </w:t>
      </w:r>
      <w:r w:rsidR="00C643FD" w:rsidRPr="00837C81">
        <w:rPr>
          <w:rFonts w:ascii="SourceSansPro" w:eastAsia="Times New Roman" w:hAnsi="SourceSansPro" w:cs="Times New Roman"/>
          <w:sz w:val="22"/>
          <w:szCs w:val="22"/>
        </w:rPr>
        <w:t>plat line</w:t>
      </w:r>
      <w:r w:rsidRPr="00837C81">
        <w:rPr>
          <w:rFonts w:ascii="SourceSansPro" w:eastAsia="Times New Roman" w:hAnsi="SourceSansPro" w:cs="Times New Roman"/>
          <w:sz w:val="22"/>
          <w:szCs w:val="22"/>
        </w:rPr>
        <w:t xml:space="preserve"> data from property tax and public land surveying information to maximize precision of addresses being targeted. </w:t>
      </w:r>
    </w:p>
    <w:p w14:paraId="25C35C69" w14:textId="77777777"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 xml:space="preserve">Highlyscalable.Upto1millionphysicaladdresses can be targeted per campaign. </w:t>
      </w:r>
    </w:p>
    <w:p w14:paraId="52BCE2D0" w14:textId="06FDA4B6"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Improved</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reach</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over</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IP-based</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solutions,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which</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are being limited due to truncation of IP addresses in programmatic advertising. </w:t>
      </w:r>
    </w:p>
    <w:p w14:paraId="33562805" w14:textId="0D2B9A23"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Provides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foot</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traffic</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attribution.</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Conversion Zones can be used with Addressable Geo-Fencing campaigns to track uplift in foot traffic to the advertiser’s location. </w:t>
      </w:r>
    </w:p>
    <w:p w14:paraId="0B4A1539" w14:textId="066C423E"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Improves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performance</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of</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addressable</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TV,</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direct mail, and other campaigns that target specific households by extending their reach, improving their frequency, and providing attribution. </w:t>
      </w:r>
    </w:p>
    <w:p w14:paraId="341CD12C" w14:textId="77777777"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 xml:space="preserve">Personalize creative based on address level intelligence. </w:t>
      </w:r>
    </w:p>
    <w:p w14:paraId="509157EE" w14:textId="1D1BF9ED"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Granular</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reporting.</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Report</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and</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breakdown campaign performance by ZIP+4 level. </w:t>
      </w:r>
    </w:p>
    <w:p w14:paraId="57951B24" w14:textId="319661BE" w:rsidR="00837C81" w:rsidRPr="00837C81" w:rsidRDefault="00837C81" w:rsidP="00837C81">
      <w:pPr>
        <w:numPr>
          <w:ilvl w:val="0"/>
          <w:numId w:val="2"/>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Cross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Device.</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Targets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all</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individuals</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at</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the</w:t>
      </w:r>
      <w:r w:rsidR="00C643FD">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address on multiple devices by leveraging S</w:t>
      </w:r>
      <w:r w:rsidR="00C643FD">
        <w:rPr>
          <w:rFonts w:ascii="SourceSansPro" w:eastAsia="Times New Roman" w:hAnsi="SourceSansPro" w:cs="Times New Roman"/>
          <w:sz w:val="22"/>
          <w:szCs w:val="22"/>
        </w:rPr>
        <w:t xml:space="preserve">CT’s </w:t>
      </w:r>
      <w:r w:rsidRPr="00837C81">
        <w:rPr>
          <w:rFonts w:ascii="SourceSansPro" w:eastAsia="Times New Roman" w:hAnsi="SourceSansPro" w:cs="Times New Roman"/>
          <w:sz w:val="22"/>
          <w:szCs w:val="22"/>
        </w:rPr>
        <w:t xml:space="preserve">cross-device </w:t>
      </w:r>
      <w:r w:rsidR="0060425B" w:rsidRPr="00837C81">
        <w:rPr>
          <w:rFonts w:ascii="SourceSansPro" w:eastAsia="Times New Roman" w:hAnsi="SourceSansPro" w:cs="Times New Roman"/>
          <w:sz w:val="22"/>
          <w:szCs w:val="22"/>
        </w:rPr>
        <w:t>graph and</w:t>
      </w:r>
      <w:r w:rsidRPr="00837C81">
        <w:rPr>
          <w:rFonts w:ascii="SourceSansPro" w:eastAsia="Times New Roman" w:hAnsi="SourceSansPro" w:cs="Times New Roman"/>
          <w:sz w:val="22"/>
          <w:szCs w:val="22"/>
        </w:rPr>
        <w:t xml:space="preserve"> enables targeting of devices for up to 30 days after they have left address. </w:t>
      </w:r>
    </w:p>
    <w:p w14:paraId="0E3F17E3" w14:textId="06E6E254" w:rsidR="00837C81" w:rsidRPr="00837C81" w:rsidRDefault="00837C81" w:rsidP="00837C81">
      <w:pPr>
        <w:numPr>
          <w:ilvl w:val="0"/>
          <w:numId w:val="3"/>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Effectively</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and</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efficiently</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on-board</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off</w:t>
      </w:r>
      <w:r w:rsidR="0060425B">
        <w:rPr>
          <w:rFonts w:ascii="SourceSansPro" w:eastAsia="Times New Roman" w:hAnsi="SourceSansPro" w:cs="Times New Roman"/>
          <w:sz w:val="22"/>
          <w:szCs w:val="22"/>
        </w:rPr>
        <w:t>-</w:t>
      </w:r>
      <w:r w:rsidRPr="00837C81">
        <w:rPr>
          <w:rFonts w:ascii="SourceSansPro" w:eastAsia="Times New Roman" w:hAnsi="SourceSansPro" w:cs="Times New Roman"/>
          <w:sz w:val="22"/>
          <w:szCs w:val="22"/>
        </w:rPr>
        <w:t>line</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data. </w:t>
      </w:r>
    </w:p>
    <w:p w14:paraId="258410D8" w14:textId="77777777" w:rsidR="00837C81" w:rsidRPr="00837C81" w:rsidRDefault="00837C81" w:rsidP="00837C81">
      <w:pPr>
        <w:spacing w:before="100" w:beforeAutospacing="1" w:after="100" w:afterAutospacing="1"/>
        <w:ind w:left="720"/>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 xml:space="preserve">Create granular audiences from CRM systems and other offline databases (e.g., automotive lease renewals, households using internet but not video/ cable, etc.). </w:t>
      </w:r>
    </w:p>
    <w:p w14:paraId="5686FCD8" w14:textId="55477EBD" w:rsidR="00837C81" w:rsidRPr="00837C81" w:rsidRDefault="00837C81" w:rsidP="00837C81">
      <w:pPr>
        <w:numPr>
          <w:ilvl w:val="0"/>
          <w:numId w:val="3"/>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Audiences</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are</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updated</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on</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a</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daily</w:t>
      </w:r>
      <w:r w:rsidR="0060425B">
        <w:rPr>
          <w:rFonts w:ascii="SourceSansPro" w:eastAsia="Times New Roman" w:hAnsi="SourceSansPro" w:cs="Times New Roman"/>
          <w:sz w:val="22"/>
          <w:szCs w:val="22"/>
        </w:rPr>
        <w:t xml:space="preserve"> </w:t>
      </w:r>
      <w:r w:rsidRPr="00837C81">
        <w:rPr>
          <w:rFonts w:ascii="SourceSansPro" w:eastAsia="Times New Roman" w:hAnsi="SourceSansPro" w:cs="Times New Roman"/>
          <w:sz w:val="22"/>
          <w:szCs w:val="22"/>
        </w:rPr>
        <w:t xml:space="preserve">basis. </w:t>
      </w:r>
    </w:p>
    <w:p w14:paraId="139EC429" w14:textId="77777777" w:rsidR="00837C81" w:rsidRPr="00837C81" w:rsidRDefault="00837C81" w:rsidP="00837C81">
      <w:pPr>
        <w:spacing w:before="100" w:beforeAutospacing="1" w:after="100" w:afterAutospacing="1"/>
        <w:ind w:left="720"/>
        <w:rPr>
          <w:rFonts w:ascii="SourceSansPro" w:eastAsia="Times New Roman" w:hAnsi="SourceSansPro" w:cs="Times New Roman"/>
          <w:sz w:val="22"/>
          <w:szCs w:val="22"/>
        </w:rPr>
      </w:pPr>
      <w:r w:rsidRPr="00837C81">
        <w:rPr>
          <w:rFonts w:ascii="SourceSansPro" w:eastAsia="Times New Roman" w:hAnsi="SourceSansPro" w:cs="Times New Roman"/>
          <w:b/>
          <w:bCs/>
          <w:sz w:val="22"/>
          <w:szCs w:val="22"/>
        </w:rPr>
        <w:t xml:space="preserve">How Addressable Geo-Fencing Works </w:t>
      </w:r>
    </w:p>
    <w:p w14:paraId="4CD81CA1" w14:textId="7B3C41D1" w:rsidR="00837C81" w:rsidRPr="00837C81" w:rsidRDefault="00837C81" w:rsidP="00837C81">
      <w:pPr>
        <w:numPr>
          <w:ilvl w:val="0"/>
          <w:numId w:val="4"/>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Physical addresses which an advertiser wants to target are uploaded into S</w:t>
      </w:r>
      <w:r w:rsidR="0060425B">
        <w:rPr>
          <w:rFonts w:ascii="SourceSansPro" w:eastAsia="Times New Roman" w:hAnsi="SourceSansPro" w:cs="Times New Roman"/>
          <w:sz w:val="22"/>
          <w:szCs w:val="22"/>
        </w:rPr>
        <w:t xml:space="preserve">CT </w:t>
      </w:r>
      <w:r w:rsidRPr="00837C81">
        <w:rPr>
          <w:rFonts w:ascii="SourceSansPro" w:eastAsia="Times New Roman" w:hAnsi="SourceSansPro" w:cs="Times New Roman"/>
          <w:sz w:val="22"/>
          <w:szCs w:val="22"/>
        </w:rPr>
        <w:t xml:space="preserve">platform. </w:t>
      </w:r>
    </w:p>
    <w:p w14:paraId="19CF2E1F" w14:textId="48C85D47" w:rsidR="00837C81" w:rsidRPr="00837C81" w:rsidRDefault="00837C81" w:rsidP="00837C81">
      <w:pPr>
        <w:numPr>
          <w:ilvl w:val="0"/>
          <w:numId w:val="4"/>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The addresses are then matched against plat line data to collect the exact physical location, size and shape of the individually matched address</w:t>
      </w:r>
      <w:r w:rsidR="00F12184">
        <w:rPr>
          <w:rFonts w:ascii="SourceSansPro" w:eastAsia="Times New Roman" w:hAnsi="SourceSansPro" w:cs="Times New Roman"/>
          <w:sz w:val="22"/>
          <w:szCs w:val="22"/>
        </w:rPr>
        <w:t>.</w:t>
      </w:r>
      <w:r w:rsidRPr="00837C81">
        <w:rPr>
          <w:rFonts w:ascii="SourceSansPro" w:eastAsia="Times New Roman" w:hAnsi="SourceSansPro" w:cs="Times New Roman"/>
          <w:sz w:val="22"/>
          <w:szCs w:val="22"/>
        </w:rPr>
        <w:t xml:space="preserve"> </w:t>
      </w:r>
    </w:p>
    <w:p w14:paraId="3C2928BD" w14:textId="12F3E37A" w:rsidR="00837C81" w:rsidRPr="00837C81" w:rsidRDefault="00837C81" w:rsidP="00837C81">
      <w:pPr>
        <w:numPr>
          <w:ilvl w:val="0"/>
          <w:numId w:val="4"/>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 xml:space="preserve">The system then geo-fences each matched address to collect and target users specific only to that distinct address location. If desired, desktop, laptop, and OTT/ CTV devices are also targeted through </w:t>
      </w:r>
      <w:r w:rsidR="00F12184">
        <w:rPr>
          <w:rFonts w:ascii="SourceSansPro" w:eastAsia="Times New Roman" w:hAnsi="SourceSansPro" w:cs="Times New Roman"/>
          <w:sz w:val="22"/>
          <w:szCs w:val="22"/>
        </w:rPr>
        <w:t xml:space="preserve">SCT </w:t>
      </w:r>
      <w:r w:rsidRPr="00837C81">
        <w:rPr>
          <w:rFonts w:ascii="SourceSansPro" w:eastAsia="Times New Roman" w:hAnsi="SourceSansPro" w:cs="Times New Roman"/>
          <w:sz w:val="22"/>
          <w:szCs w:val="22"/>
        </w:rPr>
        <w:t xml:space="preserve">cross device graph. </w:t>
      </w:r>
    </w:p>
    <w:p w14:paraId="120CAD76" w14:textId="77777777" w:rsidR="00837C81" w:rsidRPr="00837C81" w:rsidRDefault="00837C81" w:rsidP="00837C81">
      <w:pPr>
        <w:numPr>
          <w:ilvl w:val="0"/>
          <w:numId w:val="4"/>
        </w:numPr>
        <w:spacing w:before="100" w:beforeAutospacing="1" w:after="100" w:afterAutospacing="1"/>
        <w:rPr>
          <w:rFonts w:ascii="SourceSansPro" w:eastAsia="Times New Roman" w:hAnsi="SourceSansPro" w:cs="Times New Roman"/>
          <w:sz w:val="22"/>
          <w:szCs w:val="22"/>
        </w:rPr>
      </w:pPr>
      <w:r w:rsidRPr="00837C81">
        <w:rPr>
          <w:rFonts w:ascii="SourceSansPro" w:eastAsia="Times New Roman" w:hAnsi="SourceSansPro" w:cs="Times New Roman"/>
          <w:sz w:val="22"/>
          <w:szCs w:val="22"/>
        </w:rPr>
        <w:t xml:space="preserve">Audiences at every single address are updated on a daily basis. </w:t>
      </w:r>
    </w:p>
    <w:p w14:paraId="0B673055" w14:textId="344CA68B"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sz w:val="22"/>
          <w:szCs w:val="22"/>
        </w:rPr>
        <w:t>Within S</w:t>
      </w:r>
      <w:r w:rsidR="00F12184">
        <w:rPr>
          <w:rFonts w:ascii="SourceSansPro" w:eastAsia="Times New Roman" w:hAnsi="SourceSansPro" w:cs="Times New Roman"/>
          <w:sz w:val="22"/>
          <w:szCs w:val="22"/>
        </w:rPr>
        <w:t xml:space="preserve">CT’s </w:t>
      </w:r>
      <w:r w:rsidRPr="00837C81">
        <w:rPr>
          <w:rFonts w:ascii="SourceSansPro" w:eastAsia="Times New Roman" w:hAnsi="SourceSansPro" w:cs="Times New Roman"/>
          <w:sz w:val="22"/>
          <w:szCs w:val="22"/>
        </w:rPr>
        <w:t xml:space="preserve">programmatic platform, lists of addresses are easily onboarded, matched and scrubbed of any personally identifiable information so that there is no risk of breach in privacy. </w:t>
      </w:r>
    </w:p>
    <w:p w14:paraId="10B5E3A8"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b/>
          <w:bCs/>
          <w:sz w:val="22"/>
          <w:szCs w:val="22"/>
        </w:rPr>
        <w:t xml:space="preserve">Addressable Geo-Fencing Specs </w:t>
      </w:r>
    </w:p>
    <w:p w14:paraId="2CEB4F0B"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sz w:val="22"/>
          <w:szCs w:val="22"/>
        </w:rPr>
        <w:t xml:space="preserve">• </w:t>
      </w:r>
      <w:r w:rsidRPr="00837C81">
        <w:rPr>
          <w:rFonts w:ascii="SourceSansPro" w:eastAsia="Times New Roman" w:hAnsi="SourceSansPro" w:cs="Times New Roman"/>
          <w:b/>
          <w:bCs/>
          <w:sz w:val="22"/>
          <w:szCs w:val="22"/>
        </w:rPr>
        <w:t xml:space="preserve">File Type: </w:t>
      </w:r>
      <w:r w:rsidRPr="00837C81">
        <w:rPr>
          <w:rFonts w:ascii="SourceSansPro" w:eastAsia="Times New Roman" w:hAnsi="SourceSansPro" w:cs="Times New Roman"/>
          <w:sz w:val="22"/>
          <w:szCs w:val="22"/>
        </w:rPr>
        <w:t>.CSV, limited to one million addresses.</w:t>
      </w:r>
      <w:r w:rsidRPr="00837C81">
        <w:rPr>
          <w:rFonts w:ascii="SourceSansPro" w:eastAsia="Times New Roman" w:hAnsi="SourceSansPro" w:cs="Times New Roman"/>
          <w:sz w:val="22"/>
          <w:szCs w:val="22"/>
        </w:rPr>
        <w:br/>
        <w:t xml:space="preserve">• </w:t>
      </w:r>
      <w:r w:rsidRPr="00837C81">
        <w:rPr>
          <w:rFonts w:ascii="SourceSansPro" w:eastAsia="Times New Roman" w:hAnsi="SourceSansPro" w:cs="Times New Roman"/>
          <w:b/>
          <w:bCs/>
          <w:sz w:val="22"/>
          <w:szCs w:val="22"/>
        </w:rPr>
        <w:t xml:space="preserve">Address Format: </w:t>
      </w:r>
      <w:r w:rsidRPr="00837C81">
        <w:rPr>
          <w:rFonts w:ascii="SourceSansPro" w:eastAsia="Times New Roman" w:hAnsi="SourceSansPro" w:cs="Times New Roman"/>
          <w:sz w:val="22"/>
          <w:szCs w:val="22"/>
        </w:rPr>
        <w:t xml:space="preserve">Address, city, and state required. </w:t>
      </w:r>
    </w:p>
    <w:p w14:paraId="5A441683"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sz w:val="22"/>
          <w:szCs w:val="22"/>
        </w:rPr>
        <w:t xml:space="preserve">For best match results, please use USPS formatting. • </w:t>
      </w:r>
      <w:r w:rsidRPr="00837C81">
        <w:rPr>
          <w:rFonts w:ascii="SourceSansPro" w:eastAsia="Times New Roman" w:hAnsi="SourceSansPro" w:cs="Times New Roman"/>
          <w:b/>
          <w:bCs/>
          <w:sz w:val="22"/>
          <w:szCs w:val="22"/>
        </w:rPr>
        <w:t xml:space="preserve">Creative Types: </w:t>
      </w:r>
      <w:r w:rsidRPr="00837C81">
        <w:rPr>
          <w:rFonts w:ascii="SourceSansPro" w:eastAsia="Times New Roman" w:hAnsi="SourceSansPro" w:cs="Times New Roman"/>
          <w:sz w:val="22"/>
          <w:szCs w:val="22"/>
        </w:rPr>
        <w:t xml:space="preserve">Addressable Geo-Fencing can be </w:t>
      </w:r>
    </w:p>
    <w:p w14:paraId="01207E4E" w14:textId="77777777" w:rsidR="00837C81" w:rsidRPr="00837C81" w:rsidRDefault="00837C81" w:rsidP="00837C81">
      <w:pPr>
        <w:spacing w:before="100" w:beforeAutospacing="1" w:after="100" w:afterAutospacing="1"/>
        <w:rPr>
          <w:rFonts w:ascii="Times New Roman" w:eastAsia="Times New Roman" w:hAnsi="Times New Roman" w:cs="Times New Roman"/>
        </w:rPr>
      </w:pPr>
      <w:r w:rsidRPr="00837C81">
        <w:rPr>
          <w:rFonts w:ascii="SourceSansPro" w:eastAsia="Times New Roman" w:hAnsi="SourceSansPro" w:cs="Times New Roman"/>
          <w:sz w:val="22"/>
          <w:szCs w:val="22"/>
        </w:rPr>
        <w:t xml:space="preserve">deployed using any creative types in our system. • </w:t>
      </w:r>
      <w:r w:rsidRPr="00837C81">
        <w:rPr>
          <w:rFonts w:ascii="SourceSansPro" w:eastAsia="Times New Roman" w:hAnsi="SourceSansPro" w:cs="Times New Roman"/>
          <w:b/>
          <w:bCs/>
          <w:sz w:val="22"/>
          <w:szCs w:val="22"/>
        </w:rPr>
        <w:t xml:space="preserve">Anticipated Match Rate: </w:t>
      </w:r>
      <w:r w:rsidRPr="00837C81">
        <w:rPr>
          <w:rFonts w:ascii="SourceSansPro" w:eastAsia="Times New Roman" w:hAnsi="SourceSansPro" w:cs="Times New Roman"/>
          <w:sz w:val="22"/>
          <w:szCs w:val="22"/>
        </w:rPr>
        <w:t xml:space="preserve">90% or above. </w:t>
      </w:r>
    </w:p>
    <w:p w14:paraId="44077CC0"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intony" w:eastAsia="Times New Roman" w:hAnsi="Sintony" w:cs="Times New Roman"/>
          <w:b/>
          <w:bCs/>
          <w:color w:val="02A3B7"/>
          <w:sz w:val="34"/>
          <w:szCs w:val="34"/>
        </w:rPr>
        <w:t xml:space="preserve">Programmatic Video Options </w:t>
      </w:r>
    </w:p>
    <w:p w14:paraId="6E499C87"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Pre-Roll Video Ads </w:t>
      </w:r>
    </w:p>
    <w:p w14:paraId="1906CB86"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appearing before free video content from publishers such as local news sites, CNN, Forbes, ABC Family, and MLB.com. </w:t>
      </w:r>
    </w:p>
    <w:p w14:paraId="769E6425" w14:textId="77777777" w:rsidR="00F12184" w:rsidRDefault="00F12184" w:rsidP="00122D37">
      <w:pPr>
        <w:spacing w:before="100" w:beforeAutospacing="1" w:after="100" w:afterAutospacing="1"/>
        <w:rPr>
          <w:rFonts w:ascii="SourceSansPro" w:eastAsia="Times New Roman" w:hAnsi="SourceSansPro" w:cs="Times New Roman"/>
          <w:b/>
          <w:bCs/>
          <w:sz w:val="22"/>
          <w:szCs w:val="22"/>
        </w:rPr>
      </w:pPr>
    </w:p>
    <w:p w14:paraId="34BA9D7C" w14:textId="7B9DFA75"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lastRenderedPageBreak/>
        <w:t xml:space="preserve">Mid-Roll Video Ads </w:t>
      </w:r>
    </w:p>
    <w:p w14:paraId="763874A9"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appearing within longer video content as when streaming complete television episodes. </w:t>
      </w:r>
    </w:p>
    <w:p w14:paraId="6EE076B2"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Post-Roll Video Ads </w:t>
      </w:r>
    </w:p>
    <w:p w14:paraId="34367BE2"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appearing at the end of online video content. </w:t>
      </w:r>
    </w:p>
    <w:p w14:paraId="293B5243"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Non-Skippable Ads </w:t>
      </w:r>
    </w:p>
    <w:p w14:paraId="63CFA0EA"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15 seconds or less in length ensuring users must completely view the ad before continuing to their free video content. </w:t>
      </w:r>
    </w:p>
    <w:p w14:paraId="2F5D2346"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Skippable Ads </w:t>
      </w:r>
    </w:p>
    <w:p w14:paraId="231F0E59"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longer than 15 seconds in length with the option to skip after the first five seconds. </w:t>
      </w:r>
    </w:p>
    <w:p w14:paraId="79761E9B"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In-Banner Video </w:t>
      </w:r>
    </w:p>
    <w:p w14:paraId="43811BF1"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converted to run in standard display banner spaces. </w:t>
      </w:r>
    </w:p>
    <w:p w14:paraId="4B19BB4D"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Targeting </w:t>
      </w:r>
    </w:p>
    <w:p w14:paraId="35334F24" w14:textId="565CA11F"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Layer on other </w:t>
      </w:r>
      <w:r w:rsidR="00F12184">
        <w:rPr>
          <w:rFonts w:ascii="SourceSansPro" w:eastAsia="Times New Roman" w:hAnsi="SourceSansPro" w:cs="Times New Roman"/>
          <w:sz w:val="22"/>
          <w:szCs w:val="22"/>
        </w:rPr>
        <w:t xml:space="preserve">SCT </w:t>
      </w:r>
      <w:r w:rsidRPr="00122D37">
        <w:rPr>
          <w:rFonts w:ascii="SourceSansPro" w:eastAsia="Times New Roman" w:hAnsi="SourceSansPro" w:cs="Times New Roman"/>
          <w:sz w:val="22"/>
          <w:szCs w:val="22"/>
        </w:rPr>
        <w:t xml:space="preserve">targeting tactics to optimize performance to reach the right user at the right time. With a large enough geo, </w:t>
      </w:r>
      <w:r w:rsidR="00F12184">
        <w:rPr>
          <w:rFonts w:ascii="SourceSansPro" w:eastAsia="Times New Roman" w:hAnsi="SourceSansPro" w:cs="Times New Roman"/>
          <w:sz w:val="22"/>
          <w:szCs w:val="22"/>
        </w:rPr>
        <w:t xml:space="preserve">SCT </w:t>
      </w:r>
      <w:r w:rsidRPr="00122D37">
        <w:rPr>
          <w:rFonts w:ascii="SourceSansPro" w:eastAsia="Times New Roman" w:hAnsi="SourceSansPro" w:cs="Times New Roman"/>
          <w:sz w:val="22"/>
          <w:szCs w:val="22"/>
        </w:rPr>
        <w:t xml:space="preserve">can target users with site and search retargeting as well as keyword and category contextual </w:t>
      </w:r>
      <w:proofErr w:type="gramStart"/>
      <w:r w:rsidRPr="00122D37">
        <w:rPr>
          <w:rFonts w:ascii="SourceSansPro" w:eastAsia="Times New Roman" w:hAnsi="SourceSansPro" w:cs="Times New Roman"/>
          <w:sz w:val="22"/>
          <w:szCs w:val="22"/>
        </w:rPr>
        <w:t>targeting.*</w:t>
      </w:r>
      <w:proofErr w:type="gramEnd"/>
      <w:r w:rsidRPr="00122D37">
        <w:rPr>
          <w:rFonts w:ascii="SourceSansPro" w:eastAsia="Times New Roman" w:hAnsi="SourceSansPro" w:cs="Times New Roman"/>
          <w:sz w:val="22"/>
          <w:szCs w:val="22"/>
        </w:rPr>
        <w:t xml:space="preserve"> </w:t>
      </w:r>
    </w:p>
    <w:p w14:paraId="0C6FED93" w14:textId="4708F49E"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intony" w:eastAsia="Times New Roman" w:hAnsi="Sintony" w:cs="Times New Roman"/>
          <w:b/>
          <w:bCs/>
          <w:color w:val="02A3B7"/>
          <w:sz w:val="34"/>
          <w:szCs w:val="34"/>
        </w:rPr>
        <w:t>S</w:t>
      </w:r>
      <w:r w:rsidR="00F12184">
        <w:rPr>
          <w:rFonts w:ascii="Sintony" w:eastAsia="Times New Roman" w:hAnsi="Sintony" w:cs="Times New Roman"/>
          <w:b/>
          <w:bCs/>
          <w:color w:val="02A3B7"/>
          <w:sz w:val="34"/>
          <w:szCs w:val="34"/>
        </w:rPr>
        <w:t xml:space="preserve">CT </w:t>
      </w:r>
      <w:r w:rsidRPr="00122D37">
        <w:rPr>
          <w:rFonts w:ascii="Sintony" w:eastAsia="Times New Roman" w:hAnsi="Sintony" w:cs="Times New Roman"/>
          <w:b/>
          <w:bCs/>
          <w:color w:val="02A3B7"/>
          <w:sz w:val="34"/>
          <w:szCs w:val="34"/>
        </w:rPr>
        <w:t xml:space="preserve">Video Advantages </w:t>
      </w:r>
    </w:p>
    <w:p w14:paraId="3CF9DD8B"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Premium Inventory </w:t>
      </w:r>
    </w:p>
    <w:p w14:paraId="58B4FFBA"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i/>
          <w:iCs/>
          <w:sz w:val="22"/>
          <w:szCs w:val="22"/>
        </w:rPr>
        <w:t xml:space="preserve">17 billion auctions per month across 200 premium publishers </w:t>
      </w:r>
    </w:p>
    <w:p w14:paraId="32C3616E" w14:textId="414E04C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Although total programmatic video inventory is less than display’s (only around 1% of all programmatic inventory), </w:t>
      </w:r>
      <w:r w:rsidR="00F12184">
        <w:rPr>
          <w:rFonts w:ascii="SourceSansPro" w:eastAsia="Times New Roman" w:hAnsi="SourceSansPro" w:cs="Times New Roman"/>
          <w:sz w:val="22"/>
          <w:szCs w:val="22"/>
        </w:rPr>
        <w:t xml:space="preserve">SCT </w:t>
      </w:r>
      <w:r w:rsidRPr="00122D37">
        <w:rPr>
          <w:rFonts w:ascii="SourceSansPro" w:eastAsia="Times New Roman" w:hAnsi="SourceSansPro" w:cs="Times New Roman"/>
          <w:sz w:val="22"/>
          <w:szCs w:val="22"/>
        </w:rPr>
        <w:t xml:space="preserve">works with exchanges such as SpotXchange and </w:t>
      </w:r>
      <w:proofErr w:type="spellStart"/>
      <w:r w:rsidRPr="00122D37">
        <w:rPr>
          <w:rFonts w:ascii="SourceSansPro" w:eastAsia="Times New Roman" w:hAnsi="SourceSansPro" w:cs="Times New Roman"/>
          <w:sz w:val="22"/>
          <w:szCs w:val="22"/>
        </w:rPr>
        <w:t>AdX</w:t>
      </w:r>
      <w:proofErr w:type="spellEnd"/>
      <w:r w:rsidRPr="00122D37">
        <w:rPr>
          <w:rFonts w:ascii="SourceSansPro" w:eastAsia="Times New Roman" w:hAnsi="SourceSansPro" w:cs="Times New Roman"/>
          <w:sz w:val="22"/>
          <w:szCs w:val="22"/>
        </w:rPr>
        <w:t xml:space="preserve"> (DoubleClick) to ensure your video ads are seen by users on premium publishers and mobile apps. </w:t>
      </w:r>
    </w:p>
    <w:p w14:paraId="0C7D9128"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Ad Placement </w:t>
      </w:r>
    </w:p>
    <w:p w14:paraId="483656FD"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Video ads appear above the fold for the best viewability in programmatic advertising. </w:t>
      </w:r>
      <w:bookmarkStart w:id="0" w:name="_GoBack"/>
      <w:bookmarkEnd w:id="0"/>
    </w:p>
    <w:p w14:paraId="67B40F3C"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Transparent Reporting Metrics </w:t>
      </w:r>
    </w:p>
    <w:p w14:paraId="01B95D26"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Video ads include complete transparent reporting: • Number of impressions served</w:t>
      </w:r>
      <w:r w:rsidRPr="00122D37">
        <w:rPr>
          <w:rFonts w:ascii="SourceSansPro" w:eastAsia="Times New Roman" w:hAnsi="SourceSansPro" w:cs="Times New Roman"/>
          <w:sz w:val="22"/>
          <w:szCs w:val="22"/>
        </w:rPr>
        <w:br/>
        <w:t>• Number of clicks</w:t>
      </w:r>
      <w:r w:rsidRPr="00122D37">
        <w:rPr>
          <w:rFonts w:ascii="SourceSansPro" w:eastAsia="Times New Roman" w:hAnsi="SourceSansPro" w:cs="Times New Roman"/>
          <w:sz w:val="22"/>
          <w:szCs w:val="22"/>
        </w:rPr>
        <w:br/>
        <w:t xml:space="preserve">• Where the ads were served </w:t>
      </w:r>
    </w:p>
    <w:p w14:paraId="3F3720F2"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Interstitial</w:t>
      </w:r>
      <w:r w:rsidRPr="00122D37">
        <w:rPr>
          <w:rFonts w:ascii="SourceSansPro" w:eastAsia="Times New Roman" w:hAnsi="SourceSansPro" w:cs="Times New Roman"/>
          <w:sz w:val="22"/>
          <w:szCs w:val="22"/>
        </w:rPr>
        <w:br/>
        <w:t>— In-stream</w:t>
      </w:r>
      <w:r w:rsidRPr="00122D37">
        <w:rPr>
          <w:rFonts w:ascii="SourceSansPro" w:eastAsia="Times New Roman" w:hAnsi="SourceSansPro" w:cs="Times New Roman"/>
          <w:sz w:val="22"/>
          <w:szCs w:val="22"/>
        </w:rPr>
        <w:br/>
        <w:t xml:space="preserve">— In-stream Pre-Roll — In-stream Mid-Roll — In-stream Post-Roll </w:t>
      </w:r>
    </w:p>
    <w:p w14:paraId="40F7A8DA"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lastRenderedPageBreak/>
        <w:t>• Number of users who watched the ad completely — First quartile</w:t>
      </w:r>
      <w:r w:rsidRPr="00122D37">
        <w:rPr>
          <w:rFonts w:ascii="SourceSansPro" w:eastAsia="Times New Roman" w:hAnsi="SourceSansPro" w:cs="Times New Roman"/>
          <w:sz w:val="22"/>
          <w:szCs w:val="22"/>
        </w:rPr>
        <w:br/>
        <w:t>— Midpoint</w:t>
      </w:r>
      <w:r w:rsidRPr="00122D37">
        <w:rPr>
          <w:rFonts w:ascii="SourceSansPro" w:eastAsia="Times New Roman" w:hAnsi="SourceSansPro" w:cs="Times New Roman"/>
          <w:sz w:val="22"/>
          <w:szCs w:val="22"/>
        </w:rPr>
        <w:br/>
        <w:t xml:space="preserve">— Third quartile </w:t>
      </w:r>
    </w:p>
    <w:p w14:paraId="781581DE"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 Total completions </w:t>
      </w:r>
    </w:p>
    <w:p w14:paraId="6C241735" w14:textId="1C4476C8"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Completion Rate</w:t>
      </w:r>
      <w:r w:rsidRPr="00122D37">
        <w:rPr>
          <w:rFonts w:ascii="SourceSansPro" w:eastAsia="Times New Roman" w:hAnsi="SourceSansPro" w:cs="Times New Roman"/>
          <w:sz w:val="22"/>
          <w:szCs w:val="22"/>
        </w:rPr>
        <w:br/>
        <w:t>• Number of users who muted or unmuted the ad</w:t>
      </w:r>
      <w:r w:rsidRPr="00122D37">
        <w:rPr>
          <w:rFonts w:ascii="SourceSansPro" w:eastAsia="Times New Roman" w:hAnsi="SourceSansPro" w:cs="Times New Roman"/>
          <w:sz w:val="22"/>
          <w:szCs w:val="22"/>
        </w:rPr>
        <w:br/>
        <w:t>• Number of users who paused or un</w:t>
      </w:r>
      <w:r w:rsidR="00A524F2">
        <w:rPr>
          <w:rFonts w:ascii="SourceSansPro" w:eastAsia="Times New Roman" w:hAnsi="SourceSansPro" w:cs="Times New Roman"/>
          <w:sz w:val="22"/>
          <w:szCs w:val="22"/>
        </w:rPr>
        <w:t>-</w:t>
      </w:r>
      <w:r w:rsidRPr="00122D37">
        <w:rPr>
          <w:rFonts w:ascii="SourceSansPro" w:eastAsia="Times New Roman" w:hAnsi="SourceSansPro" w:cs="Times New Roman"/>
          <w:sz w:val="22"/>
          <w:szCs w:val="22"/>
        </w:rPr>
        <w:t xml:space="preserve">paused the ad • Number of users who watched the ad full screen </w:t>
      </w:r>
    </w:p>
    <w:p w14:paraId="3F9B4C4F"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b/>
          <w:bCs/>
          <w:sz w:val="22"/>
          <w:szCs w:val="22"/>
        </w:rPr>
        <w:t xml:space="preserve">Global Distribution </w:t>
      </w:r>
    </w:p>
    <w:p w14:paraId="43CB3682" w14:textId="012E0F33" w:rsidR="00122D37" w:rsidRPr="00122D37" w:rsidRDefault="00F12184" w:rsidP="00122D37">
      <w:pPr>
        <w:spacing w:before="100" w:beforeAutospacing="1" w:after="100" w:afterAutospacing="1"/>
        <w:rPr>
          <w:rFonts w:ascii="Times New Roman" w:eastAsia="Times New Roman" w:hAnsi="Times New Roman" w:cs="Times New Roman"/>
        </w:rPr>
      </w:pPr>
      <w:r>
        <w:rPr>
          <w:rFonts w:ascii="SourceSansPro" w:eastAsia="Times New Roman" w:hAnsi="SourceSansPro" w:cs="Times New Roman"/>
          <w:sz w:val="22"/>
          <w:szCs w:val="22"/>
        </w:rPr>
        <w:t xml:space="preserve">SCT </w:t>
      </w:r>
      <w:r w:rsidR="00122D37" w:rsidRPr="00122D37">
        <w:rPr>
          <w:rFonts w:ascii="SourceSansPro" w:eastAsia="Times New Roman" w:hAnsi="SourceSansPro" w:cs="Times New Roman"/>
          <w:sz w:val="22"/>
          <w:szCs w:val="22"/>
        </w:rPr>
        <w:t xml:space="preserve">can serve video ads across the globe including the United States, English-speaking countries, Latin America, and Europe. </w:t>
      </w:r>
    </w:p>
    <w:p w14:paraId="65F701D3"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intony" w:eastAsia="Times New Roman" w:hAnsi="Sintony" w:cs="Times New Roman"/>
          <w:b/>
          <w:bCs/>
          <w:color w:val="02A3B7"/>
          <w:sz w:val="34"/>
          <w:szCs w:val="34"/>
        </w:rPr>
        <w:t xml:space="preserve">The Advantages of Adding Video </w:t>
      </w:r>
    </w:p>
    <w:p w14:paraId="500DEB5F"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Create a programmatic video audience to match your TV audience. </w:t>
      </w:r>
    </w:p>
    <w:p w14:paraId="410B6EAF" w14:textId="128A7BE6"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Leverage your TV budgets and creative assets to extend into digital advertising. If you don’t have the assets for TV, programmatic video is a more </w:t>
      </w:r>
      <w:r w:rsidR="00F12184" w:rsidRPr="00122D37">
        <w:rPr>
          <w:rFonts w:ascii="SourceSansPro" w:eastAsia="Times New Roman" w:hAnsi="SourceSansPro" w:cs="Times New Roman"/>
          <w:sz w:val="22"/>
          <w:szCs w:val="22"/>
        </w:rPr>
        <w:t>cost-effective</w:t>
      </w:r>
      <w:r w:rsidRPr="00122D37">
        <w:rPr>
          <w:rFonts w:ascii="SourceSansPro" w:eastAsia="Times New Roman" w:hAnsi="SourceSansPro" w:cs="Times New Roman"/>
          <w:sz w:val="22"/>
          <w:szCs w:val="22"/>
        </w:rPr>
        <w:t xml:space="preserve"> alternative. </w:t>
      </w:r>
    </w:p>
    <w:p w14:paraId="6EA1FAE0" w14:textId="77777777" w:rsidR="00122D37" w:rsidRPr="00122D37" w:rsidRDefault="00122D37" w:rsidP="00122D37">
      <w:pPr>
        <w:spacing w:before="100" w:beforeAutospacing="1" w:after="100" w:afterAutospacing="1"/>
        <w:rPr>
          <w:rFonts w:ascii="Times New Roman" w:eastAsia="Times New Roman" w:hAnsi="Times New Roman" w:cs="Times New Roman"/>
        </w:rPr>
      </w:pPr>
      <w:r w:rsidRPr="00122D37">
        <w:rPr>
          <w:rFonts w:ascii="SourceSansPro" w:eastAsia="Times New Roman" w:hAnsi="SourceSansPro" w:cs="Times New Roman"/>
          <w:sz w:val="22"/>
          <w:szCs w:val="22"/>
        </w:rPr>
        <w:t xml:space="preserve">Extend your TV audience’s reach online using look-alikes through search, keyword contextual, and whitelist targeting tactics. </w:t>
      </w:r>
    </w:p>
    <w:p w14:paraId="566F708B" w14:textId="77777777" w:rsidR="007503D2" w:rsidRDefault="007503D2"/>
    <w:p w14:paraId="48A239F2" w14:textId="77777777" w:rsidR="00225D26" w:rsidRDefault="00225D26"/>
    <w:p w14:paraId="480CD866" w14:textId="77777777" w:rsidR="00B0368A" w:rsidRDefault="00B0368A"/>
    <w:sectPr w:rsidR="00B0368A" w:rsidSect="00425B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ntony">
    <w:altName w:val="Cambria"/>
    <w:panose1 w:val="020B0604020202020204"/>
    <w:charset w:val="00"/>
    <w:family w:val="roman"/>
    <w:pitch w:val="default"/>
  </w:font>
  <w:font w:name="SourceSansPr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21B7F"/>
    <w:multiLevelType w:val="multilevel"/>
    <w:tmpl w:val="FDCA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B5FFB"/>
    <w:multiLevelType w:val="multilevel"/>
    <w:tmpl w:val="BC1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959D2"/>
    <w:multiLevelType w:val="multilevel"/>
    <w:tmpl w:val="4BFC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854BE"/>
    <w:multiLevelType w:val="hybridMultilevel"/>
    <w:tmpl w:val="2E3C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8A"/>
    <w:rsid w:val="000C72B2"/>
    <w:rsid w:val="00122D37"/>
    <w:rsid w:val="0015313E"/>
    <w:rsid w:val="00225D26"/>
    <w:rsid w:val="002626C9"/>
    <w:rsid w:val="003031EB"/>
    <w:rsid w:val="00425B81"/>
    <w:rsid w:val="004B32DF"/>
    <w:rsid w:val="0060425B"/>
    <w:rsid w:val="007503D2"/>
    <w:rsid w:val="00825D97"/>
    <w:rsid w:val="00837C81"/>
    <w:rsid w:val="008A2622"/>
    <w:rsid w:val="009E1FC8"/>
    <w:rsid w:val="00A524F2"/>
    <w:rsid w:val="00A90D77"/>
    <w:rsid w:val="00B0368A"/>
    <w:rsid w:val="00C640A2"/>
    <w:rsid w:val="00C643FD"/>
    <w:rsid w:val="00D96DF0"/>
    <w:rsid w:val="00DF7697"/>
    <w:rsid w:val="00E54E4C"/>
    <w:rsid w:val="00F12184"/>
    <w:rsid w:val="00F5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FBBC"/>
  <w15:chartTrackingRefBased/>
  <w15:docId w15:val="{F58E8210-D213-7E4C-86C1-DBBBD788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D26"/>
    <w:pPr>
      <w:ind w:left="720"/>
      <w:contextualSpacing/>
    </w:pPr>
  </w:style>
  <w:style w:type="paragraph" w:styleId="NormalWeb">
    <w:name w:val="Normal (Web)"/>
    <w:basedOn w:val="Normal"/>
    <w:uiPriority w:val="99"/>
    <w:semiHidden/>
    <w:unhideWhenUsed/>
    <w:rsid w:val="007503D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B32DF"/>
    <w:rPr>
      <w:color w:val="0563C1" w:themeColor="hyperlink"/>
      <w:u w:val="single"/>
    </w:rPr>
  </w:style>
  <w:style w:type="character" w:styleId="UnresolvedMention">
    <w:name w:val="Unresolved Mention"/>
    <w:basedOn w:val="DefaultParagraphFont"/>
    <w:uiPriority w:val="99"/>
    <w:semiHidden/>
    <w:unhideWhenUsed/>
    <w:rsid w:val="004B32DF"/>
    <w:rPr>
      <w:color w:val="605E5C"/>
      <w:shd w:val="clear" w:color="auto" w:fill="E1DFDD"/>
    </w:rPr>
  </w:style>
  <w:style w:type="character" w:styleId="FollowedHyperlink">
    <w:name w:val="FollowedHyperlink"/>
    <w:basedOn w:val="DefaultParagraphFont"/>
    <w:uiPriority w:val="99"/>
    <w:semiHidden/>
    <w:unhideWhenUsed/>
    <w:rsid w:val="004B3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5249">
      <w:bodyDiv w:val="1"/>
      <w:marLeft w:val="0"/>
      <w:marRight w:val="0"/>
      <w:marTop w:val="0"/>
      <w:marBottom w:val="0"/>
      <w:divBdr>
        <w:top w:val="none" w:sz="0" w:space="0" w:color="auto"/>
        <w:left w:val="none" w:sz="0" w:space="0" w:color="auto"/>
        <w:bottom w:val="none" w:sz="0" w:space="0" w:color="auto"/>
        <w:right w:val="none" w:sz="0" w:space="0" w:color="auto"/>
      </w:divBdr>
      <w:divsChild>
        <w:div w:id="1766460651">
          <w:marLeft w:val="0"/>
          <w:marRight w:val="0"/>
          <w:marTop w:val="0"/>
          <w:marBottom w:val="0"/>
          <w:divBdr>
            <w:top w:val="none" w:sz="0" w:space="0" w:color="auto"/>
            <w:left w:val="none" w:sz="0" w:space="0" w:color="auto"/>
            <w:bottom w:val="none" w:sz="0" w:space="0" w:color="auto"/>
            <w:right w:val="none" w:sz="0" w:space="0" w:color="auto"/>
          </w:divBdr>
          <w:divsChild>
            <w:div w:id="1331375730">
              <w:marLeft w:val="0"/>
              <w:marRight w:val="0"/>
              <w:marTop w:val="0"/>
              <w:marBottom w:val="0"/>
              <w:divBdr>
                <w:top w:val="none" w:sz="0" w:space="0" w:color="auto"/>
                <w:left w:val="none" w:sz="0" w:space="0" w:color="auto"/>
                <w:bottom w:val="none" w:sz="0" w:space="0" w:color="auto"/>
                <w:right w:val="none" w:sz="0" w:space="0" w:color="auto"/>
              </w:divBdr>
              <w:divsChild>
                <w:div w:id="1181628208">
                  <w:marLeft w:val="0"/>
                  <w:marRight w:val="0"/>
                  <w:marTop w:val="0"/>
                  <w:marBottom w:val="0"/>
                  <w:divBdr>
                    <w:top w:val="none" w:sz="0" w:space="0" w:color="auto"/>
                    <w:left w:val="none" w:sz="0" w:space="0" w:color="auto"/>
                    <w:bottom w:val="none" w:sz="0" w:space="0" w:color="auto"/>
                    <w:right w:val="none" w:sz="0" w:space="0" w:color="auto"/>
                  </w:divBdr>
                  <w:divsChild>
                    <w:div w:id="916673271">
                      <w:marLeft w:val="0"/>
                      <w:marRight w:val="0"/>
                      <w:marTop w:val="0"/>
                      <w:marBottom w:val="0"/>
                      <w:divBdr>
                        <w:top w:val="none" w:sz="0" w:space="0" w:color="auto"/>
                        <w:left w:val="none" w:sz="0" w:space="0" w:color="auto"/>
                        <w:bottom w:val="none" w:sz="0" w:space="0" w:color="auto"/>
                        <w:right w:val="none" w:sz="0" w:space="0" w:color="auto"/>
                      </w:divBdr>
                    </w:div>
                    <w:div w:id="17642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4372">
      <w:bodyDiv w:val="1"/>
      <w:marLeft w:val="0"/>
      <w:marRight w:val="0"/>
      <w:marTop w:val="0"/>
      <w:marBottom w:val="0"/>
      <w:divBdr>
        <w:top w:val="none" w:sz="0" w:space="0" w:color="auto"/>
        <w:left w:val="none" w:sz="0" w:space="0" w:color="auto"/>
        <w:bottom w:val="none" w:sz="0" w:space="0" w:color="auto"/>
        <w:right w:val="none" w:sz="0" w:space="0" w:color="auto"/>
      </w:divBdr>
      <w:divsChild>
        <w:div w:id="1371028162">
          <w:marLeft w:val="0"/>
          <w:marRight w:val="0"/>
          <w:marTop w:val="0"/>
          <w:marBottom w:val="0"/>
          <w:divBdr>
            <w:top w:val="none" w:sz="0" w:space="0" w:color="auto"/>
            <w:left w:val="none" w:sz="0" w:space="0" w:color="auto"/>
            <w:bottom w:val="none" w:sz="0" w:space="0" w:color="auto"/>
            <w:right w:val="none" w:sz="0" w:space="0" w:color="auto"/>
          </w:divBdr>
          <w:divsChild>
            <w:div w:id="337732463">
              <w:marLeft w:val="0"/>
              <w:marRight w:val="0"/>
              <w:marTop w:val="0"/>
              <w:marBottom w:val="0"/>
              <w:divBdr>
                <w:top w:val="none" w:sz="0" w:space="0" w:color="auto"/>
                <w:left w:val="none" w:sz="0" w:space="0" w:color="auto"/>
                <w:bottom w:val="none" w:sz="0" w:space="0" w:color="auto"/>
                <w:right w:val="none" w:sz="0" w:space="0" w:color="auto"/>
              </w:divBdr>
              <w:divsChild>
                <w:div w:id="1037897219">
                  <w:marLeft w:val="0"/>
                  <w:marRight w:val="0"/>
                  <w:marTop w:val="0"/>
                  <w:marBottom w:val="0"/>
                  <w:divBdr>
                    <w:top w:val="none" w:sz="0" w:space="0" w:color="auto"/>
                    <w:left w:val="none" w:sz="0" w:space="0" w:color="auto"/>
                    <w:bottom w:val="none" w:sz="0" w:space="0" w:color="auto"/>
                    <w:right w:val="none" w:sz="0" w:space="0" w:color="auto"/>
                  </w:divBdr>
                  <w:divsChild>
                    <w:div w:id="40861243">
                      <w:marLeft w:val="0"/>
                      <w:marRight w:val="0"/>
                      <w:marTop w:val="0"/>
                      <w:marBottom w:val="0"/>
                      <w:divBdr>
                        <w:top w:val="none" w:sz="0" w:space="0" w:color="auto"/>
                        <w:left w:val="none" w:sz="0" w:space="0" w:color="auto"/>
                        <w:bottom w:val="none" w:sz="0" w:space="0" w:color="auto"/>
                        <w:right w:val="none" w:sz="0" w:space="0" w:color="auto"/>
                      </w:divBdr>
                    </w:div>
                    <w:div w:id="1472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8226">
      <w:bodyDiv w:val="1"/>
      <w:marLeft w:val="0"/>
      <w:marRight w:val="0"/>
      <w:marTop w:val="0"/>
      <w:marBottom w:val="0"/>
      <w:divBdr>
        <w:top w:val="none" w:sz="0" w:space="0" w:color="auto"/>
        <w:left w:val="none" w:sz="0" w:space="0" w:color="auto"/>
        <w:bottom w:val="none" w:sz="0" w:space="0" w:color="auto"/>
        <w:right w:val="none" w:sz="0" w:space="0" w:color="auto"/>
      </w:divBdr>
      <w:divsChild>
        <w:div w:id="385878817">
          <w:marLeft w:val="0"/>
          <w:marRight w:val="0"/>
          <w:marTop w:val="0"/>
          <w:marBottom w:val="0"/>
          <w:divBdr>
            <w:top w:val="none" w:sz="0" w:space="0" w:color="auto"/>
            <w:left w:val="none" w:sz="0" w:space="0" w:color="auto"/>
            <w:bottom w:val="none" w:sz="0" w:space="0" w:color="auto"/>
            <w:right w:val="none" w:sz="0" w:space="0" w:color="auto"/>
          </w:divBdr>
          <w:divsChild>
            <w:div w:id="749959924">
              <w:marLeft w:val="0"/>
              <w:marRight w:val="0"/>
              <w:marTop w:val="0"/>
              <w:marBottom w:val="0"/>
              <w:divBdr>
                <w:top w:val="none" w:sz="0" w:space="0" w:color="auto"/>
                <w:left w:val="none" w:sz="0" w:space="0" w:color="auto"/>
                <w:bottom w:val="none" w:sz="0" w:space="0" w:color="auto"/>
                <w:right w:val="none" w:sz="0" w:space="0" w:color="auto"/>
              </w:divBdr>
              <w:divsChild>
                <w:div w:id="650909412">
                  <w:marLeft w:val="0"/>
                  <w:marRight w:val="0"/>
                  <w:marTop w:val="0"/>
                  <w:marBottom w:val="0"/>
                  <w:divBdr>
                    <w:top w:val="none" w:sz="0" w:space="0" w:color="auto"/>
                    <w:left w:val="none" w:sz="0" w:space="0" w:color="auto"/>
                    <w:bottom w:val="none" w:sz="0" w:space="0" w:color="auto"/>
                    <w:right w:val="none" w:sz="0" w:space="0" w:color="auto"/>
                  </w:divBdr>
                  <w:divsChild>
                    <w:div w:id="457264424">
                      <w:marLeft w:val="0"/>
                      <w:marRight w:val="0"/>
                      <w:marTop w:val="0"/>
                      <w:marBottom w:val="0"/>
                      <w:divBdr>
                        <w:top w:val="none" w:sz="0" w:space="0" w:color="auto"/>
                        <w:left w:val="none" w:sz="0" w:space="0" w:color="auto"/>
                        <w:bottom w:val="none" w:sz="0" w:space="0" w:color="auto"/>
                        <w:right w:val="none" w:sz="0" w:space="0" w:color="auto"/>
                      </w:divBdr>
                    </w:div>
                    <w:div w:id="655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TkBT8eASW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6</cp:revision>
  <cp:lastPrinted>2019-01-11T16:32:00Z</cp:lastPrinted>
  <dcterms:created xsi:type="dcterms:W3CDTF">2019-01-08T12:30:00Z</dcterms:created>
  <dcterms:modified xsi:type="dcterms:W3CDTF">2019-01-12T15:25:00Z</dcterms:modified>
</cp:coreProperties>
</file>