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816" w:rsidRPr="00337816" w:rsidRDefault="00337816" w:rsidP="00337816">
      <w:pPr>
        <w:jc w:val="center"/>
        <w:rPr>
          <w:rFonts w:ascii="Times New Roman" w:hAnsi="Times New Roman" w:cs="Times New Roman"/>
          <w:b/>
          <w:sz w:val="40"/>
          <w:szCs w:val="40"/>
        </w:rPr>
      </w:pPr>
      <w:r w:rsidRPr="00337816">
        <w:rPr>
          <w:rFonts w:ascii="Times New Roman" w:hAnsi="Times New Roman" w:cs="Times New Roman"/>
          <w:b/>
          <w:sz w:val="40"/>
          <w:szCs w:val="40"/>
        </w:rPr>
        <w:t>FAMILIARISATION PROGRAM FOR INDEPENDENT DIRECTORS OBJECTIVES:</w:t>
      </w:r>
    </w:p>
    <w:p w:rsidR="002E3DAB" w:rsidRDefault="00DC35BB" w:rsidP="00337816">
      <w:pPr>
        <w:spacing w:line="240" w:lineRule="auto"/>
        <w:jc w:val="both"/>
        <w:rPr>
          <w:rFonts w:ascii="Times New Roman" w:hAnsi="Times New Roman" w:cs="Times New Roman"/>
          <w:sz w:val="24"/>
          <w:szCs w:val="24"/>
        </w:rPr>
      </w:pPr>
      <w:r>
        <w:rPr>
          <w:rFonts w:ascii="Times New Roman" w:hAnsi="Times New Roman" w:cs="Times New Roman"/>
          <w:sz w:val="24"/>
          <w:szCs w:val="24"/>
        </w:rPr>
        <w:t>The familiarization program</w:t>
      </w:r>
      <w:r w:rsidR="00337816" w:rsidRPr="00337816">
        <w:rPr>
          <w:rFonts w:ascii="Times New Roman" w:hAnsi="Times New Roman" w:cs="Times New Roman"/>
          <w:sz w:val="24"/>
          <w:szCs w:val="24"/>
        </w:rPr>
        <w:t xml:space="preserve"> for Independent Directors is outlined herein pursuant to Regulation 46 of the SEBI (Listing Obligations and Disclosure Requirements) Regulations 201</w:t>
      </w:r>
      <w:r>
        <w:rPr>
          <w:rFonts w:ascii="Times New Roman" w:hAnsi="Times New Roman" w:cs="Times New Roman"/>
          <w:sz w:val="24"/>
          <w:szCs w:val="24"/>
        </w:rPr>
        <w:t>5. The familiarization program</w:t>
      </w:r>
      <w:r w:rsidR="00337816" w:rsidRPr="00337816">
        <w:rPr>
          <w:rFonts w:ascii="Times New Roman" w:hAnsi="Times New Roman" w:cs="Times New Roman"/>
          <w:sz w:val="24"/>
          <w:szCs w:val="24"/>
        </w:rPr>
        <w:t xml:space="preserve"> aims to provide Independent Directors with the </w:t>
      </w:r>
      <w:r w:rsidR="004E3136">
        <w:rPr>
          <w:rFonts w:ascii="Times New Roman" w:hAnsi="Times New Roman" w:cs="Times New Roman"/>
          <w:sz w:val="24"/>
          <w:szCs w:val="24"/>
        </w:rPr>
        <w:t xml:space="preserve">Soya </w:t>
      </w:r>
      <w:r w:rsidR="00337816" w:rsidRPr="00337816">
        <w:rPr>
          <w:rFonts w:ascii="Times New Roman" w:hAnsi="Times New Roman" w:cs="Times New Roman"/>
          <w:sz w:val="24"/>
          <w:szCs w:val="24"/>
        </w:rPr>
        <w:t xml:space="preserve">Industry scenario, in which the Company operates, the business model, the operational and financial performance of the Company, to update the Independent Directors on a continuous basis on significant developments so as to enable them to take well informed decisions in a timely manner. The familiarization programme also seeks to update the Independent directors on the roles, responsibilities rights and duties under the Companies Act 2013 and other relevant legislations. </w:t>
      </w:r>
    </w:p>
    <w:p w:rsidR="002E3DAB" w:rsidRPr="002E3DAB" w:rsidRDefault="00337816" w:rsidP="00337816">
      <w:pPr>
        <w:spacing w:line="240" w:lineRule="auto"/>
        <w:jc w:val="both"/>
        <w:rPr>
          <w:rFonts w:ascii="Times New Roman" w:hAnsi="Times New Roman" w:cs="Times New Roman"/>
          <w:b/>
          <w:sz w:val="24"/>
          <w:szCs w:val="24"/>
        </w:rPr>
      </w:pPr>
      <w:r w:rsidRPr="002E3DAB">
        <w:rPr>
          <w:rFonts w:ascii="Times New Roman" w:hAnsi="Times New Roman" w:cs="Times New Roman"/>
          <w:b/>
          <w:sz w:val="24"/>
          <w:szCs w:val="24"/>
        </w:rPr>
        <w:t xml:space="preserve">INDUCTION, TRAINING AND FAMILIARISATION PROGRAM FOR THE INDEPENDENT DIRECTORS: </w:t>
      </w:r>
    </w:p>
    <w:p w:rsidR="002E3DAB" w:rsidRDefault="00337816" w:rsidP="002E3DAB">
      <w:pPr>
        <w:spacing w:line="240" w:lineRule="auto"/>
        <w:ind w:left="360" w:hanging="360"/>
        <w:jc w:val="both"/>
        <w:rPr>
          <w:rFonts w:ascii="Times New Roman" w:hAnsi="Times New Roman" w:cs="Times New Roman"/>
          <w:sz w:val="24"/>
          <w:szCs w:val="24"/>
        </w:rPr>
      </w:pPr>
      <w:r w:rsidRPr="00337816">
        <w:rPr>
          <w:rFonts w:ascii="Times New Roman" w:hAnsi="Times New Roman" w:cs="Times New Roman"/>
          <w:sz w:val="24"/>
          <w:szCs w:val="24"/>
        </w:rPr>
        <w:sym w:font="Symbol" w:char="F0B7"/>
      </w:r>
      <w:r w:rsidRPr="00337816">
        <w:rPr>
          <w:rFonts w:ascii="Times New Roman" w:hAnsi="Times New Roman" w:cs="Times New Roman"/>
          <w:sz w:val="24"/>
          <w:szCs w:val="24"/>
        </w:rPr>
        <w:t xml:space="preserve"> </w:t>
      </w:r>
      <w:r w:rsidR="002E3DAB">
        <w:rPr>
          <w:rFonts w:ascii="Times New Roman" w:hAnsi="Times New Roman" w:cs="Times New Roman"/>
          <w:sz w:val="24"/>
          <w:szCs w:val="24"/>
        </w:rPr>
        <w:t xml:space="preserve">   </w:t>
      </w:r>
      <w:r w:rsidRPr="00337816">
        <w:rPr>
          <w:rFonts w:ascii="Times New Roman" w:hAnsi="Times New Roman" w:cs="Times New Roman"/>
          <w:sz w:val="24"/>
          <w:szCs w:val="24"/>
        </w:rPr>
        <w:t xml:space="preserve">On appointment, the concerned director is issued a Letter of Appointment setting out in detail, the terms of appointment, duties, responsibilities and expected time commitments. </w:t>
      </w:r>
    </w:p>
    <w:p w:rsidR="002E3DAB" w:rsidRDefault="00337816" w:rsidP="002E3DAB">
      <w:pPr>
        <w:spacing w:line="240" w:lineRule="auto"/>
        <w:ind w:left="360" w:hanging="360"/>
        <w:jc w:val="both"/>
        <w:rPr>
          <w:rFonts w:ascii="Times New Roman" w:hAnsi="Times New Roman" w:cs="Times New Roman"/>
          <w:sz w:val="24"/>
          <w:szCs w:val="24"/>
        </w:rPr>
      </w:pPr>
      <w:r w:rsidRPr="00337816">
        <w:rPr>
          <w:rFonts w:ascii="Times New Roman" w:hAnsi="Times New Roman" w:cs="Times New Roman"/>
          <w:sz w:val="24"/>
          <w:szCs w:val="24"/>
        </w:rPr>
        <w:sym w:font="Symbol" w:char="F0B7"/>
      </w:r>
      <w:r w:rsidRPr="00337816">
        <w:rPr>
          <w:rFonts w:ascii="Times New Roman" w:hAnsi="Times New Roman" w:cs="Times New Roman"/>
          <w:sz w:val="24"/>
          <w:szCs w:val="24"/>
        </w:rPr>
        <w:t xml:space="preserve"> </w:t>
      </w:r>
      <w:r w:rsidR="002E3DAB">
        <w:rPr>
          <w:rFonts w:ascii="Times New Roman" w:hAnsi="Times New Roman" w:cs="Times New Roman"/>
          <w:sz w:val="24"/>
          <w:szCs w:val="24"/>
        </w:rPr>
        <w:t xml:space="preserve">  </w:t>
      </w:r>
      <w:r w:rsidRPr="00337816">
        <w:rPr>
          <w:rFonts w:ascii="Times New Roman" w:hAnsi="Times New Roman" w:cs="Times New Roman"/>
          <w:sz w:val="24"/>
          <w:szCs w:val="24"/>
        </w:rPr>
        <w:t xml:space="preserve">Each newly appointed Independent Director is taken through a formal induction </w:t>
      </w:r>
      <w:bookmarkStart w:id="0" w:name="_GoBack"/>
      <w:r w:rsidRPr="00337816">
        <w:rPr>
          <w:rFonts w:ascii="Times New Roman" w:hAnsi="Times New Roman" w:cs="Times New Roman"/>
          <w:sz w:val="24"/>
          <w:szCs w:val="24"/>
        </w:rPr>
        <w:t>progra</w:t>
      </w:r>
      <w:bookmarkEnd w:id="0"/>
      <w:r w:rsidRPr="00337816">
        <w:rPr>
          <w:rFonts w:ascii="Times New Roman" w:hAnsi="Times New Roman" w:cs="Times New Roman"/>
          <w:sz w:val="24"/>
          <w:szCs w:val="24"/>
        </w:rPr>
        <w:t xml:space="preserve">m including the presentation from the Managing Director and other Senior Executives on the Company’s manufacturing, marketing, finance and other important aspects of the Company’s business. Relevant literature relating to the Company such as Annual Reports, CSR etc. are provided to the Independent Directors on their appointment. </w:t>
      </w:r>
    </w:p>
    <w:p w:rsidR="002E3DAB" w:rsidRDefault="00337816" w:rsidP="002E3DAB">
      <w:pPr>
        <w:spacing w:line="240" w:lineRule="auto"/>
        <w:ind w:left="360" w:hanging="360"/>
        <w:jc w:val="both"/>
        <w:rPr>
          <w:rFonts w:ascii="Times New Roman" w:hAnsi="Times New Roman" w:cs="Times New Roman"/>
          <w:sz w:val="24"/>
          <w:szCs w:val="24"/>
        </w:rPr>
      </w:pPr>
      <w:r w:rsidRPr="00337816">
        <w:rPr>
          <w:rFonts w:ascii="Times New Roman" w:hAnsi="Times New Roman" w:cs="Times New Roman"/>
          <w:sz w:val="24"/>
          <w:szCs w:val="24"/>
        </w:rPr>
        <w:sym w:font="Symbol" w:char="F0B7"/>
      </w:r>
      <w:r w:rsidRPr="00337816">
        <w:rPr>
          <w:rFonts w:ascii="Times New Roman" w:hAnsi="Times New Roman" w:cs="Times New Roman"/>
          <w:sz w:val="24"/>
          <w:szCs w:val="24"/>
        </w:rPr>
        <w:t xml:space="preserve"> </w:t>
      </w:r>
      <w:r w:rsidR="002E3DAB">
        <w:rPr>
          <w:rFonts w:ascii="Times New Roman" w:hAnsi="Times New Roman" w:cs="Times New Roman"/>
          <w:sz w:val="24"/>
          <w:szCs w:val="24"/>
        </w:rPr>
        <w:t xml:space="preserve">  </w:t>
      </w:r>
      <w:r w:rsidRPr="00337816">
        <w:rPr>
          <w:rFonts w:ascii="Times New Roman" w:hAnsi="Times New Roman" w:cs="Times New Roman"/>
          <w:sz w:val="24"/>
          <w:szCs w:val="24"/>
        </w:rPr>
        <w:t xml:space="preserve">The Company Secretary sends a formal letter to the Directors about their legal and regulatory responsibilities as a </w:t>
      </w:r>
      <w:r w:rsidR="004E3136">
        <w:rPr>
          <w:rFonts w:ascii="Times New Roman" w:hAnsi="Times New Roman" w:cs="Times New Roman"/>
          <w:sz w:val="24"/>
          <w:szCs w:val="24"/>
        </w:rPr>
        <w:t>d</w:t>
      </w:r>
      <w:r w:rsidRPr="00337816">
        <w:rPr>
          <w:rFonts w:ascii="Times New Roman" w:hAnsi="Times New Roman" w:cs="Times New Roman"/>
          <w:sz w:val="24"/>
          <w:szCs w:val="24"/>
        </w:rPr>
        <w:t xml:space="preserve">irector and the compliances required of them under the Companies Act 2013 and applicable SEBI Regulations. </w:t>
      </w:r>
    </w:p>
    <w:p w:rsidR="002E3DAB" w:rsidRDefault="00337816" w:rsidP="002E3DAB">
      <w:pPr>
        <w:spacing w:line="240" w:lineRule="auto"/>
        <w:ind w:left="360" w:hanging="360"/>
        <w:jc w:val="both"/>
        <w:rPr>
          <w:rFonts w:ascii="Times New Roman" w:hAnsi="Times New Roman" w:cs="Times New Roman"/>
          <w:sz w:val="24"/>
          <w:szCs w:val="24"/>
        </w:rPr>
      </w:pPr>
      <w:r w:rsidRPr="00337816">
        <w:rPr>
          <w:rFonts w:ascii="Times New Roman" w:hAnsi="Times New Roman" w:cs="Times New Roman"/>
          <w:sz w:val="24"/>
          <w:szCs w:val="24"/>
        </w:rPr>
        <w:sym w:font="Symbol" w:char="F0B7"/>
      </w:r>
      <w:r w:rsidRPr="00337816">
        <w:rPr>
          <w:rFonts w:ascii="Times New Roman" w:hAnsi="Times New Roman" w:cs="Times New Roman"/>
          <w:sz w:val="24"/>
          <w:szCs w:val="24"/>
        </w:rPr>
        <w:t xml:space="preserve"> </w:t>
      </w:r>
      <w:r w:rsidR="002E3DAB">
        <w:rPr>
          <w:rFonts w:ascii="Times New Roman" w:hAnsi="Times New Roman" w:cs="Times New Roman"/>
          <w:sz w:val="24"/>
          <w:szCs w:val="24"/>
        </w:rPr>
        <w:t xml:space="preserve">  </w:t>
      </w:r>
      <w:r w:rsidR="004E3136">
        <w:rPr>
          <w:rFonts w:ascii="Times New Roman" w:hAnsi="Times New Roman" w:cs="Times New Roman"/>
          <w:sz w:val="24"/>
          <w:szCs w:val="24"/>
        </w:rPr>
        <w:t xml:space="preserve"> </w:t>
      </w:r>
      <w:r w:rsidRPr="00337816">
        <w:rPr>
          <w:rFonts w:ascii="Times New Roman" w:hAnsi="Times New Roman" w:cs="Times New Roman"/>
          <w:sz w:val="24"/>
          <w:szCs w:val="24"/>
        </w:rPr>
        <w:t xml:space="preserve">The induction for Independent Directors includes interactive sessions with Executive Members and other Functional Heads and also includes a visit to the manufacturing site, so as to familiarize them about the cement manufacturing and other related aspects. </w:t>
      </w:r>
    </w:p>
    <w:p w:rsidR="002E3DAB" w:rsidRDefault="00337816" w:rsidP="002E3DAB">
      <w:pPr>
        <w:spacing w:line="240" w:lineRule="auto"/>
        <w:ind w:left="360" w:hanging="360"/>
        <w:jc w:val="both"/>
        <w:rPr>
          <w:rFonts w:ascii="Times New Roman" w:hAnsi="Times New Roman" w:cs="Times New Roman"/>
          <w:sz w:val="24"/>
          <w:szCs w:val="24"/>
        </w:rPr>
      </w:pPr>
      <w:r w:rsidRPr="00337816">
        <w:rPr>
          <w:rFonts w:ascii="Times New Roman" w:hAnsi="Times New Roman" w:cs="Times New Roman"/>
          <w:sz w:val="24"/>
          <w:szCs w:val="24"/>
        </w:rPr>
        <w:sym w:font="Symbol" w:char="F0B7"/>
      </w:r>
      <w:r w:rsidRPr="00337816">
        <w:rPr>
          <w:rFonts w:ascii="Times New Roman" w:hAnsi="Times New Roman" w:cs="Times New Roman"/>
          <w:sz w:val="24"/>
          <w:szCs w:val="24"/>
        </w:rPr>
        <w:t xml:space="preserve"> </w:t>
      </w:r>
      <w:r w:rsidR="002E3DAB">
        <w:rPr>
          <w:rFonts w:ascii="Times New Roman" w:hAnsi="Times New Roman" w:cs="Times New Roman"/>
          <w:sz w:val="24"/>
          <w:szCs w:val="24"/>
        </w:rPr>
        <w:t xml:space="preserve">  </w:t>
      </w:r>
      <w:r w:rsidRPr="00337816">
        <w:rPr>
          <w:rFonts w:ascii="Times New Roman" w:hAnsi="Times New Roman" w:cs="Times New Roman"/>
          <w:sz w:val="24"/>
          <w:szCs w:val="24"/>
        </w:rPr>
        <w:t xml:space="preserve">At various Board meetings during the year, </w:t>
      </w:r>
      <w:r w:rsidR="004E3136">
        <w:rPr>
          <w:rFonts w:ascii="Times New Roman" w:hAnsi="Times New Roman" w:cs="Times New Roman"/>
          <w:sz w:val="24"/>
          <w:szCs w:val="24"/>
        </w:rPr>
        <w:t xml:space="preserve">particulars </w:t>
      </w:r>
      <w:r w:rsidRPr="00337816">
        <w:rPr>
          <w:rFonts w:ascii="Times New Roman" w:hAnsi="Times New Roman" w:cs="Times New Roman"/>
          <w:sz w:val="24"/>
          <w:szCs w:val="24"/>
        </w:rPr>
        <w:t xml:space="preserve">will be made </w:t>
      </w:r>
      <w:r w:rsidR="004E3136">
        <w:rPr>
          <w:rFonts w:ascii="Times New Roman" w:hAnsi="Times New Roman" w:cs="Times New Roman"/>
          <w:sz w:val="24"/>
          <w:szCs w:val="24"/>
        </w:rPr>
        <w:t xml:space="preserve">available </w:t>
      </w:r>
      <w:r w:rsidRPr="00337816">
        <w:rPr>
          <w:rFonts w:ascii="Times New Roman" w:hAnsi="Times New Roman" w:cs="Times New Roman"/>
          <w:sz w:val="24"/>
          <w:szCs w:val="24"/>
        </w:rPr>
        <w:t xml:space="preserve">to the Board on the operations of the Company, market share, pricing strategy, financials, risks and mitigation plans, initiatives on health and safety, compliances, major litigation, regulatory scenario etc. </w:t>
      </w:r>
    </w:p>
    <w:p w:rsidR="002E3DAB" w:rsidRDefault="00337816" w:rsidP="002E3DAB">
      <w:pPr>
        <w:spacing w:line="240" w:lineRule="auto"/>
        <w:ind w:left="360" w:hanging="360"/>
        <w:jc w:val="both"/>
        <w:rPr>
          <w:rFonts w:ascii="Times New Roman" w:hAnsi="Times New Roman" w:cs="Times New Roman"/>
          <w:sz w:val="24"/>
          <w:szCs w:val="24"/>
        </w:rPr>
      </w:pPr>
      <w:r w:rsidRPr="00337816">
        <w:rPr>
          <w:rFonts w:ascii="Times New Roman" w:hAnsi="Times New Roman" w:cs="Times New Roman"/>
          <w:sz w:val="24"/>
          <w:szCs w:val="24"/>
        </w:rPr>
        <w:sym w:font="Symbol" w:char="F0B7"/>
      </w:r>
      <w:r w:rsidRPr="00337816">
        <w:rPr>
          <w:rFonts w:ascii="Times New Roman" w:hAnsi="Times New Roman" w:cs="Times New Roman"/>
          <w:sz w:val="24"/>
          <w:szCs w:val="24"/>
        </w:rPr>
        <w:t xml:space="preserve"> </w:t>
      </w:r>
      <w:r w:rsidR="002E3DAB">
        <w:rPr>
          <w:rFonts w:ascii="Times New Roman" w:hAnsi="Times New Roman" w:cs="Times New Roman"/>
          <w:sz w:val="24"/>
          <w:szCs w:val="24"/>
        </w:rPr>
        <w:t xml:space="preserve"> </w:t>
      </w:r>
      <w:r w:rsidRPr="00337816">
        <w:rPr>
          <w:rFonts w:ascii="Times New Roman" w:hAnsi="Times New Roman" w:cs="Times New Roman"/>
          <w:sz w:val="24"/>
          <w:szCs w:val="24"/>
        </w:rPr>
        <w:t xml:space="preserve">On the matters of specialized nature, the Company engages outside experts/consultants for presentation and discussion with the Board members as and when necessary. </w:t>
      </w:r>
    </w:p>
    <w:p w:rsidR="002E3DAB" w:rsidRPr="002E3DAB" w:rsidRDefault="00337816" w:rsidP="00337816">
      <w:pPr>
        <w:spacing w:line="240" w:lineRule="auto"/>
        <w:jc w:val="both"/>
        <w:rPr>
          <w:rFonts w:ascii="Times New Roman" w:hAnsi="Times New Roman" w:cs="Times New Roman"/>
          <w:b/>
          <w:sz w:val="24"/>
          <w:szCs w:val="24"/>
        </w:rPr>
      </w:pPr>
      <w:r w:rsidRPr="002E3DAB">
        <w:rPr>
          <w:rFonts w:ascii="Times New Roman" w:hAnsi="Times New Roman" w:cs="Times New Roman"/>
          <w:b/>
          <w:sz w:val="24"/>
          <w:szCs w:val="24"/>
        </w:rPr>
        <w:t xml:space="preserve">REVIEW: </w:t>
      </w:r>
    </w:p>
    <w:p w:rsidR="00337816" w:rsidRPr="00337816" w:rsidRDefault="00337816" w:rsidP="002E3DAB">
      <w:pPr>
        <w:spacing w:line="240" w:lineRule="auto"/>
        <w:ind w:left="360" w:hanging="360"/>
        <w:jc w:val="both"/>
        <w:rPr>
          <w:rFonts w:ascii="Times New Roman" w:hAnsi="Times New Roman" w:cs="Times New Roman"/>
          <w:sz w:val="24"/>
          <w:szCs w:val="24"/>
        </w:rPr>
      </w:pPr>
      <w:r w:rsidRPr="00337816">
        <w:rPr>
          <w:rFonts w:ascii="Times New Roman" w:hAnsi="Times New Roman" w:cs="Times New Roman"/>
          <w:sz w:val="24"/>
          <w:szCs w:val="24"/>
        </w:rPr>
        <w:sym w:font="Symbol" w:char="F0B7"/>
      </w:r>
      <w:r w:rsidRPr="00337816">
        <w:rPr>
          <w:rFonts w:ascii="Times New Roman" w:hAnsi="Times New Roman" w:cs="Times New Roman"/>
          <w:sz w:val="24"/>
          <w:szCs w:val="24"/>
        </w:rPr>
        <w:t xml:space="preserve"> </w:t>
      </w:r>
      <w:r w:rsidR="002E3DAB">
        <w:rPr>
          <w:rFonts w:ascii="Times New Roman" w:hAnsi="Times New Roman" w:cs="Times New Roman"/>
          <w:sz w:val="24"/>
          <w:szCs w:val="24"/>
        </w:rPr>
        <w:t xml:space="preserve">  </w:t>
      </w:r>
      <w:r w:rsidRPr="00337816">
        <w:rPr>
          <w:rFonts w:ascii="Times New Roman" w:hAnsi="Times New Roman" w:cs="Times New Roman"/>
          <w:sz w:val="24"/>
          <w:szCs w:val="24"/>
        </w:rPr>
        <w:t>The programme shall be periodically reviewed and brought in conformity with statutory and regulatory requirements, if any.</w:t>
      </w:r>
    </w:p>
    <w:p w:rsidR="002E3DAB" w:rsidRPr="004E3136" w:rsidRDefault="004E3136" w:rsidP="00337816">
      <w:pPr>
        <w:autoSpaceDE w:val="0"/>
        <w:autoSpaceDN w:val="0"/>
        <w:adjustRightInd w:val="0"/>
        <w:spacing w:after="0" w:line="240" w:lineRule="auto"/>
        <w:jc w:val="both"/>
        <w:rPr>
          <w:rFonts w:ascii="Times New Roman" w:hAnsi="Times New Roman" w:cs="Times New Roman"/>
          <w:b/>
          <w:sz w:val="24"/>
          <w:szCs w:val="24"/>
        </w:rPr>
      </w:pPr>
      <w:r w:rsidRPr="004E3136">
        <w:rPr>
          <w:rFonts w:ascii="Times New Roman" w:hAnsi="Times New Roman" w:cs="Times New Roman"/>
          <w:b/>
          <w:sz w:val="24"/>
          <w:szCs w:val="24"/>
        </w:rPr>
        <w:t xml:space="preserve">DETAILS OF THE PROGRAMES ATTENDED BY THE INDEPENDENT DIRECTORS </w:t>
      </w:r>
    </w:p>
    <w:p w:rsidR="004E3136" w:rsidRDefault="004E3136" w:rsidP="004E3136">
      <w:pPr>
        <w:spacing w:line="240" w:lineRule="auto"/>
        <w:jc w:val="both"/>
        <w:rPr>
          <w:rFonts w:ascii="Times New Roman" w:hAnsi="Times New Roman" w:cs="Times New Roman"/>
          <w:sz w:val="24"/>
          <w:szCs w:val="24"/>
        </w:rPr>
      </w:pPr>
      <w:r w:rsidRPr="004E3136">
        <w:rPr>
          <w:rFonts w:ascii="Times New Roman" w:hAnsi="Times New Roman" w:cs="Times New Roman"/>
          <w:sz w:val="24"/>
          <w:szCs w:val="24"/>
        </w:rPr>
        <w:t xml:space="preserve">The details of the programs attended by the Independent Directors </w:t>
      </w:r>
      <w:r>
        <w:rPr>
          <w:rFonts w:ascii="Times New Roman" w:hAnsi="Times New Roman" w:cs="Times New Roman"/>
          <w:sz w:val="24"/>
          <w:szCs w:val="24"/>
        </w:rPr>
        <w:t>are as under:</w:t>
      </w:r>
    </w:p>
    <w:p w:rsidR="00DC35BB" w:rsidRDefault="00DC35BB" w:rsidP="004E3136">
      <w:pPr>
        <w:spacing w:line="240" w:lineRule="auto"/>
        <w:jc w:val="both"/>
        <w:rPr>
          <w:rFonts w:ascii="Times New Roman" w:hAnsi="Times New Roman" w:cs="Times New Roman"/>
          <w:sz w:val="24"/>
          <w:szCs w:val="24"/>
        </w:rPr>
      </w:pPr>
    </w:p>
    <w:p w:rsidR="00DC35BB" w:rsidRDefault="00DC35BB" w:rsidP="004E3136">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50"/>
        <w:gridCol w:w="1548"/>
        <w:gridCol w:w="1243"/>
        <w:gridCol w:w="1352"/>
        <w:gridCol w:w="1152"/>
        <w:gridCol w:w="1139"/>
        <w:gridCol w:w="2011"/>
      </w:tblGrid>
      <w:tr w:rsidR="00DC35BB" w:rsidTr="00DC35BB">
        <w:tc>
          <w:tcPr>
            <w:tcW w:w="550" w:type="dxa"/>
          </w:tcPr>
          <w:p w:rsidR="00DC35BB" w:rsidRPr="00992027" w:rsidRDefault="00DC35BB" w:rsidP="004E3136">
            <w:pPr>
              <w:jc w:val="both"/>
              <w:rPr>
                <w:rFonts w:ascii="Times New Roman" w:hAnsi="Times New Roman" w:cs="Times New Roman"/>
                <w:b/>
                <w:sz w:val="20"/>
                <w:szCs w:val="20"/>
              </w:rPr>
            </w:pPr>
            <w:r w:rsidRPr="00992027">
              <w:rPr>
                <w:rFonts w:ascii="Times New Roman" w:hAnsi="Times New Roman" w:cs="Times New Roman"/>
                <w:b/>
                <w:sz w:val="20"/>
                <w:szCs w:val="20"/>
              </w:rPr>
              <w:lastRenderedPageBreak/>
              <w:t>S.</w:t>
            </w:r>
          </w:p>
          <w:p w:rsidR="00DC35BB" w:rsidRPr="00992027" w:rsidRDefault="00DC35BB" w:rsidP="004E3136">
            <w:pPr>
              <w:jc w:val="both"/>
              <w:rPr>
                <w:rFonts w:ascii="Times New Roman" w:hAnsi="Times New Roman" w:cs="Times New Roman"/>
                <w:b/>
                <w:sz w:val="20"/>
                <w:szCs w:val="20"/>
              </w:rPr>
            </w:pPr>
            <w:r w:rsidRPr="00992027">
              <w:rPr>
                <w:rFonts w:ascii="Times New Roman" w:hAnsi="Times New Roman" w:cs="Times New Roman"/>
                <w:b/>
                <w:sz w:val="20"/>
                <w:szCs w:val="20"/>
              </w:rPr>
              <w:t>No.</w:t>
            </w:r>
          </w:p>
        </w:tc>
        <w:tc>
          <w:tcPr>
            <w:tcW w:w="1548" w:type="dxa"/>
          </w:tcPr>
          <w:p w:rsidR="00DC35BB" w:rsidRPr="00992027" w:rsidRDefault="00DC35BB" w:rsidP="004E3136">
            <w:pPr>
              <w:jc w:val="both"/>
              <w:rPr>
                <w:rFonts w:ascii="Times New Roman" w:hAnsi="Times New Roman" w:cs="Times New Roman"/>
                <w:b/>
                <w:sz w:val="20"/>
                <w:szCs w:val="20"/>
              </w:rPr>
            </w:pPr>
            <w:r w:rsidRPr="00992027">
              <w:rPr>
                <w:rFonts w:ascii="Times New Roman" w:hAnsi="Times New Roman" w:cs="Times New Roman"/>
                <w:b/>
                <w:sz w:val="20"/>
                <w:szCs w:val="20"/>
              </w:rPr>
              <w:t>Name of the Independent Director</w:t>
            </w:r>
          </w:p>
        </w:tc>
        <w:tc>
          <w:tcPr>
            <w:tcW w:w="1243" w:type="dxa"/>
          </w:tcPr>
          <w:p w:rsidR="00DC35BB" w:rsidRPr="00992027" w:rsidRDefault="00DC35BB" w:rsidP="004E3136">
            <w:pPr>
              <w:jc w:val="both"/>
              <w:rPr>
                <w:rFonts w:ascii="Times New Roman" w:hAnsi="Times New Roman" w:cs="Times New Roman"/>
                <w:b/>
                <w:sz w:val="20"/>
                <w:szCs w:val="20"/>
              </w:rPr>
            </w:pPr>
            <w:r w:rsidRPr="00992027">
              <w:rPr>
                <w:rFonts w:ascii="Times New Roman" w:hAnsi="Times New Roman" w:cs="Times New Roman"/>
                <w:b/>
                <w:sz w:val="20"/>
                <w:szCs w:val="20"/>
              </w:rPr>
              <w:t>No. of Programs attended during the year</w:t>
            </w:r>
          </w:p>
        </w:tc>
        <w:tc>
          <w:tcPr>
            <w:tcW w:w="1352" w:type="dxa"/>
          </w:tcPr>
          <w:p w:rsidR="00DC35BB" w:rsidRPr="00992027" w:rsidRDefault="00DC35BB" w:rsidP="004E3136">
            <w:pPr>
              <w:jc w:val="both"/>
              <w:rPr>
                <w:rFonts w:ascii="Times New Roman" w:hAnsi="Times New Roman" w:cs="Times New Roman"/>
                <w:b/>
                <w:sz w:val="20"/>
                <w:szCs w:val="20"/>
              </w:rPr>
            </w:pPr>
            <w:r w:rsidRPr="00992027">
              <w:rPr>
                <w:rFonts w:ascii="Times New Roman" w:hAnsi="Times New Roman" w:cs="Times New Roman"/>
                <w:b/>
                <w:sz w:val="20"/>
                <w:szCs w:val="20"/>
              </w:rPr>
              <w:t>Total programs attended on cumulative basis</w:t>
            </w:r>
          </w:p>
        </w:tc>
        <w:tc>
          <w:tcPr>
            <w:tcW w:w="1152" w:type="dxa"/>
          </w:tcPr>
          <w:p w:rsidR="00DC35BB" w:rsidRPr="00992027" w:rsidRDefault="00DC35BB" w:rsidP="004E3136">
            <w:pPr>
              <w:jc w:val="both"/>
              <w:rPr>
                <w:rFonts w:ascii="Times New Roman" w:hAnsi="Times New Roman" w:cs="Times New Roman"/>
                <w:b/>
                <w:sz w:val="20"/>
                <w:szCs w:val="20"/>
              </w:rPr>
            </w:pPr>
            <w:r w:rsidRPr="00992027">
              <w:rPr>
                <w:rFonts w:ascii="Times New Roman" w:hAnsi="Times New Roman" w:cs="Times New Roman"/>
                <w:b/>
                <w:sz w:val="20"/>
                <w:szCs w:val="20"/>
              </w:rPr>
              <w:t>No. of Hours spent during the year</w:t>
            </w:r>
          </w:p>
        </w:tc>
        <w:tc>
          <w:tcPr>
            <w:tcW w:w="1139" w:type="dxa"/>
          </w:tcPr>
          <w:p w:rsidR="00DC35BB" w:rsidRPr="00992027" w:rsidRDefault="00DC35BB" w:rsidP="004E3136">
            <w:pPr>
              <w:jc w:val="both"/>
              <w:rPr>
                <w:rFonts w:ascii="Times New Roman" w:hAnsi="Times New Roman" w:cs="Times New Roman"/>
                <w:b/>
                <w:sz w:val="20"/>
                <w:szCs w:val="20"/>
              </w:rPr>
            </w:pPr>
            <w:r w:rsidRPr="00992027">
              <w:rPr>
                <w:rFonts w:ascii="Times New Roman" w:hAnsi="Times New Roman" w:cs="Times New Roman"/>
                <w:b/>
                <w:sz w:val="20"/>
                <w:szCs w:val="20"/>
              </w:rPr>
              <w:t>Venue of the programs</w:t>
            </w:r>
          </w:p>
        </w:tc>
        <w:tc>
          <w:tcPr>
            <w:tcW w:w="2011" w:type="dxa"/>
          </w:tcPr>
          <w:p w:rsidR="00DC35BB" w:rsidRPr="00992027" w:rsidRDefault="00DC35BB" w:rsidP="004E3136">
            <w:pPr>
              <w:jc w:val="both"/>
              <w:rPr>
                <w:rFonts w:ascii="Times New Roman" w:hAnsi="Times New Roman" w:cs="Times New Roman"/>
                <w:b/>
                <w:sz w:val="20"/>
                <w:szCs w:val="20"/>
              </w:rPr>
            </w:pPr>
            <w:r w:rsidRPr="00992027">
              <w:rPr>
                <w:rFonts w:ascii="Times New Roman" w:hAnsi="Times New Roman" w:cs="Times New Roman"/>
                <w:b/>
                <w:sz w:val="20"/>
                <w:szCs w:val="20"/>
              </w:rPr>
              <w:t>Topic of the Program</w:t>
            </w:r>
          </w:p>
        </w:tc>
      </w:tr>
      <w:tr w:rsidR="00DC35BB" w:rsidRPr="00DC35BB" w:rsidTr="00DC35BB">
        <w:tc>
          <w:tcPr>
            <w:tcW w:w="550"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1</w:t>
            </w:r>
          </w:p>
        </w:tc>
        <w:tc>
          <w:tcPr>
            <w:tcW w:w="1548"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 xml:space="preserve">Shri </w:t>
            </w:r>
            <w:proofErr w:type="spellStart"/>
            <w:r w:rsidRPr="00DC35BB">
              <w:rPr>
                <w:rFonts w:ascii="Times New Roman" w:hAnsi="Times New Roman" w:cs="Times New Roman"/>
                <w:sz w:val="20"/>
                <w:szCs w:val="20"/>
              </w:rPr>
              <w:t>Giriraj</w:t>
            </w:r>
            <w:proofErr w:type="spellEnd"/>
            <w:r w:rsidRPr="00DC35BB">
              <w:rPr>
                <w:rFonts w:ascii="Times New Roman" w:hAnsi="Times New Roman" w:cs="Times New Roman"/>
                <w:sz w:val="20"/>
                <w:szCs w:val="20"/>
              </w:rPr>
              <w:t xml:space="preserve"> Gupta</w:t>
            </w:r>
          </w:p>
        </w:tc>
        <w:tc>
          <w:tcPr>
            <w:tcW w:w="1243"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1</w:t>
            </w:r>
          </w:p>
        </w:tc>
        <w:tc>
          <w:tcPr>
            <w:tcW w:w="1352"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4</w:t>
            </w:r>
          </w:p>
        </w:tc>
        <w:tc>
          <w:tcPr>
            <w:tcW w:w="1152"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24</w:t>
            </w:r>
          </w:p>
        </w:tc>
        <w:tc>
          <w:tcPr>
            <w:tcW w:w="1139"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At various places and ICSI Indore</w:t>
            </w:r>
          </w:p>
        </w:tc>
        <w:tc>
          <w:tcPr>
            <w:tcW w:w="2011"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Soya Conference, SEBI (LODR) Regulations</w:t>
            </w:r>
          </w:p>
        </w:tc>
      </w:tr>
      <w:tr w:rsidR="00DC35BB" w:rsidRPr="00DC35BB" w:rsidTr="00DC35BB">
        <w:tc>
          <w:tcPr>
            <w:tcW w:w="550"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2</w:t>
            </w:r>
          </w:p>
        </w:tc>
        <w:tc>
          <w:tcPr>
            <w:tcW w:w="1548"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Shri Pradeep Agrawal</w:t>
            </w:r>
          </w:p>
        </w:tc>
        <w:tc>
          <w:tcPr>
            <w:tcW w:w="1243"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1</w:t>
            </w:r>
          </w:p>
        </w:tc>
        <w:tc>
          <w:tcPr>
            <w:tcW w:w="1352"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3</w:t>
            </w:r>
          </w:p>
        </w:tc>
        <w:tc>
          <w:tcPr>
            <w:tcW w:w="1152"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24</w:t>
            </w:r>
          </w:p>
        </w:tc>
        <w:tc>
          <w:tcPr>
            <w:tcW w:w="1139"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At various places</w:t>
            </w:r>
          </w:p>
        </w:tc>
        <w:tc>
          <w:tcPr>
            <w:tcW w:w="2011"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Budget and Soya Industry</w:t>
            </w:r>
          </w:p>
        </w:tc>
      </w:tr>
      <w:tr w:rsidR="00DC35BB" w:rsidRPr="00DC35BB" w:rsidTr="00DC35BB">
        <w:tc>
          <w:tcPr>
            <w:tcW w:w="550"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3</w:t>
            </w:r>
          </w:p>
        </w:tc>
        <w:tc>
          <w:tcPr>
            <w:tcW w:w="1548"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 xml:space="preserve">Shri </w:t>
            </w:r>
            <w:proofErr w:type="spellStart"/>
            <w:r w:rsidRPr="00DC35BB">
              <w:rPr>
                <w:rFonts w:ascii="Times New Roman" w:hAnsi="Times New Roman" w:cs="Times New Roman"/>
                <w:sz w:val="20"/>
                <w:szCs w:val="20"/>
              </w:rPr>
              <w:t>Umesh</w:t>
            </w:r>
            <w:proofErr w:type="spellEnd"/>
            <w:r w:rsidRPr="00DC35BB">
              <w:rPr>
                <w:rFonts w:ascii="Times New Roman" w:hAnsi="Times New Roman" w:cs="Times New Roman"/>
                <w:sz w:val="20"/>
                <w:szCs w:val="20"/>
              </w:rPr>
              <w:t xml:space="preserve"> Narayan Trivedi</w:t>
            </w:r>
          </w:p>
        </w:tc>
        <w:tc>
          <w:tcPr>
            <w:tcW w:w="1243"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1</w:t>
            </w:r>
          </w:p>
        </w:tc>
        <w:tc>
          <w:tcPr>
            <w:tcW w:w="1352"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3</w:t>
            </w:r>
          </w:p>
        </w:tc>
        <w:tc>
          <w:tcPr>
            <w:tcW w:w="1152"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24</w:t>
            </w:r>
          </w:p>
        </w:tc>
        <w:tc>
          <w:tcPr>
            <w:tcW w:w="1139"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At various places</w:t>
            </w:r>
          </w:p>
        </w:tc>
        <w:tc>
          <w:tcPr>
            <w:tcW w:w="2011"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Budget and Soya Industry</w:t>
            </w:r>
          </w:p>
        </w:tc>
      </w:tr>
      <w:tr w:rsidR="00DC35BB" w:rsidRPr="00DC35BB" w:rsidTr="00DC35BB">
        <w:tc>
          <w:tcPr>
            <w:tcW w:w="550"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4</w:t>
            </w:r>
          </w:p>
        </w:tc>
        <w:tc>
          <w:tcPr>
            <w:tcW w:w="1548"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 xml:space="preserve">Shri Rajendra Sigh </w:t>
            </w:r>
            <w:proofErr w:type="spellStart"/>
            <w:r w:rsidRPr="00DC35BB">
              <w:rPr>
                <w:rFonts w:ascii="Times New Roman" w:hAnsi="Times New Roman" w:cs="Times New Roman"/>
                <w:sz w:val="20"/>
                <w:szCs w:val="20"/>
              </w:rPr>
              <w:t>Tomar</w:t>
            </w:r>
            <w:proofErr w:type="spellEnd"/>
          </w:p>
        </w:tc>
        <w:tc>
          <w:tcPr>
            <w:tcW w:w="1243"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1</w:t>
            </w:r>
          </w:p>
        </w:tc>
        <w:tc>
          <w:tcPr>
            <w:tcW w:w="1352"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2</w:t>
            </w:r>
          </w:p>
        </w:tc>
        <w:tc>
          <w:tcPr>
            <w:tcW w:w="1152"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16</w:t>
            </w:r>
          </w:p>
        </w:tc>
        <w:tc>
          <w:tcPr>
            <w:tcW w:w="1139"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At various places</w:t>
            </w:r>
          </w:p>
        </w:tc>
        <w:tc>
          <w:tcPr>
            <w:tcW w:w="2011" w:type="dxa"/>
          </w:tcPr>
          <w:p w:rsidR="00DC35BB" w:rsidRPr="00DC35BB" w:rsidRDefault="00DC35BB" w:rsidP="00DC35BB">
            <w:pPr>
              <w:rPr>
                <w:rFonts w:ascii="Times New Roman" w:hAnsi="Times New Roman" w:cs="Times New Roman"/>
                <w:sz w:val="20"/>
                <w:szCs w:val="20"/>
              </w:rPr>
            </w:pPr>
            <w:r w:rsidRPr="00DC35BB">
              <w:rPr>
                <w:rFonts w:ascii="Times New Roman" w:hAnsi="Times New Roman" w:cs="Times New Roman"/>
                <w:sz w:val="20"/>
                <w:szCs w:val="20"/>
              </w:rPr>
              <w:t>Budget and Soya Industry</w:t>
            </w:r>
          </w:p>
        </w:tc>
      </w:tr>
    </w:tbl>
    <w:p w:rsidR="004E3136" w:rsidRDefault="004E3136" w:rsidP="004E3136">
      <w:pPr>
        <w:spacing w:line="240" w:lineRule="auto"/>
        <w:jc w:val="both"/>
        <w:rPr>
          <w:rFonts w:ascii="Times New Roman" w:hAnsi="Times New Roman" w:cs="Times New Roman"/>
          <w:sz w:val="24"/>
          <w:szCs w:val="24"/>
        </w:rPr>
      </w:pPr>
    </w:p>
    <w:p w:rsidR="00992027" w:rsidRDefault="00992027" w:rsidP="004E3136">
      <w:pPr>
        <w:spacing w:line="240" w:lineRule="auto"/>
        <w:jc w:val="both"/>
        <w:rPr>
          <w:rFonts w:ascii="Times New Roman" w:hAnsi="Times New Roman" w:cs="Times New Roman"/>
          <w:sz w:val="24"/>
          <w:szCs w:val="24"/>
        </w:rPr>
      </w:pPr>
      <w:r w:rsidRPr="00992027">
        <w:rPr>
          <w:rFonts w:ascii="Times New Roman" w:hAnsi="Times New Roman" w:cs="Times New Roman"/>
          <w:b/>
          <w:sz w:val="24"/>
          <w:szCs w:val="24"/>
        </w:rPr>
        <w:t>For Annual Report</w:t>
      </w:r>
      <w:r>
        <w:rPr>
          <w:rFonts w:ascii="Times New Roman" w:hAnsi="Times New Roman" w:cs="Times New Roman"/>
          <w:sz w:val="24"/>
          <w:szCs w:val="24"/>
        </w:rPr>
        <w:t>:</w:t>
      </w:r>
    </w:p>
    <w:p w:rsidR="00337816" w:rsidRPr="00337816" w:rsidRDefault="00337816" w:rsidP="00337816">
      <w:pPr>
        <w:autoSpaceDE w:val="0"/>
        <w:autoSpaceDN w:val="0"/>
        <w:adjustRightInd w:val="0"/>
        <w:spacing w:after="0" w:line="240" w:lineRule="auto"/>
        <w:jc w:val="both"/>
        <w:rPr>
          <w:rFonts w:ascii="Times New Roman" w:hAnsi="Times New Roman" w:cs="Times New Roman"/>
          <w:color w:val="AB431F"/>
          <w:sz w:val="24"/>
          <w:szCs w:val="24"/>
        </w:rPr>
      </w:pPr>
      <w:r w:rsidRPr="00337816">
        <w:rPr>
          <w:rFonts w:ascii="Times New Roman" w:hAnsi="Times New Roman" w:cs="Times New Roman"/>
          <w:color w:val="AB431F"/>
          <w:sz w:val="24"/>
          <w:szCs w:val="24"/>
        </w:rPr>
        <w:t>FAMILIARISATION PROGRAMME FOR INDEPENDENT DIRECTORS</w:t>
      </w:r>
    </w:p>
    <w:p w:rsidR="00337816" w:rsidRPr="00337816" w:rsidRDefault="00337816" w:rsidP="00337816">
      <w:pPr>
        <w:autoSpaceDE w:val="0"/>
        <w:autoSpaceDN w:val="0"/>
        <w:adjustRightInd w:val="0"/>
        <w:spacing w:after="0" w:line="240" w:lineRule="auto"/>
        <w:jc w:val="both"/>
        <w:rPr>
          <w:rFonts w:ascii="Times New Roman" w:hAnsi="Times New Roman" w:cs="Times New Roman"/>
          <w:color w:val="2B2A29"/>
          <w:sz w:val="24"/>
          <w:szCs w:val="24"/>
        </w:rPr>
      </w:pPr>
      <w:r w:rsidRPr="00337816">
        <w:rPr>
          <w:rFonts w:ascii="Times New Roman" w:hAnsi="Times New Roman" w:cs="Times New Roman"/>
          <w:color w:val="2B2A29"/>
          <w:sz w:val="24"/>
          <w:szCs w:val="24"/>
        </w:rPr>
        <w:t>The familiarization programme aims to provide Independent Directors with the cement industry scenario, the socio-economic environment in which the Company operates, the business model, the operational and financial performance of the Company, significant developments so as to enable them to take well informed decisions in a timely manner. The familiarization programme also seeks to update the Directors on the roles, responsibilities, rights and duties under the Act and other statutes.</w:t>
      </w:r>
    </w:p>
    <w:p w:rsidR="00337816" w:rsidRPr="00992027" w:rsidRDefault="00337816" w:rsidP="00992027">
      <w:pPr>
        <w:autoSpaceDE w:val="0"/>
        <w:autoSpaceDN w:val="0"/>
        <w:adjustRightInd w:val="0"/>
        <w:spacing w:after="0" w:line="240" w:lineRule="auto"/>
        <w:rPr>
          <w:rFonts w:ascii="Times New Roman" w:hAnsi="Times New Roman" w:cs="Times New Roman"/>
          <w:b/>
          <w:color w:val="2B2A29"/>
          <w:sz w:val="24"/>
          <w:szCs w:val="24"/>
        </w:rPr>
      </w:pPr>
      <w:r w:rsidRPr="00992027">
        <w:rPr>
          <w:rFonts w:ascii="Times New Roman" w:hAnsi="Times New Roman" w:cs="Times New Roman"/>
          <w:b/>
          <w:color w:val="2B2A29"/>
          <w:sz w:val="24"/>
          <w:szCs w:val="24"/>
        </w:rPr>
        <w:t>The policy on Company’s familiarization</w:t>
      </w:r>
    </w:p>
    <w:p w:rsidR="00916207" w:rsidRPr="00992027" w:rsidRDefault="00992027" w:rsidP="00992027">
      <w:pPr>
        <w:autoSpaceDE w:val="0"/>
        <w:autoSpaceDN w:val="0"/>
        <w:adjustRightInd w:val="0"/>
        <w:spacing w:after="0" w:line="240" w:lineRule="auto"/>
        <w:rPr>
          <w:rFonts w:ascii="Times New Roman" w:hAnsi="Times New Roman" w:cs="Times New Roman"/>
          <w:color w:val="2B2A29"/>
          <w:sz w:val="24"/>
          <w:szCs w:val="24"/>
        </w:rPr>
      </w:pPr>
      <w:r w:rsidRPr="00992027">
        <w:rPr>
          <w:rFonts w:ascii="Times New Roman" w:hAnsi="Times New Roman" w:cs="Times New Roman"/>
          <w:color w:val="2B2A29"/>
          <w:sz w:val="24"/>
          <w:szCs w:val="24"/>
        </w:rPr>
        <w:t xml:space="preserve">The Policy and the programs attended by the </w:t>
      </w:r>
      <w:r w:rsidR="00337816" w:rsidRPr="00992027">
        <w:rPr>
          <w:rFonts w:ascii="Times New Roman" w:hAnsi="Times New Roman" w:cs="Times New Roman"/>
          <w:color w:val="2B2A29"/>
          <w:sz w:val="24"/>
          <w:szCs w:val="24"/>
        </w:rPr>
        <w:t>Independent Directors is posted on the Company’s website at:</w:t>
      </w:r>
      <w:r w:rsidRPr="00992027">
        <w:rPr>
          <w:rFonts w:ascii="Times New Roman" w:hAnsi="Times New Roman" w:cs="Times New Roman"/>
          <w:color w:val="2B2A29"/>
          <w:sz w:val="24"/>
          <w:szCs w:val="24"/>
        </w:rPr>
        <w:t xml:space="preserve"> </w:t>
      </w:r>
      <w:hyperlink r:id="rId4" w:history="1">
        <w:r w:rsidRPr="00992027">
          <w:rPr>
            <w:rFonts w:ascii="Times New Roman" w:hAnsi="Times New Roman" w:cs="Times New Roman"/>
            <w:color w:val="2B2A29"/>
            <w:sz w:val="24"/>
            <w:szCs w:val="24"/>
          </w:rPr>
          <w:t>www.natrajproteins.com</w:t>
        </w:r>
      </w:hyperlink>
      <w:r>
        <w:rPr>
          <w:rFonts w:ascii="Times New Roman" w:hAnsi="Times New Roman" w:cs="Times New Roman"/>
          <w:color w:val="2B2A29"/>
          <w:sz w:val="24"/>
          <w:szCs w:val="24"/>
        </w:rPr>
        <w:t xml:space="preserve">  </w:t>
      </w:r>
      <w:r w:rsidRPr="00992027">
        <w:rPr>
          <w:rFonts w:ascii="Times New Roman" w:hAnsi="Times New Roman" w:cs="Times New Roman"/>
          <w:color w:val="2B2A29"/>
          <w:sz w:val="24"/>
          <w:szCs w:val="24"/>
        </w:rPr>
        <w:t xml:space="preserve"> </w:t>
      </w:r>
    </w:p>
    <w:sectPr w:rsidR="00916207" w:rsidRPr="0099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72"/>
    <w:rsid w:val="002E3DAB"/>
    <w:rsid w:val="00337816"/>
    <w:rsid w:val="004E3136"/>
    <w:rsid w:val="00916207"/>
    <w:rsid w:val="00992027"/>
    <w:rsid w:val="00DC35BB"/>
    <w:rsid w:val="00DE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B892"/>
  <w15:chartTrackingRefBased/>
  <w15:docId w15:val="{51185466-03A8-4B29-84E0-32B5ADB4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rajprotei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D.K.Jain Sir</dc:creator>
  <cp:keywords/>
  <dc:description/>
  <cp:lastModifiedBy>D.K. Jain&amp; Co.</cp:lastModifiedBy>
  <cp:revision>3</cp:revision>
  <dcterms:created xsi:type="dcterms:W3CDTF">2016-03-19T13:04:00Z</dcterms:created>
  <dcterms:modified xsi:type="dcterms:W3CDTF">2016-04-07T10:42:00Z</dcterms:modified>
</cp:coreProperties>
</file>