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auto" w:val="clear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National trauma-informed/ trauma-focused resources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before="240" w:line="290.4" w:lineRule="auto"/>
        <w:rPr>
          <w:b w:val="1"/>
          <w:color w:val="4a4a4a"/>
          <w:sz w:val="22"/>
          <w:szCs w:val="22"/>
        </w:rPr>
      </w:pPr>
      <w:bookmarkStart w:colFirst="0" w:colLast="0" w:name="_baqev64s5eb9" w:id="0"/>
      <w:bookmarkEnd w:id="0"/>
      <w:hyperlink r:id="rId6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How SAMHSA Promotes Trauma-Informed Care</w:t>
        </w:r>
      </w:hyperlink>
      <w:r w:rsidDel="00000000" w:rsidR="00000000" w:rsidRPr="00000000">
        <w:rPr>
          <w:b w:val="1"/>
          <w:color w:val="1e384b"/>
          <w:sz w:val="22"/>
          <w:szCs w:val="22"/>
          <w:rtl w:val="0"/>
        </w:rPr>
        <w:t xml:space="preserve">- </w:t>
      </w:r>
      <w:r w:rsidDel="00000000" w:rsidR="00000000" w:rsidRPr="00000000">
        <w:rPr>
          <w:color w:val="4a4a4a"/>
          <w:sz w:val="22"/>
          <w:szCs w:val="22"/>
          <w:rtl w:val="0"/>
        </w:rPr>
        <w:t xml:space="preserve">Trauma-informed approaches recognize and intentionally respond to the lasting adverse effects of experiencing traumatic events. </w:t>
      </w:r>
      <w:r w:rsidDel="00000000" w:rsidR="00000000" w:rsidRPr="00000000">
        <w:rPr>
          <w:b w:val="1"/>
          <w:color w:val="4a4a4a"/>
          <w:sz w:val="22"/>
          <w:szCs w:val="22"/>
          <w:rtl w:val="0"/>
        </w:rPr>
        <w:t xml:space="preserve">SAMHSA defines a trauma-informed approach through six key principles: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line="276" w:lineRule="auto"/>
        <w:ind w:left="1320" w:hanging="360"/>
        <w:rPr>
          <w:sz w:val="22"/>
          <w:szCs w:val="22"/>
        </w:rPr>
      </w:pPr>
      <w:r w:rsidDel="00000000" w:rsidR="00000000" w:rsidRPr="00000000">
        <w:rPr>
          <w:b w:val="1"/>
          <w:color w:val="4a4a4a"/>
          <w:sz w:val="22"/>
          <w:szCs w:val="22"/>
          <w:rtl w:val="0"/>
        </w:rPr>
        <w:t xml:space="preserve">Safety: </w:t>
      </w:r>
      <w:r w:rsidDel="00000000" w:rsidR="00000000" w:rsidRPr="00000000">
        <w:rPr>
          <w:color w:val="4a4a4a"/>
          <w:sz w:val="22"/>
          <w:szCs w:val="22"/>
          <w:rtl w:val="0"/>
        </w:rPr>
        <w:t xml:space="preserve">participants and staff feel physically and psychologically safe.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="276" w:lineRule="auto"/>
        <w:ind w:left="1320" w:hanging="360"/>
        <w:rPr>
          <w:sz w:val="22"/>
          <w:szCs w:val="22"/>
        </w:rPr>
      </w:pPr>
      <w:r w:rsidDel="00000000" w:rsidR="00000000" w:rsidRPr="00000000">
        <w:rPr>
          <w:b w:val="1"/>
          <w:color w:val="4a4a4a"/>
          <w:sz w:val="22"/>
          <w:szCs w:val="22"/>
          <w:rtl w:val="0"/>
        </w:rPr>
        <w:t xml:space="preserve">Peer support:</w:t>
      </w:r>
      <w:r w:rsidDel="00000000" w:rsidR="00000000" w:rsidRPr="00000000">
        <w:rPr>
          <w:color w:val="4a4a4a"/>
          <w:sz w:val="22"/>
          <w:szCs w:val="22"/>
          <w:rtl w:val="0"/>
        </w:rPr>
        <w:t xml:space="preserve"> peer support and mutual self-help are key as vehicles for establishing safety and hope, building trust, enhancing collaboration, and utilizing their lived experience to promote recovery and healing.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276" w:lineRule="auto"/>
        <w:ind w:left="1320" w:hanging="360"/>
        <w:rPr>
          <w:sz w:val="22"/>
          <w:szCs w:val="22"/>
        </w:rPr>
      </w:pPr>
      <w:r w:rsidDel="00000000" w:rsidR="00000000" w:rsidRPr="00000000">
        <w:rPr>
          <w:b w:val="1"/>
          <w:color w:val="4a4a4a"/>
          <w:sz w:val="22"/>
          <w:szCs w:val="22"/>
          <w:rtl w:val="0"/>
        </w:rPr>
        <w:t xml:space="preserve">Trustworthiness and Transparency:</w:t>
      </w:r>
      <w:r w:rsidDel="00000000" w:rsidR="00000000" w:rsidRPr="00000000">
        <w:rPr>
          <w:color w:val="4a4a4a"/>
          <w:sz w:val="22"/>
          <w:szCs w:val="22"/>
          <w:rtl w:val="0"/>
        </w:rPr>
        <w:t xml:space="preserve"> Organizational decisions are conducted with the goal of building and maintaining trust with participants and staff.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276" w:lineRule="auto"/>
        <w:ind w:left="1320" w:hanging="360"/>
        <w:rPr>
          <w:sz w:val="22"/>
          <w:szCs w:val="22"/>
        </w:rPr>
      </w:pPr>
      <w:r w:rsidDel="00000000" w:rsidR="00000000" w:rsidRPr="00000000">
        <w:rPr>
          <w:b w:val="1"/>
          <w:color w:val="4a4a4a"/>
          <w:sz w:val="22"/>
          <w:szCs w:val="22"/>
          <w:rtl w:val="0"/>
        </w:rPr>
        <w:t xml:space="preserve">Collaboration and Mutuality: </w:t>
      </w:r>
      <w:r w:rsidDel="00000000" w:rsidR="00000000" w:rsidRPr="00000000">
        <w:rPr>
          <w:color w:val="4a4a4a"/>
          <w:sz w:val="22"/>
          <w:szCs w:val="22"/>
          <w:rtl w:val="0"/>
        </w:rPr>
        <w:t xml:space="preserve">importance is placed on partnering and leveling power differences between staff and service participants.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76" w:lineRule="auto"/>
        <w:ind w:left="1320" w:hanging="360"/>
        <w:rPr>
          <w:sz w:val="22"/>
          <w:szCs w:val="22"/>
        </w:rPr>
      </w:pPr>
      <w:r w:rsidDel="00000000" w:rsidR="00000000" w:rsidRPr="00000000">
        <w:rPr>
          <w:b w:val="1"/>
          <w:color w:val="4a4a4a"/>
          <w:sz w:val="22"/>
          <w:szCs w:val="22"/>
          <w:rtl w:val="0"/>
        </w:rPr>
        <w:t xml:space="preserve">Cultural, Historical, &amp; Gender Issues:</w:t>
      </w:r>
      <w:r w:rsidDel="00000000" w:rsidR="00000000" w:rsidRPr="00000000">
        <w:rPr>
          <w:color w:val="4a4a4a"/>
          <w:sz w:val="22"/>
          <w:szCs w:val="22"/>
          <w:rtl w:val="0"/>
        </w:rPr>
        <w:t xml:space="preserve"> culture and gender-responsive services are offered while moving beyond stereotypes/biases.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76" w:lineRule="auto"/>
        <w:ind w:left="1320" w:hanging="360"/>
        <w:rPr>
          <w:sz w:val="22"/>
          <w:szCs w:val="22"/>
        </w:rPr>
      </w:pPr>
      <w:r w:rsidDel="00000000" w:rsidR="00000000" w:rsidRPr="00000000">
        <w:rPr>
          <w:b w:val="1"/>
          <w:color w:val="4a4a4a"/>
          <w:sz w:val="22"/>
          <w:szCs w:val="22"/>
          <w:rtl w:val="0"/>
        </w:rPr>
        <w:t xml:space="preserve">Empowerment, Voice and Choice:</w:t>
      </w:r>
      <w:r w:rsidDel="00000000" w:rsidR="00000000" w:rsidRPr="00000000">
        <w:rPr>
          <w:color w:val="4a4a4a"/>
          <w:sz w:val="22"/>
          <w:szCs w:val="22"/>
          <w:rtl w:val="0"/>
        </w:rPr>
        <w:t xml:space="preserve"> organizations foster a belief in the primacy of the people who are served to heal and promote recovery from trauma.</w:t>
      </w:r>
    </w:p>
    <w:p w:rsidR="00000000" w:rsidDel="00000000" w:rsidP="00000000" w:rsidRDefault="00000000" w:rsidRPr="00000000" w14:paraId="00000009">
      <w:pPr>
        <w:shd w:fill="auto" w:val="clear"/>
        <w:spacing w:before="200" w:line="276" w:lineRule="auto"/>
        <w:rPr>
          <w:color w:val="0a0a0a"/>
          <w:sz w:val="22"/>
          <w:szCs w:val="22"/>
        </w:rPr>
      </w:pP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National Child Traumatic Stress Network</w:t>
        </w:r>
      </w:hyperlink>
      <w:r w:rsidDel="00000000" w:rsidR="00000000" w:rsidRPr="00000000">
        <w:rPr>
          <w:color w:val="0a0a0a"/>
          <w:sz w:val="22"/>
          <w:szCs w:val="22"/>
          <w:rtl w:val="0"/>
        </w:rPr>
        <w:t xml:space="preserve"> (NCTSN)- Resources including trauma-focused trainings and assessments for multiple audiences and topics related to childhood adversity and trauma.</w:t>
      </w:r>
    </w:p>
    <w:p w:rsidR="00000000" w:rsidDel="00000000" w:rsidP="00000000" w:rsidRDefault="00000000" w:rsidRPr="00000000" w14:paraId="0000000A">
      <w:pPr>
        <w:widowControl w:val="0"/>
        <w:shd w:fill="auto" w:val="clear"/>
        <w:spacing w:after="200" w:before="0" w:line="257.67345428466797" w:lineRule="auto"/>
        <w:ind w:left="22.220001220703125" w:right="123.614501953125" w:firstLine="0"/>
        <w:rPr>
          <w:color w:val="0a0a0a"/>
          <w:sz w:val="22"/>
          <w:szCs w:val="22"/>
        </w:rPr>
      </w:pPr>
      <w:r w:rsidDel="00000000" w:rsidR="00000000" w:rsidRPr="00000000">
        <w:rPr>
          <w:color w:val="1155cc"/>
          <w:sz w:val="22"/>
          <w:szCs w:val="22"/>
          <w:u w:val="single"/>
          <w:rtl w:val="0"/>
        </w:rPr>
        <w:t xml:space="preserve">NCTSN Trauma-Informed Organizational Assessment</w:t>
      </w:r>
      <w:r w:rsidDel="00000000" w:rsidR="00000000" w:rsidRPr="00000000">
        <w:rPr>
          <w:color w:val="1155cc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free TI assessment tool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auto" w:val="clear"/>
        <w:spacing w:line="276" w:lineRule="auto"/>
        <w:rPr>
          <w:sz w:val="22"/>
          <w:szCs w:val="22"/>
        </w:rPr>
      </w:pP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Campaign for Trauma-Informed Policy and Practice </w:t>
        </w:r>
      </w:hyperlink>
      <w:r w:rsidDel="00000000" w:rsidR="00000000" w:rsidRPr="00000000">
        <w:rPr>
          <w:color w:val="0a0a0a"/>
          <w:sz w:val="22"/>
          <w:szCs w:val="22"/>
          <w:rtl w:val="0"/>
        </w:rPr>
        <w:t xml:space="preserve">(CTIPP)-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0a0a0a"/>
          <w:sz w:val="22"/>
          <w:szCs w:val="22"/>
          <w:rtl w:val="0"/>
        </w:rPr>
        <w:t xml:space="preserve">Trauma-informed guides and toolkits, coalitions, and research</w:t>
      </w:r>
      <w:r w:rsidDel="00000000" w:rsidR="00000000" w:rsidRPr="00000000">
        <w:rPr>
          <w:sz w:val="22"/>
          <w:szCs w:val="22"/>
          <w:rtl w:val="0"/>
        </w:rPr>
        <w:t xml:space="preserve"> for multiple sectors – from education and health care to the legal system and funding. </w:t>
      </w:r>
    </w:p>
    <w:p w:rsidR="00000000" w:rsidDel="00000000" w:rsidP="00000000" w:rsidRDefault="00000000" w:rsidRPr="00000000" w14:paraId="0000000C">
      <w:pPr>
        <w:shd w:fill="auto" w:val="clear"/>
        <w:spacing w:before="200" w:line="276" w:lineRule="auto"/>
        <w:rPr>
          <w:color w:val="34495e"/>
          <w:sz w:val="22"/>
          <w:szCs w:val="22"/>
        </w:rPr>
      </w:pPr>
      <w:hyperlink r:id="rId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Harvard University’s Center on the Developing Child</w:t>
        </w:r>
      </w:hyperlink>
      <w:r w:rsidDel="00000000" w:rsidR="00000000" w:rsidRPr="00000000">
        <w:rPr>
          <w:color w:val="34495e"/>
          <w:sz w:val="22"/>
          <w:szCs w:val="22"/>
          <w:rtl w:val="0"/>
        </w:rPr>
        <w:t xml:space="preserve">- Videos, infographics, and instructional briefs on multiple subjects related to childhood development, stress, and resilience.</w:t>
      </w:r>
    </w:p>
    <w:p w:rsidR="00000000" w:rsidDel="00000000" w:rsidP="00000000" w:rsidRDefault="00000000" w:rsidRPr="00000000" w14:paraId="0000000D">
      <w:pPr>
        <w:shd w:fill="auto" w:val="clear"/>
        <w:spacing w:before="200" w:line="276" w:lineRule="auto"/>
        <w:rPr>
          <w:color w:val="0a0a0a"/>
          <w:sz w:val="22"/>
          <w:szCs w:val="22"/>
        </w:rPr>
      </w:pPr>
      <w:hyperlink r:id="rId10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Child Welfare Information Gateway’s Strong Families</w:t>
        </w:r>
      </w:hyperlink>
      <w:r w:rsidDel="00000000" w:rsidR="00000000" w:rsidRPr="00000000">
        <w:rPr>
          <w:color w:val="0a0a0a"/>
          <w:sz w:val="22"/>
          <w:szCs w:val="22"/>
          <w:rtl w:val="0"/>
        </w:rPr>
        <w:t xml:space="preserve">- Multiple resources for families, including tips for handling real-life situations available in English and Spanish.</w:t>
      </w:r>
    </w:p>
    <w:p w:rsidR="00000000" w:rsidDel="00000000" w:rsidP="00000000" w:rsidRDefault="00000000" w:rsidRPr="00000000" w14:paraId="0000000E">
      <w:pPr>
        <w:shd w:fill="auto" w:val="clear"/>
        <w:spacing w:before="200" w:line="276" w:lineRule="auto"/>
        <w:rPr>
          <w:sz w:val="22"/>
          <w:szCs w:val="22"/>
          <w:highlight w:val="white"/>
        </w:rPr>
      </w:pPr>
      <w:hyperlink r:id="rId11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Center for Disease Control and Prevention VetoViolence</w:t>
        </w:r>
      </w:hyperlink>
      <w:r w:rsidDel="00000000" w:rsidR="00000000" w:rsidRPr="00000000">
        <w:rPr>
          <w:sz w:val="22"/>
          <w:szCs w:val="22"/>
          <w:rtl w:val="0"/>
        </w:rPr>
        <w:t xml:space="preserve">- CDC’s website offers trainings,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tools, and resources to help you prevent childhood adversity and create positive childhood experiences.</w:t>
      </w:r>
    </w:p>
    <w:p w:rsidR="00000000" w:rsidDel="00000000" w:rsidP="00000000" w:rsidRDefault="00000000" w:rsidRPr="00000000" w14:paraId="0000000F">
      <w:pPr>
        <w:shd w:fill="auto" w:val="clear"/>
        <w:spacing w:before="200" w:line="276" w:lineRule="auto"/>
        <w:rPr>
          <w:color w:val="333333"/>
          <w:sz w:val="22"/>
          <w:szCs w:val="22"/>
          <w:highlight w:val="white"/>
        </w:rPr>
      </w:pPr>
      <w:hyperlink r:id="rId12">
        <w:r w:rsidDel="00000000" w:rsidR="00000000" w:rsidRPr="00000000">
          <w:rPr>
            <w:color w:val="1155cc"/>
            <w:sz w:val="22"/>
            <w:szCs w:val="22"/>
            <w:highlight w:val="white"/>
            <w:u w:val="single"/>
            <w:rtl w:val="0"/>
          </w:rPr>
          <w:t xml:space="preserve">PACEs Connection</w:t>
        </w:r>
      </w:hyperlink>
      <w:r w:rsidDel="00000000" w:rsidR="00000000" w:rsidRPr="00000000">
        <w:rPr>
          <w:sz w:val="22"/>
          <w:szCs w:val="22"/>
          <w:highlight w:val="white"/>
          <w:rtl w:val="0"/>
        </w:rPr>
        <w:t xml:space="preserve">- </w:t>
      </w:r>
      <w:r w:rsidDel="00000000" w:rsidR="00000000" w:rsidRPr="00000000">
        <w:rPr>
          <w:color w:val="333333"/>
          <w:sz w:val="22"/>
          <w:szCs w:val="22"/>
          <w:highlight w:val="white"/>
          <w:rtl w:val="0"/>
        </w:rPr>
        <w:t xml:space="preserve">A free, publicly accessible social network providing programmatic and policy support to accelerate the PACEs science movement and promote trauma-informed and resilience-building practices and policies for multiple audiences and populations.</w:t>
      </w:r>
    </w:p>
    <w:p w:rsidR="00000000" w:rsidDel="00000000" w:rsidP="00000000" w:rsidRDefault="00000000" w:rsidRPr="00000000" w14:paraId="00000010">
      <w:pPr>
        <w:shd w:fill="auto" w:val="clear"/>
        <w:spacing w:before="200" w:line="276" w:lineRule="auto"/>
        <w:rPr>
          <w:sz w:val="22"/>
          <w:szCs w:val="22"/>
          <w:highlight w:val="white"/>
        </w:rPr>
      </w:pPr>
      <w:hyperlink r:id="rId13">
        <w:r w:rsidDel="00000000" w:rsidR="00000000" w:rsidRPr="00000000">
          <w:rPr>
            <w:color w:val="1155cc"/>
            <w:sz w:val="22"/>
            <w:szCs w:val="22"/>
            <w:highlight w:val="white"/>
            <w:u w:val="single"/>
            <w:rtl w:val="0"/>
          </w:rPr>
          <w:t xml:space="preserve">The California Evidence-Based Clearinghouse for Child Welfare</w:t>
        </w:r>
      </w:hyperlink>
      <w:r w:rsidDel="00000000" w:rsidR="00000000" w:rsidRPr="00000000">
        <w:rPr>
          <w:sz w:val="22"/>
          <w:szCs w:val="22"/>
          <w:highlight w:val="white"/>
          <w:rtl w:val="0"/>
        </w:rPr>
        <w:t xml:space="preserve">- A nationally recognized repository that provides information on both evidence-based and non-evidence-based child welfare-related practices to statewide agencies, counties, public and private organizations, and individuals. </w:t>
      </w:r>
    </w:p>
    <w:p w:rsidR="00000000" w:rsidDel="00000000" w:rsidP="00000000" w:rsidRDefault="00000000" w:rsidRPr="00000000" w14:paraId="00000011">
      <w:pPr>
        <w:shd w:fill="auto" w:val="clear"/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auto" w:val="clear"/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auto" w:val="clear"/>
        <w:spacing w:line="276" w:lineRule="auto"/>
        <w:jc w:val="center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  <w:t xml:space="preserve">Statewide trauma-informed/ trauma-focused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auto" w:val="clear"/>
        <w:spacing w:line="276" w:lineRule="auto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auto" w:val="clear"/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Whole Health Louisiana</w:t>
        </w:r>
      </w:hyperlink>
      <w:r w:rsidDel="00000000" w:rsidR="00000000" w:rsidRPr="00000000">
        <w:rPr>
          <w:rtl w:val="0"/>
        </w:rPr>
        <w:t xml:space="preserve">- The Whole Health Louisiana initiative systematically addresses the drivers and impacts of childhood adversity through the integration of trauma-informed and healing-centered approaches in our state’s systems of care and support for children and families.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auto" w:val="clea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National Child Traumatic Stress Network:</w:t>
      </w:r>
    </w:p>
    <w:p w:rsidR="00000000" w:rsidDel="00000000" w:rsidP="00000000" w:rsidRDefault="00000000" w:rsidRPr="00000000" w14:paraId="0000001A">
      <w:pP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Overview of SAMHSA’s key principles of a TI approach:</w:t>
      </w:r>
    </w:p>
    <w:p w:rsidR="00000000" w:rsidDel="00000000" w:rsidP="00000000" w:rsidRDefault="00000000" w:rsidRPr="00000000" w14:paraId="0000001B">
      <w:pPr>
        <w:shd w:fill="auto" w:val="clear"/>
        <w:rPr>
          <w:sz w:val="22"/>
          <w:szCs w:val="22"/>
        </w:rPr>
      </w:pPr>
      <w:hyperlink r:id="rId15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https://www.nctsn.org/trauma-informed-care/family-youth-provider-partnerships/introduction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Resources for TI Family-Youth-Provider Partnerships: The Sharing Power resources may be useful.</w:t>
      </w:r>
    </w:p>
    <w:p w:rsidR="00000000" w:rsidDel="00000000" w:rsidP="00000000" w:rsidRDefault="00000000" w:rsidRPr="00000000" w14:paraId="0000001D">
      <w:pPr>
        <w:shd w:fill="auto" w:val="clear"/>
        <w:rPr>
          <w:sz w:val="22"/>
          <w:szCs w:val="22"/>
        </w:rPr>
      </w:pPr>
      <w:hyperlink r:id="rId1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https://www.nctsn.org/trauma-informed-care/family-youth-provider-partnerships/nctsn-resources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General resource list that can be narrowed down by selecting audience and other filters:</w:t>
      </w:r>
    </w:p>
    <w:p w:rsidR="00000000" w:rsidDel="00000000" w:rsidP="00000000" w:rsidRDefault="00000000" w:rsidRPr="00000000" w14:paraId="0000001F">
      <w:pPr>
        <w:shd w:fill="auto" w:val="clear"/>
        <w:rPr>
          <w:sz w:val="22"/>
          <w:szCs w:val="22"/>
        </w:rPr>
      </w:pPr>
      <w:hyperlink r:id="rId1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https://www.nctsn.org/resources/all-nctsn-resources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Resources for Healthcare Providers: There are a lot of resources that may be of use to your group.</w:t>
      </w:r>
    </w:p>
    <w:p w:rsidR="00000000" w:rsidDel="00000000" w:rsidP="00000000" w:rsidRDefault="00000000" w:rsidRPr="00000000" w14:paraId="00000021">
      <w:pPr>
        <w:shd w:fill="auto" w:val="clear"/>
        <w:rPr>
          <w:sz w:val="22"/>
          <w:szCs w:val="22"/>
        </w:rPr>
      </w:pPr>
      <w:hyperlink r:id="rId1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https://www.nctsn.org/resources/all-nctsn-resources?search=&amp;resource_type=All&amp;trauma_type=All&amp;language=26&amp;audience=30&amp;other=All&amp;page=1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auto" w:val="clea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auto" w:val="clea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Center for Health Care Strategies Trauma-Informed Care Resource Center:</w:t>
      </w:r>
    </w:p>
    <w:p w:rsidR="00000000" w:rsidDel="00000000" w:rsidP="00000000" w:rsidRDefault="00000000" w:rsidRPr="00000000" w14:paraId="00000024">
      <w:pP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https://www.chcs.org/resource/trauma-informed-care-implementation-resource-center/</w:t>
      </w:r>
    </w:p>
    <w:p w:rsidR="00000000" w:rsidDel="00000000" w:rsidP="00000000" w:rsidRDefault="00000000" w:rsidRPr="00000000" w14:paraId="00000025">
      <w:pPr>
        <w:shd w:fill="auto" w:val="clea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auto" w:val="clea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Resources Specific to Emergency/Crisis and Disaster Settings from ACF:</w:t>
      </w:r>
    </w:p>
    <w:p w:rsidR="00000000" w:rsidDel="00000000" w:rsidP="00000000" w:rsidRDefault="00000000" w:rsidRPr="00000000" w14:paraId="00000027">
      <w:pPr>
        <w:shd w:fill="auto" w:val="clear"/>
        <w:rPr>
          <w:sz w:val="22"/>
          <w:szCs w:val="22"/>
        </w:rPr>
      </w:pPr>
      <w:hyperlink r:id="rId1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https://www.acf.hhs.gov/trauma-toolkit/emergency-crisis-and-disaster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auto" w:val="clea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Resources from the Rural Health Information Hub:</w:t>
      </w:r>
    </w:p>
    <w:p w:rsidR="00000000" w:rsidDel="00000000" w:rsidP="00000000" w:rsidRDefault="00000000" w:rsidRPr="00000000" w14:paraId="0000002A">
      <w:pPr>
        <w:shd w:fill="auto" w:val="clear"/>
        <w:rPr>
          <w:sz w:val="22"/>
          <w:szCs w:val="22"/>
        </w:rPr>
      </w:pPr>
      <w:hyperlink r:id="rId20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https://www.ruralhealthinfo.org/toolkits/mental-health/2/acceptability/trauma-informed-care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auto" w:val="clea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auto" w:val="clea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Resources from the Health Care Toolbox:</w:t>
      </w:r>
    </w:p>
    <w:p w:rsidR="00000000" w:rsidDel="00000000" w:rsidP="00000000" w:rsidRDefault="00000000" w:rsidRPr="00000000" w14:paraId="0000002D">
      <w:pPr>
        <w:shd w:fill="auto" w:val="clear"/>
        <w:rPr>
          <w:sz w:val="22"/>
          <w:szCs w:val="22"/>
        </w:rPr>
      </w:pPr>
      <w:hyperlink r:id="rId21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https://www.healthcaretoolbox.org/pre-hospital-providers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auto" w:val="clea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Trauma-Informed Oregon has great resources for implementing a trauma-informed approach:</w:t>
      </w:r>
    </w:p>
    <w:p w:rsidR="00000000" w:rsidDel="00000000" w:rsidP="00000000" w:rsidRDefault="00000000" w:rsidRPr="00000000" w14:paraId="00000030">
      <w:pPr>
        <w:shd w:fill="auto" w:val="clear"/>
        <w:rPr>
          <w:sz w:val="22"/>
          <w:szCs w:val="22"/>
        </w:rPr>
      </w:pPr>
      <w:hyperlink r:id="rId22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https://traumainformedoregon.org/implementation/implementation-and-accountability-overview/screening-tool/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https://docs.google.com/document/d/1Ct_sXCKjXByssm_egOPrQvxipQxNub0iFKOAWP1vyYA/edit?usp=sharing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a4a4a"/>
        <w:sz w:val="25"/>
        <w:szCs w:val="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hd w:fill="ffffff" w:val="clear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ruralhealthinfo.org/toolkits/mental-health/2/acceptability/trauma-informed-care" TargetMode="External"/><Relationship Id="rId11" Type="http://schemas.openxmlformats.org/officeDocument/2006/relationships/hyperlink" Target="https://vetoviolence.cdc.gov/apps/main/aces-resources" TargetMode="External"/><Relationship Id="rId22" Type="http://schemas.openxmlformats.org/officeDocument/2006/relationships/hyperlink" Target="https://traumainformedoregon.org/implementation/implementation-and-accountability-overview/screening-tool/" TargetMode="External"/><Relationship Id="rId10" Type="http://schemas.openxmlformats.org/officeDocument/2006/relationships/hyperlink" Target="https://www.childwelfare.gov/more-tools-resources/mm/videos/strongfamilies/" TargetMode="External"/><Relationship Id="rId21" Type="http://schemas.openxmlformats.org/officeDocument/2006/relationships/hyperlink" Target="https://www.healthcaretoolbox.org/pre-hospital-providers" TargetMode="External"/><Relationship Id="rId13" Type="http://schemas.openxmlformats.org/officeDocument/2006/relationships/hyperlink" Target="https://www.cebc4cw.org/" TargetMode="External"/><Relationship Id="rId12" Type="http://schemas.openxmlformats.org/officeDocument/2006/relationships/hyperlink" Target="https://www.pacesconnection.com/" TargetMode="External"/><Relationship Id="rId23" Type="http://schemas.openxmlformats.org/officeDocument/2006/relationships/hyperlink" Target="https://docs.google.com/document/d/1Ct_sXCKjXByssm_egOPrQvxipQxNub0iFKOAWP1vyYA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evelopingchild.harvard.edu/resources/" TargetMode="External"/><Relationship Id="rId15" Type="http://schemas.openxmlformats.org/officeDocument/2006/relationships/hyperlink" Target="https://www.nctsn.org/trauma-informed-care/family-youth-provider-partnerships/introduction" TargetMode="External"/><Relationship Id="rId14" Type="http://schemas.openxmlformats.org/officeDocument/2006/relationships/hyperlink" Target="https://wholehealthlouisiana.org/" TargetMode="External"/><Relationship Id="rId17" Type="http://schemas.openxmlformats.org/officeDocument/2006/relationships/hyperlink" Target="https://www.nctsn.org/resources/all-nctsn-resources" TargetMode="External"/><Relationship Id="rId16" Type="http://schemas.openxmlformats.org/officeDocument/2006/relationships/hyperlink" Target="https://www.nctsn.org/trauma-informed-care/family-youth-provider-partnerships/nctsn-resources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acf.hhs.gov/trauma-toolkit/emergency-crisis-and-disaster" TargetMode="External"/><Relationship Id="rId6" Type="http://schemas.openxmlformats.org/officeDocument/2006/relationships/hyperlink" Target="https://www.samhsa.gov/mental-health/trauma-violence/trauma-informed-approaches-programs" TargetMode="External"/><Relationship Id="rId18" Type="http://schemas.openxmlformats.org/officeDocument/2006/relationships/hyperlink" Target="https://www.nctsn.org/resources/all-nctsn-resources?search=&amp;resource_type=All&amp;trauma_type=All&amp;language=26&amp;audience=30&amp;other=All&amp;page=1" TargetMode="External"/><Relationship Id="rId7" Type="http://schemas.openxmlformats.org/officeDocument/2006/relationships/hyperlink" Target="https://www.nctsn.org" TargetMode="External"/><Relationship Id="rId8" Type="http://schemas.openxmlformats.org/officeDocument/2006/relationships/hyperlink" Target="https://www.ctipp.org/about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