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u w:val="single"/>
        </w:rPr>
      </w:pPr>
      <w:r w:rsidDel="00000000" w:rsidR="00000000" w:rsidRPr="00000000">
        <w:rPr>
          <w:rFonts w:ascii="Calibri" w:cs="Calibri" w:eastAsia="Calibri" w:hAnsi="Calibri"/>
          <w:u w:val="single"/>
          <w:rtl w:val="0"/>
        </w:rPr>
        <w:t xml:space="preserve">Trauma-Informed Program Development Resources for LEOs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hyperlink r:id="rId6">
        <w:r w:rsidDel="00000000" w:rsidR="00000000" w:rsidRPr="00000000">
          <w:rPr>
            <w:rFonts w:ascii="Calibri" w:cs="Calibri" w:eastAsia="Calibri" w:hAnsi="Calibri"/>
            <w:color w:val="1155cc"/>
            <w:u w:val="single"/>
            <w:rtl w:val="0"/>
          </w:rPr>
          <w:t xml:space="preserve">Enhancing Law Enforcement Response to Children Exposed to Violence Toolkit</w:t>
        </w:r>
      </w:hyperlink>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ab/>
        <w:t xml:space="preserve">The IACP and Yale, with support from OJJDP, have launched the Enhancing Police Responses to Children Exposed to Violence: A Toolkit for Law Enforcement which provides practical tools and resources to assist law enforcement agencies in building or enhancing effective operational responses to children exposed to violence (with or without a mental health partner). Law enforcement and mental health providers working with law enforcement may request hardcopy toolkits by contacting: CEV@theiacp.org</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SAMHSA: Trauma Training for Criminal Justice Professionals</w:t>
        </w:r>
      </w:hyperlink>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ab/>
        <w:t xml:space="preserve">The GAINS Center has developed training for criminal justice professionals to raise awareness about trauma and its effects. “How Being Trauma-Informed Improves Criminal Justice System Responses” is a half-day training for criminal justice professionals to increase understanding and awareness of the impact of trauma, develop trauma-informed responses, and provide strategies for developing and implementing trauma-informed policies.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There are SAMHSA-funded trainers in North LA linked </w:t>
      </w:r>
      <w:hyperlink r:id="rId8">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u w:val="single"/>
        </w:rPr>
      </w:pPr>
      <w:r w:rsidDel="00000000" w:rsidR="00000000" w:rsidRPr="00000000">
        <w:rPr>
          <w:rFonts w:ascii="Calibri" w:cs="Calibri" w:eastAsia="Calibri" w:hAnsi="Calibri"/>
          <w:u w:val="single"/>
          <w:rtl w:val="0"/>
        </w:rPr>
        <w:t xml:space="preserve">Additional Resources: Guidebooks, Assessments, Videos</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SAMHSA: Practical Guide for Implementing a Trauma-Informed Approach</w:t>
        </w:r>
      </w:hyperlink>
      <w:r w:rsidDel="00000000" w:rsidR="00000000" w:rsidRPr="00000000">
        <w:rPr>
          <w:rtl w:val="0"/>
        </w:rPr>
      </w:r>
    </w:p>
    <w:p w:rsidR="00000000" w:rsidDel="00000000" w:rsidP="00000000" w:rsidRDefault="00000000" w:rsidRPr="00000000" w14:paraId="0000000D">
      <w:pPr>
        <w:ind w:firstLine="720"/>
        <w:rPr>
          <w:rFonts w:ascii="Calibri" w:cs="Calibri" w:eastAsia="Calibri" w:hAnsi="Calibri"/>
        </w:rPr>
      </w:pPr>
      <w:r w:rsidDel="00000000" w:rsidR="00000000" w:rsidRPr="00000000">
        <w:rPr>
          <w:rFonts w:ascii="Calibri" w:cs="Calibri" w:eastAsia="Calibri" w:hAnsi="Calibri"/>
          <w:rtl w:val="0"/>
        </w:rPr>
        <w:t xml:space="preserve">This practical guide updates and expands the discussion presented in SAMHSA's Concept of Trauma and Guidance for a Trauma-Informed Approach Resource from 2014. The primary goal of this guide is to provide implementation strategies across multiple domains based on the original publication.</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NCTSN: Cops, Kids, and Domestic Violence Law Enforcement Training Video</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ind w:firstLine="720"/>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Describes the impact of domestic violence on children. This video provides law enforcement officers with concrete information about what they can do when responding to the scene of a domestic violence call. This 20-minute video depicts a "typical" domestic violence scene, referenced throughout the training to illustrate key learning points. Also, it uses children's drawings and voices and interviews with law enforcement to engage the audience.</w:t>
      </w:r>
    </w:p>
    <w:p w:rsidR="00000000" w:rsidDel="00000000" w:rsidP="00000000" w:rsidRDefault="00000000" w:rsidRPr="00000000" w14:paraId="00000011">
      <w:pPr>
        <w:ind w:firstLine="72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ind w:firstLine="0"/>
        <w:rPr>
          <w:rFonts w:ascii="Calibri" w:cs="Calibri" w:eastAsia="Calibri" w:hAnsi="Calibri"/>
          <w:highlight w:val="white"/>
        </w:rPr>
      </w:pPr>
      <w:hyperlink r:id="rId11">
        <w:r w:rsidDel="00000000" w:rsidR="00000000" w:rsidRPr="00000000">
          <w:rPr>
            <w:rFonts w:ascii="Calibri" w:cs="Calibri" w:eastAsia="Calibri" w:hAnsi="Calibri"/>
            <w:color w:val="1155cc"/>
            <w:highlight w:val="white"/>
            <w:u w:val="single"/>
            <w:rtl w:val="0"/>
          </w:rPr>
          <w:t xml:space="preserve">NCTSN: Think Trauma: A Training for Working with Justice-Involved Youth, 2nd Edition</w:t>
        </w:r>
      </w:hyperlink>
      <w:r w:rsidDel="00000000" w:rsidR="00000000" w:rsidRPr="00000000">
        <w:rPr>
          <w:rtl w:val="0"/>
        </w:rPr>
      </w:r>
    </w:p>
    <w:p w:rsidR="00000000" w:rsidDel="00000000" w:rsidP="00000000" w:rsidRDefault="00000000" w:rsidRPr="00000000" w14:paraId="00000013">
      <w:pPr>
        <w:ind w:firstLine="0"/>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Provides an overview for juvenile justice staff on how to work towards creating a trauma-informed juvenile justice residential setting. This training includes four modules including trauma and delinquency, trauma’s impact on development, coping strategies, vicarious trauma, organizational stress, and self-care.</w:t>
      </w:r>
    </w:p>
    <w:p w:rsidR="00000000" w:rsidDel="00000000" w:rsidP="00000000" w:rsidRDefault="00000000" w:rsidRPr="00000000" w14:paraId="00000014">
      <w:pPr>
        <w:ind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5">
      <w:pPr>
        <w:ind w:firstLine="0"/>
        <w:rPr>
          <w:rFonts w:ascii="Calibri" w:cs="Calibri" w:eastAsia="Calibri" w:hAnsi="Calibri"/>
          <w:highlight w:val="white"/>
        </w:rPr>
      </w:pPr>
      <w:hyperlink r:id="rId12">
        <w:r w:rsidDel="00000000" w:rsidR="00000000" w:rsidRPr="00000000">
          <w:rPr>
            <w:rFonts w:ascii="Calibri" w:cs="Calibri" w:eastAsia="Calibri" w:hAnsi="Calibri"/>
            <w:color w:val="1155cc"/>
            <w:highlight w:val="white"/>
            <w:u w:val="single"/>
            <w:rtl w:val="0"/>
          </w:rPr>
          <w:t xml:space="preserve">NCTSN: Making Think Trauma Stick: A Guide to Training and Implementation</w:t>
        </w:r>
      </w:hyperlink>
      <w:r w:rsidDel="00000000" w:rsidR="00000000" w:rsidRPr="00000000">
        <w:rPr>
          <w:rtl w:val="0"/>
        </w:rPr>
      </w:r>
    </w:p>
    <w:p w:rsidR="00000000" w:rsidDel="00000000" w:rsidP="00000000" w:rsidRDefault="00000000" w:rsidRPr="00000000" w14:paraId="00000016">
      <w:pPr>
        <w:ind w:firstLine="0"/>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This is a virtual guide that walks through </w:t>
      </w:r>
      <w:r w:rsidDel="00000000" w:rsidR="00000000" w:rsidRPr="00000000">
        <w:rPr>
          <w:rFonts w:ascii="Calibri" w:cs="Calibri" w:eastAsia="Calibri" w:hAnsi="Calibri"/>
          <w:i w:val="1"/>
          <w:highlight w:val="white"/>
          <w:rtl w:val="0"/>
        </w:rPr>
        <w:t xml:space="preserve">Making Think Trauma Stick: A Guide to Training and Implementation</w:t>
      </w:r>
      <w:r w:rsidDel="00000000" w:rsidR="00000000" w:rsidRPr="00000000">
        <w:rPr>
          <w:rFonts w:ascii="Calibri" w:cs="Calibri" w:eastAsia="Calibri" w:hAnsi="Calibri"/>
          <w:highlight w:val="white"/>
          <w:rtl w:val="0"/>
        </w:rPr>
        <w:t xml:space="preserve">, developed by the National Child Traumatic Stress Network (NCTSN). This guide helps support the process of implementation at your organization, introduces key factors and activities to engage in before, during, and after the full </w:t>
      </w:r>
      <w:r w:rsidDel="00000000" w:rsidR="00000000" w:rsidRPr="00000000">
        <w:rPr>
          <w:rFonts w:ascii="Calibri" w:cs="Calibri" w:eastAsia="Calibri" w:hAnsi="Calibri"/>
          <w:i w:val="1"/>
          <w:highlight w:val="white"/>
          <w:rtl w:val="0"/>
        </w:rPr>
        <w:t xml:space="preserve">Think Trauma</w:t>
      </w:r>
      <w:r w:rsidDel="00000000" w:rsidR="00000000" w:rsidRPr="00000000">
        <w:rPr>
          <w:rFonts w:ascii="Calibri" w:cs="Calibri" w:eastAsia="Calibri" w:hAnsi="Calibri"/>
          <w:highlight w:val="white"/>
          <w:rtl w:val="0"/>
        </w:rPr>
        <w:t xml:space="preserve"> training, and includes tips and questions to utilize along the way.</w:t>
      </w:r>
    </w:p>
    <w:p w:rsidR="00000000" w:rsidDel="00000000" w:rsidP="00000000" w:rsidRDefault="00000000" w:rsidRPr="00000000" w14:paraId="00000017">
      <w:pPr>
        <w:ind w:firstLine="0"/>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8">
      <w:pPr>
        <w:ind w:firstLine="0"/>
        <w:rPr>
          <w:rFonts w:ascii="Calibri" w:cs="Calibri" w:eastAsia="Calibri" w:hAnsi="Calibri"/>
          <w:highlight w:val="white"/>
        </w:rPr>
      </w:pPr>
      <w:hyperlink r:id="rId13">
        <w:r w:rsidDel="00000000" w:rsidR="00000000" w:rsidRPr="00000000">
          <w:rPr>
            <w:rFonts w:ascii="Calibri" w:cs="Calibri" w:eastAsia="Calibri" w:hAnsi="Calibri"/>
            <w:color w:val="1155cc"/>
            <w:highlight w:val="white"/>
            <w:u w:val="single"/>
            <w:rtl w:val="0"/>
          </w:rPr>
          <w:t xml:space="preserve">NCTSN: Polyvictimization and Complex Trauma</w:t>
        </w:r>
      </w:hyperlink>
      <w:r w:rsidDel="00000000" w:rsidR="00000000" w:rsidRPr="00000000">
        <w:rPr>
          <w:rtl w:val="0"/>
        </w:rPr>
      </w:r>
    </w:p>
    <w:p w:rsidR="00000000" w:rsidDel="00000000" w:rsidP="00000000" w:rsidRDefault="00000000" w:rsidRPr="00000000" w14:paraId="00000019">
      <w:pPr>
        <w:ind w:firstLine="0"/>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Focuses on complex trauma and polyvictimization. This webinar describes how they affect a wide range of populations, as well as offers useful tools to a broad range of professionals, including educators, mental health providers, law enforcement, judicial personnel, and child welfare workers.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This links to some resources for judges and jail staff:  </w:t>
      </w:r>
      <w:hyperlink r:id="rId14">
        <w:r w:rsidDel="00000000" w:rsidR="00000000" w:rsidRPr="00000000">
          <w:rPr>
            <w:rFonts w:ascii="Calibri" w:cs="Calibri" w:eastAsia="Calibri" w:hAnsi="Calibri"/>
            <w:color w:val="1155cc"/>
            <w:u w:val="single"/>
            <w:rtl w:val="0"/>
          </w:rPr>
          <w:t xml:space="preserve">https://www.prainc.com/resource-library/products/</w:t>
        </w:r>
      </w:hyperlink>
      <w:r w:rsidDel="00000000" w:rsidR="00000000" w:rsidRPr="00000000">
        <w:rPr>
          <w:rtl w:val="0"/>
        </w:rPr>
      </w:r>
    </w:p>
    <w:p w:rsidR="00000000" w:rsidDel="00000000" w:rsidP="00000000" w:rsidRDefault="00000000" w:rsidRPr="00000000" w14:paraId="0000001C">
      <w:pPr>
        <w:ind w:firstLine="0"/>
        <w:rPr>
          <w:rFonts w:ascii="Calibri" w:cs="Calibri" w:eastAsia="Calibri" w:hAnsi="Calibri"/>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tsn.org/resources/think-trauma-training-working-justice-involved-youth-2nd-edition" TargetMode="External"/><Relationship Id="rId10" Type="http://schemas.openxmlformats.org/officeDocument/2006/relationships/hyperlink" Target="https://www.nctsn.org/resources/cops-kids-and-domestic-violence-law-enforcement-training-video" TargetMode="External"/><Relationship Id="rId13" Type="http://schemas.openxmlformats.org/officeDocument/2006/relationships/hyperlink" Target="https://www.nctsn.org/resources/polyvictimization-and-complex-trauma" TargetMode="External"/><Relationship Id="rId12" Type="http://schemas.openxmlformats.org/officeDocument/2006/relationships/hyperlink" Target="https://www.nctsn.org/resources/making-think-trauma-stick-a-guide-to-training-and-implement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samhsa.gov/product/practical-guide-implementing-trauma-informed-approach/pep23-06-05-005" TargetMode="External"/><Relationship Id="rId14" Type="http://schemas.openxmlformats.org/officeDocument/2006/relationships/hyperlink" Target="https://www.prainc.com/resource-library/products/" TargetMode="External"/><Relationship Id="rId5" Type="http://schemas.openxmlformats.org/officeDocument/2006/relationships/styles" Target="styles.xml"/><Relationship Id="rId6" Type="http://schemas.openxmlformats.org/officeDocument/2006/relationships/hyperlink" Target="https://www.theiacp.org/resources/enhancing-law-enforcement-response-to-children-exposed-to-violence-toolkit" TargetMode="External"/><Relationship Id="rId7" Type="http://schemas.openxmlformats.org/officeDocument/2006/relationships/hyperlink" Target="https://www.samhsa.gov/gains-center/trauma-training-criminal-justice-professionals" TargetMode="External"/><Relationship Id="rId8" Type="http://schemas.openxmlformats.org/officeDocument/2006/relationships/hyperlink" Target="https://www.samhsa.gov/technical-assistance/gains-center/trauma-training/trauma-trainers?field_gains_tt_state_value=Louisi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