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0F" w:rsidRDefault="00FB6B0F" w:rsidP="00560DC1">
      <w:pPr>
        <w:spacing w:after="0" w:line="259" w:lineRule="auto"/>
        <w:rPr>
          <w:rFonts w:ascii="DINOT" w:eastAsia="Cambria" w:hAnsi="DINOT" w:cs="DINOT"/>
          <w:b/>
          <w:color w:val="912D98"/>
          <w:sz w:val="36"/>
          <w:szCs w:val="36"/>
        </w:rPr>
      </w:pPr>
    </w:p>
    <w:p w:rsidR="00560DC1" w:rsidRPr="00C86F73" w:rsidRDefault="000469A0" w:rsidP="00560DC1">
      <w:pPr>
        <w:spacing w:after="0" w:line="259" w:lineRule="auto"/>
        <w:rPr>
          <w:rFonts w:ascii="DINOT" w:eastAsia="Cambria" w:hAnsi="DINOT" w:cs="DINOT"/>
          <w:b/>
          <w:color w:val="912D98"/>
          <w:sz w:val="38"/>
          <w:szCs w:val="36"/>
        </w:rPr>
      </w:pPr>
      <w:r>
        <w:rPr>
          <w:rFonts w:ascii="DINOT" w:eastAsia="Cambria" w:hAnsi="DINOT" w:cs="DINOT"/>
          <w:b/>
          <w:color w:val="912D98"/>
          <w:sz w:val="36"/>
          <w:szCs w:val="36"/>
        </w:rPr>
        <w:t>The Lawson Practice</w:t>
      </w:r>
    </w:p>
    <w:p w:rsidR="00560DC1" w:rsidRPr="00560DC1" w:rsidRDefault="00560DC1" w:rsidP="00DC791A">
      <w:pPr>
        <w:spacing w:after="0" w:line="259" w:lineRule="auto"/>
        <w:rPr>
          <w:rFonts w:ascii="DINOT" w:eastAsia="Cambria" w:hAnsi="DINOT" w:cs="DINOT"/>
          <w:b/>
          <w:color w:val="912D98"/>
          <w:sz w:val="36"/>
          <w:szCs w:val="36"/>
        </w:rPr>
      </w:pPr>
      <w:r>
        <w:rPr>
          <w:rFonts w:ascii="DINOT" w:eastAsia="Cambria" w:hAnsi="DINOT" w:cs="DINOT"/>
          <w:b/>
          <w:color w:val="912D98"/>
          <w:sz w:val="36"/>
          <w:szCs w:val="36"/>
        </w:rPr>
        <w:t>Generic Work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60DC1" w:rsidRPr="00560DC1" w:rsidTr="007F5C8C">
        <w:tc>
          <w:tcPr>
            <w:tcW w:w="9242" w:type="dxa"/>
            <w:shd w:val="clear" w:color="auto" w:fill="912D98"/>
          </w:tcPr>
          <w:p w:rsidR="00560DC1" w:rsidRPr="00560DC1" w:rsidRDefault="00560DC1" w:rsidP="00560DC1">
            <w:pPr>
              <w:spacing w:after="160" w:line="259" w:lineRule="auto"/>
              <w:ind w:left="567"/>
              <w:jc w:val="center"/>
              <w:rPr>
                <w:rFonts w:ascii="DINOT" w:eastAsia="Calibri" w:hAnsi="DINOT" w:cs="DINOT"/>
                <w:b/>
                <w:color w:val="FFFFFF"/>
              </w:rPr>
            </w:pPr>
            <w:r w:rsidRPr="00560DC1">
              <w:rPr>
                <w:rFonts w:ascii="DINOT" w:eastAsia="Calibri" w:hAnsi="DINOT" w:cs="DINOT"/>
                <w:b/>
                <w:color w:val="FFFFFF"/>
                <w:sz w:val="24"/>
              </w:rPr>
              <w:t>Work Schedule</w:t>
            </w:r>
          </w:p>
        </w:tc>
      </w:tr>
      <w:tr w:rsidR="00C86F73" w:rsidRPr="00560DC1" w:rsidTr="007F5C8C">
        <w:trPr>
          <w:trHeight w:val="466"/>
        </w:trPr>
        <w:tc>
          <w:tcPr>
            <w:tcW w:w="9242" w:type="dxa"/>
          </w:tcPr>
          <w:p w:rsidR="00C86F73" w:rsidRPr="00560DC1" w:rsidRDefault="0083295D" w:rsidP="00D12C96">
            <w:pPr>
              <w:spacing w:after="160" w:line="259" w:lineRule="auto"/>
              <w:rPr>
                <w:rFonts w:ascii="DINOT" w:eastAsia="Calibri" w:hAnsi="DINOT" w:cs="DINOT"/>
                <w:b/>
              </w:rPr>
            </w:pPr>
            <w:r w:rsidRPr="00C23223">
              <w:rPr>
                <w:rFonts w:ascii="DINOT" w:hAnsi="DINOT" w:cs="DINOT"/>
                <w:b/>
                <w:color w:val="7030A0"/>
              </w:rPr>
              <w:t>Trainee N</w:t>
            </w:r>
            <w:r w:rsidR="00C86F73" w:rsidRPr="00C23223">
              <w:rPr>
                <w:rFonts w:ascii="DINOT" w:hAnsi="DINOT" w:cs="DINOT"/>
                <w:b/>
                <w:color w:val="7030A0"/>
              </w:rPr>
              <w:t>ame:</w:t>
            </w:r>
            <w:r w:rsidR="00C86F73" w:rsidRPr="00C23223">
              <w:rPr>
                <w:rFonts w:ascii="DINOT" w:hAnsi="DINOT" w:cs="DINOT"/>
                <w:i/>
                <w:color w:val="7030A0"/>
              </w:rPr>
              <w:t xml:space="preserve"> </w:t>
            </w:r>
            <w:r w:rsidR="00D12C96">
              <w:rPr>
                <w:rFonts w:ascii="DINOT" w:hAnsi="DINOT" w:cs="DINOT"/>
                <w:i/>
              </w:rPr>
              <w:t>Hayley Sherratt</w:t>
            </w:r>
          </w:p>
        </w:tc>
      </w:tr>
      <w:tr w:rsidR="00560DC1" w:rsidRPr="00560DC1" w:rsidTr="007F5C8C">
        <w:trPr>
          <w:trHeight w:val="466"/>
        </w:trPr>
        <w:tc>
          <w:tcPr>
            <w:tcW w:w="9242" w:type="dxa"/>
          </w:tcPr>
          <w:p w:rsidR="00560DC1" w:rsidRPr="00560DC1" w:rsidRDefault="0083295D" w:rsidP="00560DC1">
            <w:pPr>
              <w:spacing w:after="160" w:line="259" w:lineRule="auto"/>
              <w:rPr>
                <w:rFonts w:ascii="DINOT" w:eastAsia="Calibri" w:hAnsi="DINOT" w:cs="DINOT"/>
                <w:b/>
              </w:rPr>
            </w:pPr>
            <w:r w:rsidRPr="00C23223">
              <w:rPr>
                <w:rFonts w:ascii="DINOT" w:eastAsia="Calibri" w:hAnsi="DINOT" w:cs="DINOT"/>
                <w:b/>
                <w:color w:val="7030A0"/>
              </w:rPr>
              <w:t>Training P</w:t>
            </w:r>
            <w:r w:rsidR="00560DC1" w:rsidRPr="00560DC1">
              <w:rPr>
                <w:rFonts w:ascii="DINOT" w:eastAsia="Calibri" w:hAnsi="DINOT" w:cs="DINOT"/>
                <w:b/>
                <w:color w:val="7030A0"/>
              </w:rPr>
              <w:t xml:space="preserve">rogramme: </w:t>
            </w:r>
            <w:r w:rsidR="00560DC1" w:rsidRPr="00560DC1">
              <w:rPr>
                <w:rFonts w:ascii="DINOT" w:eastAsia="Calibri" w:hAnsi="DINOT" w:cs="DINOT"/>
              </w:rPr>
              <w:t>General Practice</w:t>
            </w:r>
          </w:p>
        </w:tc>
      </w:tr>
      <w:tr w:rsidR="00560DC1" w:rsidRPr="00560DC1" w:rsidTr="007F5C8C">
        <w:tc>
          <w:tcPr>
            <w:tcW w:w="9242" w:type="dxa"/>
          </w:tcPr>
          <w:p w:rsidR="00560DC1" w:rsidRPr="00560DC1" w:rsidRDefault="0083295D" w:rsidP="00560DC1">
            <w:pPr>
              <w:tabs>
                <w:tab w:val="center" w:pos="4153"/>
              </w:tabs>
              <w:spacing w:after="160" w:line="259" w:lineRule="auto"/>
              <w:rPr>
                <w:rFonts w:ascii="DINOT" w:eastAsia="Calibri" w:hAnsi="DINOT" w:cs="DINOT"/>
                <w:b/>
              </w:rPr>
            </w:pPr>
            <w:r w:rsidRPr="00C23223">
              <w:rPr>
                <w:rFonts w:ascii="DINOT" w:eastAsia="Calibri" w:hAnsi="DINOT" w:cs="DINOT"/>
                <w:b/>
                <w:color w:val="7030A0"/>
              </w:rPr>
              <w:t>Specialty P</w:t>
            </w:r>
            <w:r w:rsidR="00560DC1" w:rsidRPr="00560DC1">
              <w:rPr>
                <w:rFonts w:ascii="DINOT" w:eastAsia="Calibri" w:hAnsi="DINOT" w:cs="DINOT"/>
                <w:b/>
                <w:color w:val="7030A0"/>
              </w:rPr>
              <w:t xml:space="preserve">lacement: </w:t>
            </w:r>
            <w:r w:rsidR="00560DC1" w:rsidRPr="00560DC1">
              <w:rPr>
                <w:rFonts w:ascii="DINOT" w:eastAsia="Calibri" w:hAnsi="DINOT" w:cs="DINOT"/>
              </w:rPr>
              <w:t>General Practice</w:t>
            </w:r>
          </w:p>
        </w:tc>
      </w:tr>
      <w:tr w:rsidR="00560DC1" w:rsidRPr="00560DC1" w:rsidTr="007F5C8C">
        <w:tc>
          <w:tcPr>
            <w:tcW w:w="9242" w:type="dxa"/>
          </w:tcPr>
          <w:p w:rsidR="00560DC1" w:rsidRPr="00560DC1" w:rsidRDefault="00560DC1" w:rsidP="00256E6C">
            <w:pPr>
              <w:tabs>
                <w:tab w:val="center" w:pos="4153"/>
              </w:tabs>
              <w:spacing w:after="160" w:line="259" w:lineRule="auto"/>
              <w:rPr>
                <w:rFonts w:ascii="DINOT" w:eastAsia="Calibri" w:hAnsi="DINOT" w:cs="DINOT"/>
                <w:b/>
              </w:rPr>
            </w:pPr>
            <w:r w:rsidRPr="00560DC1">
              <w:rPr>
                <w:rFonts w:ascii="DINOT" w:eastAsia="Calibri" w:hAnsi="DINOT" w:cs="DINOT"/>
                <w:b/>
                <w:color w:val="7030A0"/>
                <w:highlight w:val="yellow"/>
              </w:rPr>
              <w:t>Grade</w:t>
            </w:r>
            <w:r w:rsidRPr="00560DC1">
              <w:rPr>
                <w:rFonts w:ascii="DINOT" w:eastAsia="Calibri" w:hAnsi="DINOT" w:cs="DINOT"/>
                <w:b/>
                <w:highlight w:val="yellow"/>
              </w:rPr>
              <w:t>:</w:t>
            </w:r>
            <w:r w:rsidRPr="00560DC1">
              <w:rPr>
                <w:rFonts w:ascii="DINOT" w:eastAsia="Calibri" w:hAnsi="DINOT" w:cs="DINOT"/>
                <w:b/>
              </w:rPr>
              <w:t xml:space="preserve"> </w:t>
            </w:r>
            <w:r w:rsidR="00256E6C">
              <w:rPr>
                <w:rFonts w:ascii="DINOT" w:eastAsia="Calibri" w:hAnsi="DINOT" w:cs="DINOT"/>
                <w:i/>
              </w:rPr>
              <w:t xml:space="preserve"> ST2 ITP</w:t>
            </w:r>
          </w:p>
        </w:tc>
      </w:tr>
      <w:tr w:rsidR="00560DC1" w:rsidRPr="00560DC1" w:rsidTr="007F5C8C">
        <w:tc>
          <w:tcPr>
            <w:tcW w:w="9242" w:type="dxa"/>
          </w:tcPr>
          <w:p w:rsidR="00560DC1" w:rsidRPr="00560DC1" w:rsidRDefault="009F7DB5" w:rsidP="00560DC1">
            <w:pPr>
              <w:tabs>
                <w:tab w:val="center" w:pos="4153"/>
              </w:tabs>
              <w:spacing w:after="160" w:line="259" w:lineRule="auto"/>
              <w:rPr>
                <w:rFonts w:ascii="DINOT" w:eastAsia="Calibri" w:hAnsi="DINOT" w:cs="DINOT"/>
                <w:b/>
              </w:rPr>
            </w:pPr>
            <w:r w:rsidRPr="00C23223">
              <w:rPr>
                <w:rFonts w:ascii="DINOT" w:eastAsia="Calibri" w:hAnsi="DINOT" w:cs="DINOT"/>
                <w:b/>
                <w:color w:val="7030A0"/>
                <w:highlight w:val="yellow"/>
              </w:rPr>
              <w:t>Length of P</w:t>
            </w:r>
            <w:r w:rsidR="00560DC1" w:rsidRPr="00560DC1">
              <w:rPr>
                <w:rFonts w:ascii="DINOT" w:eastAsia="Calibri" w:hAnsi="DINOT" w:cs="DINOT"/>
                <w:b/>
                <w:color w:val="7030A0"/>
                <w:highlight w:val="yellow"/>
              </w:rPr>
              <w:t>lacement:</w:t>
            </w:r>
            <w:r w:rsidR="00560DC1" w:rsidRPr="00560DC1">
              <w:rPr>
                <w:rFonts w:ascii="DINOT" w:eastAsia="Calibri" w:hAnsi="DINOT" w:cs="DINOT"/>
                <w:b/>
              </w:rPr>
              <w:t xml:space="preserve"> </w:t>
            </w:r>
            <w:r w:rsidR="00256E6C">
              <w:rPr>
                <w:rFonts w:ascii="DINOT" w:eastAsia="Calibri" w:hAnsi="DINOT" w:cs="DINOT"/>
                <w:b/>
              </w:rPr>
              <w:t>6 Months</w:t>
            </w:r>
          </w:p>
        </w:tc>
      </w:tr>
      <w:tr w:rsidR="00560DC1" w:rsidRPr="00560DC1" w:rsidTr="007F5C8C">
        <w:tc>
          <w:tcPr>
            <w:tcW w:w="9242" w:type="dxa"/>
          </w:tcPr>
          <w:p w:rsidR="00560DC1" w:rsidRPr="00560DC1" w:rsidRDefault="0083295D" w:rsidP="00560DC1">
            <w:pPr>
              <w:tabs>
                <w:tab w:val="center" w:pos="4153"/>
              </w:tabs>
              <w:spacing w:after="160" w:line="259" w:lineRule="auto"/>
              <w:rPr>
                <w:rFonts w:ascii="DINOT" w:eastAsia="Calibri" w:hAnsi="DINOT" w:cs="DINOT"/>
              </w:rPr>
            </w:pPr>
            <w:r w:rsidRPr="00C23223">
              <w:rPr>
                <w:rFonts w:ascii="DINOT" w:eastAsia="Calibri" w:hAnsi="DINOT" w:cs="DINOT"/>
                <w:b/>
                <w:color w:val="7030A0"/>
              </w:rPr>
              <w:t>Employing O</w:t>
            </w:r>
            <w:r w:rsidR="00560DC1" w:rsidRPr="00560DC1">
              <w:rPr>
                <w:rFonts w:ascii="DINOT" w:eastAsia="Calibri" w:hAnsi="DINOT" w:cs="DINOT"/>
                <w:b/>
                <w:color w:val="7030A0"/>
              </w:rPr>
              <w:t>rganisation:</w:t>
            </w:r>
            <w:r w:rsidR="00560DC1" w:rsidRPr="00560DC1">
              <w:rPr>
                <w:rFonts w:ascii="DINOT" w:eastAsia="Calibri" w:hAnsi="DINOT" w:cs="DINOT"/>
              </w:rPr>
              <w:t xml:space="preserve"> </w:t>
            </w:r>
            <w:r w:rsidR="00560DC1" w:rsidRPr="00C86F73">
              <w:rPr>
                <w:rFonts w:ascii="DINOT" w:eastAsia="Calibri" w:hAnsi="DINOT" w:cs="DINOT"/>
              </w:rPr>
              <w:t>Royal Free</w:t>
            </w:r>
            <w:r w:rsidR="00C12D54" w:rsidRPr="00C86F73">
              <w:rPr>
                <w:rFonts w:ascii="DINOT" w:eastAsia="Calibri" w:hAnsi="DINOT" w:cs="DINOT"/>
              </w:rPr>
              <w:t xml:space="preserve"> London</w:t>
            </w:r>
            <w:r w:rsidR="00560DC1" w:rsidRPr="00C86F73">
              <w:rPr>
                <w:rFonts w:ascii="DINOT" w:eastAsia="Calibri" w:hAnsi="DINOT" w:cs="DINOT"/>
              </w:rPr>
              <w:t xml:space="preserve"> NHS Trust</w:t>
            </w:r>
          </w:p>
        </w:tc>
      </w:tr>
      <w:tr w:rsidR="00560DC1" w:rsidRPr="00560DC1" w:rsidTr="007F5C8C">
        <w:tc>
          <w:tcPr>
            <w:tcW w:w="9242" w:type="dxa"/>
          </w:tcPr>
          <w:p w:rsidR="00560DC1" w:rsidRPr="00560DC1" w:rsidRDefault="009F7DB5" w:rsidP="00560DC1">
            <w:pPr>
              <w:tabs>
                <w:tab w:val="center" w:pos="4153"/>
              </w:tabs>
              <w:spacing w:after="160" w:line="259" w:lineRule="auto"/>
              <w:rPr>
                <w:rFonts w:ascii="DINOT" w:eastAsia="Calibri" w:hAnsi="DINOT" w:cs="DINOT"/>
                <w:b/>
              </w:rPr>
            </w:pPr>
            <w:r w:rsidRPr="00C23223">
              <w:rPr>
                <w:rFonts w:ascii="DINOT" w:eastAsia="Calibri" w:hAnsi="DINOT" w:cs="DINOT"/>
                <w:b/>
                <w:color w:val="7030A0"/>
                <w:highlight w:val="yellow"/>
              </w:rPr>
              <w:t>Host O</w:t>
            </w:r>
            <w:r w:rsidR="00560DC1" w:rsidRPr="00560DC1">
              <w:rPr>
                <w:rFonts w:ascii="DINOT" w:eastAsia="Calibri" w:hAnsi="DINOT" w:cs="DINOT"/>
                <w:b/>
                <w:color w:val="7030A0"/>
                <w:highlight w:val="yellow"/>
              </w:rPr>
              <w:t>rganisation</w:t>
            </w:r>
            <w:r w:rsidR="00076504" w:rsidRPr="00C23223">
              <w:rPr>
                <w:rFonts w:ascii="DINOT" w:eastAsia="Calibri" w:hAnsi="DINOT" w:cs="DINOT"/>
                <w:b/>
                <w:color w:val="7030A0"/>
              </w:rPr>
              <w:t xml:space="preserve"> </w:t>
            </w:r>
            <w:r w:rsidR="00A53A0B" w:rsidRPr="00C23223">
              <w:rPr>
                <w:rFonts w:ascii="DINOT" w:eastAsia="Calibri" w:hAnsi="DINOT" w:cs="DINOT"/>
                <w:b/>
                <w:color w:val="7030A0"/>
              </w:rPr>
              <w:t xml:space="preserve"> </w:t>
            </w:r>
            <w:r w:rsidR="00256E6C">
              <w:rPr>
                <w:rFonts w:ascii="DINOT" w:eastAsia="Calibri" w:hAnsi="DINOT" w:cs="DINOT"/>
              </w:rPr>
              <w:t>The Lawson</w:t>
            </w:r>
            <w:r w:rsidR="00076504">
              <w:rPr>
                <w:rFonts w:ascii="DINOT" w:eastAsia="Calibri" w:hAnsi="DINOT" w:cs="DINOT"/>
              </w:rPr>
              <w:t xml:space="preserve"> Practic</w:t>
            </w:r>
            <w:r w:rsidR="00560DC1" w:rsidRPr="00076504">
              <w:rPr>
                <w:rFonts w:ascii="DINOT" w:eastAsia="Calibri" w:hAnsi="DINOT" w:cs="DINOT"/>
              </w:rPr>
              <w:t>e</w:t>
            </w:r>
            <w:r w:rsidR="00560DC1">
              <w:rPr>
                <w:rFonts w:ascii="DINOT" w:eastAsia="Calibri" w:hAnsi="DINOT" w:cs="DINOT"/>
                <w:b/>
              </w:rPr>
              <w:t xml:space="preserve"> </w:t>
            </w:r>
          </w:p>
        </w:tc>
      </w:tr>
      <w:tr w:rsidR="00560DC1" w:rsidRPr="00560DC1" w:rsidTr="007F5C8C">
        <w:tc>
          <w:tcPr>
            <w:tcW w:w="9242" w:type="dxa"/>
          </w:tcPr>
          <w:p w:rsidR="00560DC1" w:rsidRPr="00560DC1" w:rsidRDefault="00560DC1" w:rsidP="00560DC1">
            <w:pPr>
              <w:tabs>
                <w:tab w:val="center" w:pos="4153"/>
              </w:tabs>
              <w:spacing w:after="160" w:line="259" w:lineRule="auto"/>
              <w:rPr>
                <w:rFonts w:ascii="DINOT" w:eastAsia="Calibri" w:hAnsi="DINOT" w:cs="DINOT"/>
                <w:b/>
              </w:rPr>
            </w:pPr>
            <w:r w:rsidRPr="00560DC1">
              <w:rPr>
                <w:rFonts w:ascii="DINOT" w:eastAsia="Calibri" w:hAnsi="DINOT" w:cs="DINOT"/>
                <w:b/>
                <w:color w:val="7030A0"/>
                <w:highlight w:val="yellow"/>
              </w:rPr>
              <w:t>Site(s):</w:t>
            </w:r>
            <w:r w:rsidRPr="00560DC1">
              <w:rPr>
                <w:rFonts w:ascii="DINOT" w:eastAsia="Calibri" w:hAnsi="DINOT" w:cs="DINOT"/>
                <w:color w:val="7030A0"/>
              </w:rPr>
              <w:t xml:space="preserve"> </w:t>
            </w:r>
            <w:r w:rsidRPr="00C23223">
              <w:rPr>
                <w:rFonts w:ascii="DINOT" w:eastAsia="Calibri" w:hAnsi="DINOT" w:cs="DINOT"/>
                <w:i/>
                <w:color w:val="7030A0"/>
              </w:rPr>
              <w:t xml:space="preserve"> </w:t>
            </w:r>
            <w:r w:rsidR="00256E6C">
              <w:rPr>
                <w:rFonts w:ascii="DINOT" w:eastAsia="Calibri" w:hAnsi="DINOT" w:cs="DINOT"/>
                <w:i/>
              </w:rPr>
              <w:t>The La</w:t>
            </w:r>
            <w:r w:rsidR="00906103">
              <w:rPr>
                <w:rFonts w:ascii="DINOT" w:eastAsia="Calibri" w:hAnsi="DINOT" w:cs="DINOT"/>
                <w:i/>
              </w:rPr>
              <w:t>w</w:t>
            </w:r>
            <w:r w:rsidR="00256E6C">
              <w:rPr>
                <w:rFonts w:ascii="DINOT" w:eastAsia="Calibri" w:hAnsi="DINOT" w:cs="DINOT"/>
                <w:i/>
              </w:rPr>
              <w:t>son</w:t>
            </w:r>
            <w:r w:rsidR="009F7DB5">
              <w:rPr>
                <w:rFonts w:ascii="DINOT" w:eastAsia="Calibri" w:hAnsi="DINOT" w:cs="DINOT"/>
                <w:i/>
              </w:rPr>
              <w:t xml:space="preserve"> Practic</w:t>
            </w:r>
            <w:r w:rsidR="00076504">
              <w:rPr>
                <w:rFonts w:ascii="DINOT" w:eastAsia="Calibri" w:hAnsi="DINOT" w:cs="DINOT"/>
                <w:i/>
              </w:rPr>
              <w:t>e Address</w:t>
            </w:r>
          </w:p>
        </w:tc>
      </w:tr>
      <w:tr w:rsidR="00560DC1" w:rsidRPr="00560DC1" w:rsidTr="007F5C8C">
        <w:tc>
          <w:tcPr>
            <w:tcW w:w="9242" w:type="dxa"/>
          </w:tcPr>
          <w:p w:rsidR="00560DC1" w:rsidRPr="00560DC1" w:rsidRDefault="009F7DB5" w:rsidP="00256E6C">
            <w:pPr>
              <w:spacing w:after="160" w:line="259" w:lineRule="auto"/>
              <w:rPr>
                <w:rFonts w:ascii="DINOT" w:eastAsia="Calibri" w:hAnsi="DINOT" w:cs="DINOT"/>
                <w:b/>
              </w:rPr>
            </w:pPr>
            <w:r w:rsidRPr="00C23223">
              <w:rPr>
                <w:rFonts w:ascii="DINOT" w:eastAsia="Calibri" w:hAnsi="DINOT" w:cs="DINOT"/>
                <w:b/>
                <w:color w:val="7030A0"/>
                <w:highlight w:val="yellow"/>
              </w:rPr>
              <w:t>Educational S</w:t>
            </w:r>
            <w:r w:rsidR="00560DC1" w:rsidRPr="00560DC1">
              <w:rPr>
                <w:rFonts w:ascii="DINOT" w:eastAsia="Calibri" w:hAnsi="DINOT" w:cs="DINOT"/>
                <w:b/>
                <w:color w:val="7030A0"/>
                <w:highlight w:val="yellow"/>
              </w:rPr>
              <w:t>upervisor:</w:t>
            </w:r>
            <w:r w:rsidR="00560DC1" w:rsidRPr="00560DC1">
              <w:rPr>
                <w:rFonts w:ascii="DINOT" w:eastAsia="Calibri" w:hAnsi="DINOT" w:cs="DINOT"/>
                <w:b/>
                <w:color w:val="7030A0"/>
              </w:rPr>
              <w:t xml:space="preserve"> </w:t>
            </w:r>
            <w:r w:rsidR="00C86F73" w:rsidRPr="00C23223">
              <w:rPr>
                <w:rFonts w:ascii="DINOT" w:eastAsia="Calibri" w:hAnsi="DINOT" w:cs="DINOT"/>
                <w:i/>
                <w:color w:val="7030A0"/>
              </w:rPr>
              <w:t xml:space="preserve"> </w:t>
            </w:r>
            <w:r w:rsidR="00256E6C">
              <w:rPr>
                <w:rFonts w:ascii="DINOT" w:eastAsia="Calibri" w:hAnsi="DINOT" w:cs="DINOT"/>
                <w:i/>
              </w:rPr>
              <w:t>Jonathon Tomlinson Jonathon.tomlinson@nhs.net</w:t>
            </w:r>
          </w:p>
        </w:tc>
      </w:tr>
      <w:tr w:rsidR="00560DC1" w:rsidRPr="00560DC1" w:rsidTr="007F5C8C">
        <w:tc>
          <w:tcPr>
            <w:tcW w:w="9242" w:type="dxa"/>
          </w:tcPr>
          <w:p w:rsidR="00560DC1" w:rsidRPr="00560DC1" w:rsidRDefault="009F7DB5" w:rsidP="00560DC1">
            <w:pPr>
              <w:spacing w:after="160" w:line="259" w:lineRule="auto"/>
              <w:rPr>
                <w:rFonts w:ascii="DINOT" w:eastAsia="Calibri" w:hAnsi="DINOT" w:cs="DINOT"/>
              </w:rPr>
            </w:pPr>
            <w:r w:rsidRPr="00C23223">
              <w:rPr>
                <w:rFonts w:ascii="DINOT" w:eastAsia="Calibri" w:hAnsi="DINOT" w:cs="DINOT"/>
                <w:b/>
                <w:color w:val="7030A0"/>
                <w:highlight w:val="yellow"/>
              </w:rPr>
              <w:t>Practice M</w:t>
            </w:r>
            <w:r w:rsidR="00560DC1" w:rsidRPr="00560DC1">
              <w:rPr>
                <w:rFonts w:ascii="DINOT" w:eastAsia="Calibri" w:hAnsi="DINOT" w:cs="DINOT"/>
                <w:b/>
                <w:color w:val="7030A0"/>
                <w:highlight w:val="yellow"/>
              </w:rPr>
              <w:t>anager</w:t>
            </w:r>
            <w:r w:rsidR="00560DC1" w:rsidRPr="00560DC1">
              <w:rPr>
                <w:rFonts w:ascii="DINOT" w:eastAsia="Calibri" w:hAnsi="DINOT" w:cs="DINOT"/>
                <w:b/>
                <w:color w:val="7030A0"/>
              </w:rPr>
              <w:t xml:space="preserve">: </w:t>
            </w:r>
            <w:r w:rsidR="00256E6C">
              <w:rPr>
                <w:rFonts w:ascii="DINOT" w:eastAsia="Calibri" w:hAnsi="DINOT" w:cs="DINOT"/>
                <w:i/>
              </w:rPr>
              <w:t>Amanda Rayner a.rayner@nhs.net</w:t>
            </w:r>
          </w:p>
        </w:tc>
      </w:tr>
      <w:tr w:rsidR="00560DC1" w:rsidRPr="00560DC1" w:rsidTr="007F5C8C">
        <w:tc>
          <w:tcPr>
            <w:tcW w:w="9242" w:type="dxa"/>
          </w:tcPr>
          <w:p w:rsidR="00560DC1" w:rsidRPr="00560DC1" w:rsidRDefault="009F7DB5" w:rsidP="00C86F73">
            <w:pPr>
              <w:spacing w:after="160" w:line="259" w:lineRule="auto"/>
              <w:rPr>
                <w:rFonts w:ascii="DINOT" w:eastAsia="Calibri" w:hAnsi="DINOT" w:cs="DINOT"/>
                <w:b/>
              </w:rPr>
            </w:pPr>
            <w:r w:rsidRPr="00C23223">
              <w:rPr>
                <w:rFonts w:ascii="DINOT" w:eastAsia="Calibri" w:hAnsi="DINOT" w:cs="DINOT"/>
                <w:b/>
                <w:color w:val="7030A0"/>
              </w:rPr>
              <w:t>Name and contact detail of G</w:t>
            </w:r>
            <w:r w:rsidR="00560DC1" w:rsidRPr="00560DC1">
              <w:rPr>
                <w:rFonts w:ascii="DINOT" w:eastAsia="Calibri" w:hAnsi="DINOT" w:cs="DINOT"/>
                <w:b/>
                <w:color w:val="7030A0"/>
              </w:rPr>
              <w:t>uardian</w:t>
            </w:r>
            <w:r w:rsidR="00560DC1" w:rsidRPr="00560DC1">
              <w:rPr>
                <w:rFonts w:ascii="DINOT" w:eastAsia="Calibri" w:hAnsi="DINOT" w:cs="DINOT"/>
                <w:b/>
              </w:rPr>
              <w:t xml:space="preserve">: </w:t>
            </w:r>
            <w:r w:rsidR="00560DC1" w:rsidRPr="00C86F73">
              <w:rPr>
                <w:rFonts w:ascii="DINOT" w:eastAsia="Calibri" w:hAnsi="DINOT" w:cs="DINOT"/>
              </w:rPr>
              <w:t>Royal Free London Guardian</w:t>
            </w:r>
            <w:r w:rsidR="0028404C">
              <w:rPr>
                <w:rFonts w:ascii="DINOT" w:eastAsia="Calibri" w:hAnsi="DINOT" w:cs="DINOT"/>
              </w:rPr>
              <w:t xml:space="preserve"> (tbc)</w:t>
            </w:r>
          </w:p>
        </w:tc>
      </w:tr>
      <w:tr w:rsidR="00560DC1" w:rsidRPr="00560DC1" w:rsidTr="007F5C8C">
        <w:tc>
          <w:tcPr>
            <w:tcW w:w="9242" w:type="dxa"/>
          </w:tcPr>
          <w:p w:rsidR="009F7DB5" w:rsidRPr="00C23223" w:rsidRDefault="0083295D" w:rsidP="00560DC1">
            <w:pPr>
              <w:spacing w:after="160" w:line="259" w:lineRule="auto"/>
              <w:rPr>
                <w:rFonts w:ascii="DINOT" w:eastAsia="Calibri" w:hAnsi="DINOT" w:cs="DINOT"/>
                <w:b/>
                <w:color w:val="7030A0"/>
              </w:rPr>
            </w:pPr>
            <w:r w:rsidRPr="00C23223">
              <w:rPr>
                <w:rFonts w:ascii="DINOT" w:eastAsia="Calibri" w:hAnsi="DINOT" w:cs="DINOT"/>
                <w:b/>
                <w:color w:val="7030A0"/>
              </w:rPr>
              <w:t>Head of S</w:t>
            </w:r>
            <w:r w:rsidR="00560DC1" w:rsidRPr="00560DC1">
              <w:rPr>
                <w:rFonts w:ascii="DINOT" w:eastAsia="Calibri" w:hAnsi="DINOT" w:cs="DINOT"/>
                <w:b/>
                <w:color w:val="7030A0"/>
              </w:rPr>
              <w:t>chool</w:t>
            </w:r>
            <w:r w:rsidR="00E66F16" w:rsidRPr="00C23223">
              <w:rPr>
                <w:rFonts w:ascii="DINOT" w:eastAsia="Calibri" w:hAnsi="DINOT" w:cs="DINOT"/>
                <w:b/>
                <w:color w:val="7030A0"/>
              </w:rPr>
              <w:t xml:space="preserve"> and </w:t>
            </w:r>
            <w:r w:rsidRPr="00C23223">
              <w:rPr>
                <w:rFonts w:ascii="DINOT" w:eastAsia="Calibri" w:hAnsi="DINOT" w:cs="DINOT"/>
                <w:b/>
                <w:color w:val="7030A0"/>
              </w:rPr>
              <w:t>c</w:t>
            </w:r>
            <w:r w:rsidR="00E66F16" w:rsidRPr="00560DC1">
              <w:rPr>
                <w:rFonts w:ascii="DINOT" w:eastAsia="Calibri" w:hAnsi="DINOT" w:cs="DINOT"/>
                <w:b/>
                <w:color w:val="7030A0"/>
              </w:rPr>
              <w:t>ontact details</w:t>
            </w:r>
            <w:r w:rsidR="00E66F16" w:rsidRPr="00C23223">
              <w:rPr>
                <w:rFonts w:ascii="DINOT" w:eastAsia="Calibri" w:hAnsi="DINOT" w:cs="DINOT"/>
                <w:b/>
                <w:color w:val="7030A0"/>
              </w:rPr>
              <w:t>:</w:t>
            </w:r>
          </w:p>
          <w:p w:rsidR="009F7DB5" w:rsidRDefault="00560DC1" w:rsidP="00FA09D2">
            <w:pPr>
              <w:spacing w:after="0" w:line="259" w:lineRule="auto"/>
              <w:rPr>
                <w:rFonts w:ascii="DINOT" w:eastAsia="Calibri" w:hAnsi="DINOT" w:cs="DINOT"/>
              </w:rPr>
            </w:pPr>
            <w:r w:rsidRPr="0028404C">
              <w:rPr>
                <w:rFonts w:ascii="DINOT" w:eastAsia="Calibri" w:hAnsi="DINOT" w:cs="DINOT"/>
              </w:rPr>
              <w:t>HENWL</w:t>
            </w:r>
            <w:r w:rsidR="00D73FA2">
              <w:rPr>
                <w:rFonts w:ascii="DINOT" w:eastAsia="Calibri" w:hAnsi="DINOT" w:cs="DINOT"/>
                <w:b/>
              </w:rPr>
              <w:t>:</w:t>
            </w:r>
            <w:r w:rsidR="00DC791A">
              <w:rPr>
                <w:rFonts w:ascii="DINOT" w:eastAsia="Calibri" w:hAnsi="DINOT" w:cs="DINOT"/>
              </w:rPr>
              <w:t xml:space="preserve"> </w:t>
            </w:r>
            <w:r w:rsidR="00DC791A" w:rsidRPr="00C86F73">
              <w:rPr>
                <w:rFonts w:ascii="DINOT" w:eastAsia="Calibri" w:hAnsi="DINOT" w:cs="DINOT"/>
              </w:rPr>
              <w:t>Dr</w:t>
            </w:r>
            <w:r w:rsidR="00076504" w:rsidRPr="00C86F73">
              <w:rPr>
                <w:rFonts w:ascii="DINOT" w:eastAsia="Calibri" w:hAnsi="DINOT" w:cs="DINOT"/>
              </w:rPr>
              <w:t xml:space="preserve"> Andrew Tate</w:t>
            </w:r>
            <w:r w:rsidR="00E66F16" w:rsidRPr="00C86F73">
              <w:rPr>
                <w:rFonts w:ascii="DINOT" w:eastAsia="Calibri" w:hAnsi="DINOT" w:cs="DINOT"/>
              </w:rPr>
              <w:t xml:space="preserve"> –</w:t>
            </w:r>
            <w:r w:rsidR="00D73FA2">
              <w:rPr>
                <w:rFonts w:ascii="DINOT" w:eastAsia="Calibri" w:hAnsi="DINOT" w:cs="DINOT"/>
              </w:rPr>
              <w:t xml:space="preserve"> </w:t>
            </w:r>
            <w:r w:rsidR="00E66F16" w:rsidRPr="00C86F73">
              <w:rPr>
                <w:rFonts w:ascii="DINOT" w:eastAsia="Calibri" w:hAnsi="DINOT" w:cs="DINOT"/>
              </w:rPr>
              <w:t>Email:</w:t>
            </w:r>
            <w:r w:rsidR="005D44A5" w:rsidRPr="00C86F73">
              <w:rPr>
                <w:rFonts w:ascii="DINOT" w:eastAsia="Calibri" w:hAnsi="DINOT" w:cs="DINOT"/>
              </w:rPr>
              <w:t xml:space="preserve">  </w:t>
            </w:r>
            <w:hyperlink r:id="rId8" w:history="1">
              <w:r w:rsidR="00E66F16" w:rsidRPr="00C86F73">
                <w:rPr>
                  <w:rStyle w:val="Hyperlink"/>
                  <w:rFonts w:ascii="DINOT" w:eastAsia="Calibri" w:hAnsi="DINOT" w:cs="DINOT"/>
                  <w:u w:val="none"/>
                </w:rPr>
                <w:t>Andrew.Tate@hee.nhs.uk</w:t>
              </w:r>
            </w:hyperlink>
          </w:p>
          <w:p w:rsidR="00560DC1" w:rsidRPr="00560DC1" w:rsidRDefault="00560DC1" w:rsidP="00FA09D2">
            <w:pPr>
              <w:spacing w:after="0" w:line="259" w:lineRule="auto"/>
              <w:rPr>
                <w:rFonts w:ascii="DINOT" w:eastAsia="Calibri" w:hAnsi="DINOT" w:cs="DINOT"/>
                <w:b/>
              </w:rPr>
            </w:pPr>
            <w:r w:rsidRPr="0028404C">
              <w:rPr>
                <w:rFonts w:ascii="DINOT" w:eastAsia="Calibri" w:hAnsi="DINOT" w:cs="DINOT"/>
              </w:rPr>
              <w:t>HENCL</w:t>
            </w:r>
            <w:r w:rsidR="00D73FA2">
              <w:rPr>
                <w:rFonts w:ascii="DINOT" w:eastAsia="Calibri" w:hAnsi="DINOT" w:cs="DINOT"/>
                <w:b/>
              </w:rPr>
              <w:t xml:space="preserve">: </w:t>
            </w:r>
            <w:r w:rsidR="00E66F16" w:rsidRPr="00C86F73">
              <w:rPr>
                <w:rFonts w:ascii="DINOT" w:eastAsia="Calibri" w:hAnsi="DINOT" w:cs="DINOT"/>
              </w:rPr>
              <w:t xml:space="preserve">Dr  </w:t>
            </w:r>
            <w:proofErr w:type="spellStart"/>
            <w:r w:rsidR="00E66F16" w:rsidRPr="00C86F73">
              <w:rPr>
                <w:rFonts w:ascii="DINOT" w:eastAsia="Calibri" w:hAnsi="DINOT" w:cs="DINOT"/>
              </w:rPr>
              <w:t>Naureen</w:t>
            </w:r>
            <w:proofErr w:type="spellEnd"/>
            <w:r w:rsidR="00E66F16" w:rsidRPr="00C86F73">
              <w:rPr>
                <w:rFonts w:ascii="DINOT" w:eastAsia="Calibri" w:hAnsi="DINOT" w:cs="DINOT"/>
              </w:rPr>
              <w:t xml:space="preserve"> Bhatti –</w:t>
            </w:r>
            <w:r w:rsidR="0083295D">
              <w:rPr>
                <w:rFonts w:ascii="DINOT" w:eastAsia="Calibri" w:hAnsi="DINOT" w:cs="DINOT"/>
              </w:rPr>
              <w:t xml:space="preserve"> </w:t>
            </w:r>
            <w:r w:rsidR="00E66F16" w:rsidRPr="00C86F73">
              <w:rPr>
                <w:rFonts w:ascii="DINOT" w:eastAsia="Calibri" w:hAnsi="DINOT" w:cs="DINOT"/>
              </w:rPr>
              <w:t>Email: Naureen.Bhatti@hee.nhs.uk</w:t>
            </w:r>
          </w:p>
        </w:tc>
      </w:tr>
      <w:tr w:rsidR="00560DC1" w:rsidRPr="00560DC1" w:rsidTr="007F5C8C">
        <w:tc>
          <w:tcPr>
            <w:tcW w:w="9242" w:type="dxa"/>
          </w:tcPr>
          <w:p w:rsidR="0083295D" w:rsidRDefault="00560DC1" w:rsidP="00FA09D2">
            <w:pPr>
              <w:spacing w:after="0" w:line="259" w:lineRule="auto"/>
              <w:rPr>
                <w:rFonts w:ascii="DINOT" w:eastAsia="Calibri" w:hAnsi="DINOT" w:cs="DINOT"/>
              </w:rPr>
            </w:pPr>
            <w:r w:rsidRPr="00560DC1">
              <w:rPr>
                <w:rFonts w:ascii="DINOT" w:eastAsia="Calibri" w:hAnsi="DINOT" w:cs="DINOT"/>
                <w:b/>
                <w:color w:val="7030A0"/>
              </w:rPr>
              <w:t>Medical workforce department contact details:</w:t>
            </w:r>
            <w:r w:rsidRPr="00560DC1">
              <w:rPr>
                <w:rFonts w:ascii="DINOT" w:eastAsia="Calibri" w:hAnsi="DINOT" w:cs="DINOT"/>
                <w:color w:val="7030A0"/>
              </w:rPr>
              <w:t xml:space="preserve"> </w:t>
            </w:r>
          </w:p>
          <w:p w:rsidR="00560DC1" w:rsidRDefault="0083295D" w:rsidP="00FA09D2">
            <w:pPr>
              <w:spacing w:after="0" w:line="259" w:lineRule="auto"/>
              <w:rPr>
                <w:rFonts w:ascii="DINOT" w:eastAsia="Calibri" w:hAnsi="DINOT" w:cs="DINOT"/>
              </w:rPr>
            </w:pPr>
            <w:r w:rsidRPr="0083295D">
              <w:rPr>
                <w:rFonts w:ascii="DINOT" w:eastAsia="Calibri" w:hAnsi="DINOT" w:cs="DINOT"/>
              </w:rPr>
              <w:t>RF Medical Workforce Team</w:t>
            </w:r>
            <w:r>
              <w:rPr>
                <w:rFonts w:ascii="DINOT" w:eastAsia="Calibri" w:hAnsi="DINOT" w:cs="DINOT"/>
              </w:rPr>
              <w:t xml:space="preserve"> -</w:t>
            </w:r>
            <w:r w:rsidR="00A53A0B" w:rsidRPr="0083295D">
              <w:rPr>
                <w:rFonts w:ascii="DINOT" w:eastAsia="Calibri" w:hAnsi="DINOT" w:cs="DINOT"/>
                <w:i/>
              </w:rPr>
              <w:t xml:space="preserve"> </w:t>
            </w:r>
            <w:hyperlink r:id="rId9" w:history="1">
              <w:r w:rsidRPr="00681BAE">
                <w:rPr>
                  <w:rStyle w:val="Hyperlink"/>
                  <w:rFonts w:ascii="DINOT" w:eastAsia="Calibri" w:hAnsi="DINOT" w:cs="DINOT"/>
                </w:rPr>
                <w:t>rf.gpleo@nhs.net</w:t>
              </w:r>
            </w:hyperlink>
            <w:r>
              <w:rPr>
                <w:rFonts w:ascii="DINOT" w:eastAsia="Calibri" w:hAnsi="DINOT" w:cs="DINOT"/>
              </w:rPr>
              <w:t xml:space="preserve"> </w:t>
            </w:r>
          </w:p>
          <w:p w:rsidR="00FA09D2" w:rsidRPr="00560DC1" w:rsidRDefault="00FA09D2" w:rsidP="00FA09D2">
            <w:pPr>
              <w:spacing w:after="0" w:line="259" w:lineRule="auto"/>
              <w:rPr>
                <w:rFonts w:ascii="DINOT" w:eastAsia="Calibri" w:hAnsi="DINOT" w:cs="DINOT"/>
                <w:b/>
              </w:rPr>
            </w:pPr>
          </w:p>
        </w:tc>
      </w:tr>
      <w:tr w:rsidR="00560DC1" w:rsidRPr="00560DC1" w:rsidTr="007F5C8C">
        <w:tc>
          <w:tcPr>
            <w:tcW w:w="9242" w:type="dxa"/>
          </w:tcPr>
          <w:p w:rsidR="00560DC1" w:rsidRPr="00560DC1" w:rsidRDefault="00560DC1" w:rsidP="00A4025D">
            <w:pPr>
              <w:spacing w:after="160" w:line="259" w:lineRule="auto"/>
              <w:rPr>
                <w:rFonts w:ascii="DINOT" w:eastAsia="Calibri" w:hAnsi="DINOT" w:cs="DINOT"/>
              </w:rPr>
            </w:pPr>
            <w:r w:rsidRPr="00560DC1">
              <w:rPr>
                <w:rFonts w:ascii="DINOT" w:eastAsia="Calibri" w:hAnsi="DINOT" w:cs="DINOT"/>
                <w:b/>
                <w:color w:val="7030A0"/>
              </w:rPr>
              <w:t xml:space="preserve">Exception reporting: </w:t>
            </w:r>
            <w:r w:rsidRPr="00560DC1">
              <w:rPr>
                <w:rFonts w:ascii="DINOT" w:eastAsia="Calibri" w:hAnsi="DINOT" w:cs="DINOT"/>
              </w:rPr>
              <w:t>Trainees on this programme will be registered onto the exception reporting system used by th</w:t>
            </w:r>
            <w:r w:rsidR="005D44A5">
              <w:rPr>
                <w:rFonts w:ascii="DINOT" w:eastAsia="Calibri" w:hAnsi="DINOT" w:cs="DINOT"/>
              </w:rPr>
              <w:t xml:space="preserve">is organisation, which is the </w:t>
            </w:r>
            <w:r w:rsidR="005D44A5" w:rsidRPr="0090110F">
              <w:rPr>
                <w:rFonts w:ascii="DINOT" w:eastAsia="Calibri" w:hAnsi="DINOT" w:cs="DINOT"/>
              </w:rPr>
              <w:t xml:space="preserve">DRS </w:t>
            </w:r>
            <w:r w:rsidRPr="00560DC1">
              <w:rPr>
                <w:rFonts w:ascii="DINOT" w:eastAsia="Calibri" w:hAnsi="DINOT" w:cs="DINOT"/>
              </w:rPr>
              <w:t xml:space="preserve">system. Log in details will be provided to trainees via e-mail. </w:t>
            </w:r>
            <w:r w:rsidR="00A4025D">
              <w:rPr>
                <w:rFonts w:ascii="DINOT" w:eastAsia="Calibri" w:hAnsi="DINOT" w:cs="DINOT"/>
              </w:rPr>
              <w:t>{Guidance is in development about the use of this system}</w:t>
            </w:r>
          </w:p>
        </w:tc>
      </w:tr>
      <w:tr w:rsidR="00560DC1" w:rsidRPr="00560DC1" w:rsidTr="007F5C8C">
        <w:tc>
          <w:tcPr>
            <w:tcW w:w="9242" w:type="dxa"/>
          </w:tcPr>
          <w:p w:rsidR="00560DC1" w:rsidRPr="00560DC1" w:rsidRDefault="00560DC1" w:rsidP="00560DC1">
            <w:pPr>
              <w:spacing w:after="0" w:line="240" w:lineRule="auto"/>
              <w:rPr>
                <w:rFonts w:ascii="DINOT" w:eastAsia="Calibri" w:hAnsi="DINOT" w:cs="DINOT"/>
                <w:b/>
                <w:color w:val="7030A0"/>
              </w:rPr>
            </w:pPr>
            <w:r w:rsidRPr="00560DC1">
              <w:rPr>
                <w:rFonts w:ascii="DINOT" w:eastAsia="Calibri" w:hAnsi="DINOT" w:cs="DINOT"/>
                <w:b/>
                <w:color w:val="7030A0"/>
              </w:rPr>
              <w:t xml:space="preserve">Working pattern:                                                                    </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A full time week is 40 hours (on average), notionally split into 10 sessions of four hours in length and including out of hours work to be scheduled across the year. Your working pattern is arranged across a </w:t>
            </w:r>
            <w:r w:rsidRPr="00560DC1">
              <w:rPr>
                <w:rFonts w:ascii="DINOT" w:eastAsia="Calibri" w:hAnsi="DINOT" w:cs="DINOT"/>
                <w:i/>
              </w:rPr>
              <w:t xml:space="preserve">weekly </w:t>
            </w:r>
            <w:r w:rsidRPr="00560DC1">
              <w:rPr>
                <w:rFonts w:ascii="DINOT" w:eastAsia="Calibri" w:hAnsi="DINOT" w:cs="DINOT"/>
              </w:rPr>
              <w:t>rota cycle.</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A week includes, on average (pro rata if less than full time):</w:t>
            </w:r>
          </w:p>
          <w:p w:rsidR="00560DC1" w:rsidRPr="00560DC1" w:rsidRDefault="00560DC1" w:rsidP="00560DC1">
            <w:pPr>
              <w:numPr>
                <w:ilvl w:val="0"/>
                <w:numId w:val="1"/>
              </w:numPr>
              <w:spacing w:after="160" w:line="259" w:lineRule="auto"/>
              <w:rPr>
                <w:rFonts w:ascii="DINOT" w:eastAsia="Calibri" w:hAnsi="DINOT" w:cs="DINOT"/>
              </w:rPr>
            </w:pPr>
            <w:r w:rsidRPr="00560DC1">
              <w:rPr>
                <w:rFonts w:ascii="DINOT" w:eastAsia="Calibri" w:hAnsi="DINOT" w:cs="DINOT"/>
              </w:rPr>
              <w:t xml:space="preserve">Seven clinical sessions, including (but not limited to) booked and emergency surgeries, house visits including travelling, telephone consultations, associated administrative work, appropriate debriefing time with the supervising GP and out of hours work. Trainees should have one hour of admin time for each three hours of clinical </w:t>
            </w:r>
            <w:proofErr w:type="gramStart"/>
            <w:r w:rsidRPr="00560DC1">
              <w:rPr>
                <w:rFonts w:ascii="DINOT" w:eastAsia="Calibri" w:hAnsi="DINOT" w:cs="DINOT"/>
              </w:rPr>
              <w:t>time,</w:t>
            </w:r>
            <w:proofErr w:type="gramEnd"/>
            <w:r w:rsidRPr="00560DC1">
              <w:rPr>
                <w:rFonts w:ascii="DINOT" w:eastAsia="Calibri" w:hAnsi="DINOT" w:cs="DINOT"/>
              </w:rPr>
              <w:t xml:space="preserve"> and the booking of appointments will allow for this as well as debriefing to take place within the session. </w:t>
            </w:r>
          </w:p>
          <w:p w:rsidR="00560DC1" w:rsidRPr="00560DC1" w:rsidRDefault="00560DC1" w:rsidP="00560DC1">
            <w:pPr>
              <w:numPr>
                <w:ilvl w:val="0"/>
                <w:numId w:val="1"/>
              </w:numPr>
              <w:spacing w:after="160" w:line="259" w:lineRule="auto"/>
              <w:rPr>
                <w:rFonts w:ascii="DINOT" w:eastAsia="Calibri" w:hAnsi="DINOT" w:cs="DINOT"/>
              </w:rPr>
            </w:pPr>
            <w:r w:rsidRPr="00560DC1">
              <w:rPr>
                <w:rFonts w:ascii="DINOT" w:eastAsia="Calibri" w:hAnsi="DINOT" w:cs="DINOT"/>
              </w:rPr>
              <w:t xml:space="preserve">Two structured educational sessions: including (but not limited to) release to local structured teaching programme, tutorials, practice educational meetings, educational supervisor meetings, activities relating to workplace based assessment, e-portfolio entries and other engagement with the Annual Review of Competence Progression </w:t>
            </w:r>
            <w:r w:rsidRPr="00560DC1">
              <w:rPr>
                <w:rFonts w:ascii="DINOT" w:eastAsia="Calibri" w:hAnsi="DINOT" w:cs="DINOT"/>
              </w:rPr>
              <w:lastRenderedPageBreak/>
              <w:t>process.</w:t>
            </w:r>
          </w:p>
          <w:p w:rsidR="00560DC1" w:rsidRPr="00560DC1" w:rsidRDefault="00560DC1" w:rsidP="00560DC1">
            <w:pPr>
              <w:numPr>
                <w:ilvl w:val="0"/>
                <w:numId w:val="1"/>
              </w:numPr>
              <w:spacing w:after="160" w:line="259" w:lineRule="auto"/>
              <w:rPr>
                <w:rFonts w:ascii="DINOT" w:eastAsia="Calibri" w:hAnsi="DINOT" w:cs="DINOT"/>
              </w:rPr>
            </w:pPr>
            <w:r w:rsidRPr="00560DC1">
              <w:rPr>
                <w:rFonts w:ascii="DINOT" w:eastAsia="Calibri" w:hAnsi="DINOT" w:cs="DINOT"/>
              </w:rPr>
              <w:t>One independent educational session: for independent study and revision.</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Educational and training opportunities will be tailored to address individual learning leads. It may be desirable for additional clinical sessions to be used instead for educational purposes – though you should normally have no fewer educational sessions than outlined above.</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When out of hours work is undertaken, the equivalent number of hours will need to be deducted from the clinical sessions (as described above) in the same week (or following weeks) as agreed with your practice. The scheduling of out of hours work must also remain compliant with the average 40 hour weekly total and ensure a safe working pattern in accordance with schedule 3 of the terms and conditions of service (TCS). Depending on the nature of the out of hours work, the consequent time off may need to be taken in one block during the same week (perhaps the same day or the next day), or it may be possible to take it in smaller amounts across a number of weeks; this should be agreed with your supervisor. The timing of any time off in lieu will need to be agreed with regard to the need to maintain safe working hours and must be agreed prior to the out of hours work being undertaken.</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You are required to undertake 72 hours of such out of hours work across the year; you should schedule this in accordance with availability and with the agreement of your supervisor. You may spread these hours across the year in any safe pattern compliant with the working hours provisions of schedule 3 of the TCS; however, you should not schedule work across more than six weekends per year, as defined in schedule 2, paragraph 5 of the TCS. No fewer than 12 and no more than 22 of these hours should fall into the period attracting a night enhancement (broadly, after 9pm or before 7am), as set out in schedule 2, paragraphs 14-16 of the TCS.</w:t>
            </w:r>
          </w:p>
          <w:p w:rsidR="00560DC1" w:rsidRPr="00560DC1" w:rsidRDefault="00560DC1" w:rsidP="00560DC1">
            <w:pPr>
              <w:spacing w:after="160" w:line="259" w:lineRule="auto"/>
              <w:rPr>
                <w:rFonts w:ascii="DINOT" w:eastAsia="Calibri" w:hAnsi="DINOT" w:cs="DINOT"/>
                <w:color w:val="7030A0"/>
              </w:rPr>
            </w:pPr>
            <w:r w:rsidRPr="00560DC1">
              <w:rPr>
                <w:rFonts w:ascii="DINOT" w:eastAsia="Calibri" w:hAnsi="DINOT" w:cs="DINOT"/>
                <w:color w:val="7030A0"/>
                <w:highlight w:val="yellow"/>
              </w:rPr>
              <w:t>Timetable</w:t>
            </w:r>
            <w:r w:rsidR="002530F5">
              <w:rPr>
                <w:rFonts w:ascii="DINOT" w:eastAsia="Calibri" w:hAnsi="DINOT" w:cs="DINOT"/>
                <w:color w:val="7030A0"/>
              </w:rPr>
              <w:t xml:space="preserve"> ITP post. 2 days in General Practice</w:t>
            </w:r>
          </w:p>
          <w:tbl>
            <w:tblPr>
              <w:tblStyle w:val="TableGrid"/>
              <w:tblW w:w="0" w:type="auto"/>
              <w:tblLook w:val="04A0" w:firstRow="1" w:lastRow="0" w:firstColumn="1" w:lastColumn="0" w:noHBand="0" w:noVBand="1"/>
            </w:tblPr>
            <w:tblGrid>
              <w:gridCol w:w="1555"/>
              <w:gridCol w:w="7456"/>
            </w:tblGrid>
            <w:tr w:rsidR="00724BAE" w:rsidRPr="00724BAE" w:rsidTr="00724BAE">
              <w:tc>
                <w:tcPr>
                  <w:tcW w:w="1555" w:type="dxa"/>
                </w:tcPr>
                <w:p w:rsidR="00724BAE" w:rsidRPr="000F60F5" w:rsidRDefault="00724BAE" w:rsidP="00560DC1">
                  <w:pPr>
                    <w:rPr>
                      <w:rFonts w:ascii="DINOT" w:eastAsia="Calibri" w:hAnsi="DINOT" w:cs="DINOT"/>
                      <w:highlight w:val="yellow"/>
                    </w:rPr>
                  </w:pPr>
                  <w:r w:rsidRPr="000F60F5">
                    <w:rPr>
                      <w:rFonts w:ascii="DINOT" w:eastAsia="Calibri" w:hAnsi="DINOT" w:cs="DINOT"/>
                      <w:highlight w:val="yellow"/>
                    </w:rPr>
                    <w:t>Monday</w:t>
                  </w:r>
                </w:p>
              </w:tc>
              <w:tc>
                <w:tcPr>
                  <w:tcW w:w="7456" w:type="dxa"/>
                </w:tcPr>
                <w:p w:rsidR="00724BAE" w:rsidRPr="00724BAE" w:rsidRDefault="00256E6C" w:rsidP="00560DC1">
                  <w:pPr>
                    <w:rPr>
                      <w:rFonts w:ascii="DINOT" w:eastAsia="Calibri" w:hAnsi="DINOT" w:cs="DINOT"/>
                    </w:rPr>
                  </w:pPr>
                  <w:r>
                    <w:rPr>
                      <w:rFonts w:ascii="DINOT" w:eastAsia="Calibri" w:hAnsi="DINOT" w:cs="DINOT"/>
                    </w:rPr>
                    <w:t>Hospital</w:t>
                  </w:r>
                </w:p>
              </w:tc>
            </w:tr>
            <w:tr w:rsidR="00724BAE" w:rsidRPr="00724BAE" w:rsidTr="00724BAE">
              <w:tc>
                <w:tcPr>
                  <w:tcW w:w="1555" w:type="dxa"/>
                </w:tcPr>
                <w:p w:rsidR="00724BAE" w:rsidRPr="000F60F5" w:rsidRDefault="00724BAE" w:rsidP="00560DC1">
                  <w:pPr>
                    <w:rPr>
                      <w:rFonts w:ascii="DINOT" w:eastAsia="Calibri" w:hAnsi="DINOT" w:cs="DINOT"/>
                      <w:highlight w:val="yellow"/>
                    </w:rPr>
                  </w:pPr>
                  <w:r w:rsidRPr="000F60F5">
                    <w:rPr>
                      <w:rFonts w:ascii="DINOT" w:eastAsia="Calibri" w:hAnsi="DINOT" w:cs="DINOT"/>
                      <w:highlight w:val="yellow"/>
                    </w:rPr>
                    <w:t>Tuesday</w:t>
                  </w:r>
                </w:p>
              </w:tc>
              <w:tc>
                <w:tcPr>
                  <w:tcW w:w="7456" w:type="dxa"/>
                </w:tcPr>
                <w:p w:rsidR="00724BAE" w:rsidRPr="00724BAE" w:rsidRDefault="00256E6C" w:rsidP="00560DC1">
                  <w:pPr>
                    <w:rPr>
                      <w:rFonts w:ascii="DINOT" w:eastAsia="Calibri" w:hAnsi="DINOT" w:cs="DINOT"/>
                    </w:rPr>
                  </w:pPr>
                  <w:r>
                    <w:rPr>
                      <w:rFonts w:ascii="DINOT" w:eastAsia="Calibri" w:hAnsi="DINOT" w:cs="DINOT"/>
                    </w:rPr>
                    <w:t>Hospital</w:t>
                  </w:r>
                </w:p>
              </w:tc>
            </w:tr>
            <w:tr w:rsidR="00724BAE" w:rsidRPr="00724BAE" w:rsidTr="00724BAE">
              <w:tc>
                <w:tcPr>
                  <w:tcW w:w="1555" w:type="dxa"/>
                </w:tcPr>
                <w:p w:rsidR="00724BAE" w:rsidRPr="000F60F5" w:rsidRDefault="00724BAE" w:rsidP="00560DC1">
                  <w:pPr>
                    <w:rPr>
                      <w:rFonts w:ascii="DINOT" w:eastAsia="Calibri" w:hAnsi="DINOT" w:cs="DINOT"/>
                      <w:highlight w:val="yellow"/>
                    </w:rPr>
                  </w:pPr>
                  <w:r w:rsidRPr="000F60F5">
                    <w:rPr>
                      <w:rFonts w:ascii="DINOT" w:eastAsia="Calibri" w:hAnsi="DINOT" w:cs="DINOT"/>
                      <w:highlight w:val="yellow"/>
                    </w:rPr>
                    <w:t>Wednesday</w:t>
                  </w:r>
                </w:p>
              </w:tc>
              <w:tc>
                <w:tcPr>
                  <w:tcW w:w="7456" w:type="dxa"/>
                </w:tcPr>
                <w:p w:rsidR="002530F5" w:rsidRDefault="002530F5" w:rsidP="002530F5">
                  <w:pPr>
                    <w:rPr>
                      <w:rFonts w:cs="Arial"/>
                    </w:rPr>
                  </w:pPr>
                  <w:r>
                    <w:rPr>
                      <w:rFonts w:cs="Arial"/>
                    </w:rPr>
                    <w:t>09.00-13.00 Help with duty doctor</w:t>
                  </w:r>
                </w:p>
                <w:p w:rsidR="002530F5" w:rsidRDefault="002530F5" w:rsidP="002530F5">
                  <w:pPr>
                    <w:rPr>
                      <w:rFonts w:cs="Arial"/>
                    </w:rPr>
                  </w:pPr>
                  <w:r>
                    <w:rPr>
                      <w:rFonts w:cs="Arial"/>
                    </w:rPr>
                    <w:t xml:space="preserve"> 13.00-13.30 Lunch </w:t>
                  </w:r>
                </w:p>
                <w:p w:rsidR="002530F5" w:rsidRDefault="002530F5" w:rsidP="002530F5">
                  <w:pPr>
                    <w:rPr>
                      <w:rFonts w:cs="Arial"/>
                    </w:rPr>
                  </w:pPr>
                  <w:r>
                    <w:rPr>
                      <w:rFonts w:cs="Arial"/>
                    </w:rPr>
                    <w:t>13.30-14.00 Admin</w:t>
                  </w:r>
                </w:p>
                <w:p w:rsidR="002530F5" w:rsidRDefault="002530F5" w:rsidP="002530F5">
                  <w:pPr>
                    <w:rPr>
                      <w:rFonts w:cs="Arial"/>
                    </w:rPr>
                  </w:pPr>
                  <w:r>
                    <w:rPr>
                      <w:rFonts w:cs="Arial"/>
                    </w:rPr>
                    <w:t xml:space="preserve">14.00-16.00 Afternoon surgery </w:t>
                  </w:r>
                </w:p>
                <w:p w:rsidR="002530F5" w:rsidRDefault="002530F5" w:rsidP="002530F5">
                  <w:pPr>
                    <w:rPr>
                      <w:rFonts w:cs="Arial"/>
                    </w:rPr>
                  </w:pPr>
                  <w:r>
                    <w:rPr>
                      <w:rFonts w:cs="Arial"/>
                    </w:rPr>
                    <w:t>16.00-17.00 Tutorial</w:t>
                  </w:r>
                </w:p>
                <w:p w:rsidR="00724BAE" w:rsidRPr="00724BAE" w:rsidRDefault="00724BAE" w:rsidP="002530F5">
                  <w:pPr>
                    <w:rPr>
                      <w:rFonts w:ascii="DINOT" w:eastAsia="Calibri" w:hAnsi="DINOT" w:cs="DINOT"/>
                    </w:rPr>
                  </w:pPr>
                </w:p>
              </w:tc>
            </w:tr>
            <w:tr w:rsidR="00724BAE" w:rsidRPr="00724BAE" w:rsidTr="00724BAE">
              <w:tc>
                <w:tcPr>
                  <w:tcW w:w="1555" w:type="dxa"/>
                </w:tcPr>
                <w:p w:rsidR="00724BAE" w:rsidRPr="000F60F5" w:rsidRDefault="00724BAE" w:rsidP="00560DC1">
                  <w:pPr>
                    <w:rPr>
                      <w:rFonts w:ascii="DINOT" w:eastAsia="Calibri" w:hAnsi="DINOT" w:cs="DINOT"/>
                      <w:highlight w:val="yellow"/>
                    </w:rPr>
                  </w:pPr>
                  <w:r w:rsidRPr="000F60F5">
                    <w:rPr>
                      <w:rFonts w:ascii="DINOT" w:eastAsia="Calibri" w:hAnsi="DINOT" w:cs="DINOT"/>
                      <w:highlight w:val="yellow"/>
                    </w:rPr>
                    <w:t>Thursday</w:t>
                  </w:r>
                </w:p>
              </w:tc>
              <w:tc>
                <w:tcPr>
                  <w:tcW w:w="7456" w:type="dxa"/>
                </w:tcPr>
                <w:p w:rsidR="002530F5" w:rsidRDefault="002530F5" w:rsidP="002530F5">
                  <w:pPr>
                    <w:rPr>
                      <w:rFonts w:cs="Arial"/>
                    </w:rPr>
                  </w:pPr>
                  <w:r>
                    <w:rPr>
                      <w:rFonts w:cs="Arial"/>
                    </w:rPr>
                    <w:t xml:space="preserve">Thursday: </w:t>
                  </w:r>
                </w:p>
                <w:p w:rsidR="002530F5" w:rsidRDefault="002530F5" w:rsidP="002530F5">
                  <w:pPr>
                    <w:rPr>
                      <w:rFonts w:cs="Arial"/>
                    </w:rPr>
                  </w:pPr>
                  <w:r>
                    <w:rPr>
                      <w:rFonts w:cs="Arial"/>
                    </w:rPr>
                    <w:t>09.00 – 12.00 Morning surgery</w:t>
                  </w:r>
                </w:p>
                <w:p w:rsidR="002530F5" w:rsidRDefault="001535C1" w:rsidP="002530F5">
                  <w:pPr>
                    <w:rPr>
                      <w:rFonts w:cs="Arial"/>
                    </w:rPr>
                  </w:pPr>
                  <w:r>
                    <w:rPr>
                      <w:rFonts w:cs="Arial"/>
                    </w:rPr>
                    <w:t>12</w:t>
                  </w:r>
                  <w:bookmarkStart w:id="0" w:name="_GoBack"/>
                  <w:bookmarkEnd w:id="0"/>
                  <w:r w:rsidR="002530F5">
                    <w:rPr>
                      <w:rFonts w:cs="Arial"/>
                    </w:rPr>
                    <w:t>-12.30 Admin</w:t>
                  </w:r>
                </w:p>
                <w:p w:rsidR="002530F5" w:rsidRDefault="002530F5" w:rsidP="002530F5">
                  <w:pPr>
                    <w:rPr>
                      <w:rFonts w:cs="Arial"/>
                    </w:rPr>
                  </w:pPr>
                  <w:r>
                    <w:rPr>
                      <w:rFonts w:cs="Arial"/>
                    </w:rPr>
                    <w:t xml:space="preserve">12.30-13.00 lunch </w:t>
                  </w:r>
                </w:p>
                <w:p w:rsidR="002530F5" w:rsidRDefault="002530F5" w:rsidP="002530F5">
                  <w:pPr>
                    <w:rPr>
                      <w:rFonts w:cs="Arial"/>
                    </w:rPr>
                  </w:pPr>
                  <w:r>
                    <w:rPr>
                      <w:rFonts w:cs="Arial"/>
                    </w:rPr>
                    <w:t xml:space="preserve">13.00-15.00 Clinical meeting </w:t>
                  </w:r>
                </w:p>
                <w:p w:rsidR="002530F5" w:rsidRDefault="002530F5" w:rsidP="002530F5">
                  <w:pPr>
                    <w:rPr>
                      <w:rFonts w:cs="Arial"/>
                    </w:rPr>
                  </w:pPr>
                  <w:r>
                    <w:rPr>
                      <w:rFonts w:cs="Arial"/>
                    </w:rPr>
                    <w:t>15.00-16.30 Tutorial</w:t>
                  </w:r>
                </w:p>
                <w:p w:rsidR="002530F5" w:rsidRDefault="002530F5" w:rsidP="002530F5">
                  <w:pPr>
                    <w:rPr>
                      <w:rFonts w:cs="Arial"/>
                    </w:rPr>
                  </w:pPr>
                  <w:r>
                    <w:rPr>
                      <w:rFonts w:cs="Arial"/>
                    </w:rPr>
                    <w:t>16.30-18.00 Evening surgery</w:t>
                  </w:r>
                </w:p>
                <w:p w:rsidR="00724BAE" w:rsidRPr="00724BAE" w:rsidRDefault="00724BAE" w:rsidP="00560DC1">
                  <w:pPr>
                    <w:rPr>
                      <w:rFonts w:ascii="DINOT" w:eastAsia="Calibri" w:hAnsi="DINOT" w:cs="DINOT"/>
                    </w:rPr>
                  </w:pPr>
                </w:p>
              </w:tc>
            </w:tr>
            <w:tr w:rsidR="00724BAE" w:rsidRPr="00724BAE" w:rsidTr="00724BAE">
              <w:tc>
                <w:tcPr>
                  <w:tcW w:w="1555" w:type="dxa"/>
                </w:tcPr>
                <w:p w:rsidR="00724BAE" w:rsidRPr="000F60F5" w:rsidRDefault="00724BAE" w:rsidP="00560DC1">
                  <w:pPr>
                    <w:rPr>
                      <w:rFonts w:ascii="DINOT" w:eastAsia="Calibri" w:hAnsi="DINOT" w:cs="DINOT"/>
                      <w:highlight w:val="yellow"/>
                    </w:rPr>
                  </w:pPr>
                  <w:r w:rsidRPr="000F60F5">
                    <w:rPr>
                      <w:rFonts w:ascii="DINOT" w:eastAsia="Calibri" w:hAnsi="DINOT" w:cs="DINOT"/>
                      <w:highlight w:val="yellow"/>
                    </w:rPr>
                    <w:t>Friday</w:t>
                  </w:r>
                </w:p>
              </w:tc>
              <w:tc>
                <w:tcPr>
                  <w:tcW w:w="7456" w:type="dxa"/>
                </w:tcPr>
                <w:p w:rsidR="00724BAE" w:rsidRPr="00724BAE" w:rsidRDefault="00256E6C" w:rsidP="00560DC1">
                  <w:pPr>
                    <w:rPr>
                      <w:rFonts w:ascii="DINOT" w:eastAsia="Calibri" w:hAnsi="DINOT" w:cs="DINOT"/>
                    </w:rPr>
                  </w:pPr>
                  <w:r>
                    <w:rPr>
                      <w:rFonts w:ascii="DINOT" w:eastAsia="Calibri" w:hAnsi="DINOT" w:cs="DINOT"/>
                    </w:rPr>
                    <w:t>Hospital</w:t>
                  </w:r>
                </w:p>
              </w:tc>
            </w:tr>
          </w:tbl>
          <w:p w:rsidR="00560DC1" w:rsidRPr="00560DC1" w:rsidRDefault="00560DC1" w:rsidP="00560DC1">
            <w:pPr>
              <w:spacing w:after="0" w:line="240" w:lineRule="auto"/>
              <w:rPr>
                <w:rFonts w:ascii="DINOT" w:eastAsia="Calibri" w:hAnsi="DINOT" w:cs="DINOT"/>
                <w:i/>
              </w:rPr>
            </w:pPr>
          </w:p>
          <w:p w:rsidR="00560DC1" w:rsidRPr="00560DC1" w:rsidRDefault="00560DC1" w:rsidP="00560DC1">
            <w:pPr>
              <w:spacing w:after="160" w:line="259" w:lineRule="auto"/>
              <w:rPr>
                <w:rFonts w:ascii="DINOT" w:eastAsia="Calibri" w:hAnsi="DINOT" w:cs="DINOT"/>
                <w:i/>
                <w:u w:val="single"/>
              </w:rPr>
            </w:pPr>
            <w:r w:rsidRPr="00560DC1">
              <w:rPr>
                <w:rFonts w:ascii="DINOT" w:eastAsia="Calibri" w:hAnsi="DINOT" w:cs="DINOT"/>
                <w:b/>
                <w:color w:val="7030A0"/>
              </w:rPr>
              <w:t>Average weekly hours of work:</w:t>
            </w:r>
            <w:r w:rsidRPr="00560DC1">
              <w:rPr>
                <w:rFonts w:ascii="DINOT" w:eastAsia="Calibri" w:hAnsi="DINOT" w:cs="DINOT"/>
                <w:b/>
              </w:rPr>
              <w:t xml:space="preserve">  </w:t>
            </w:r>
            <w:r w:rsidRPr="00560DC1">
              <w:rPr>
                <w:rFonts w:ascii="DINOT" w:eastAsia="Calibri" w:hAnsi="DINOT" w:cs="DINOT"/>
              </w:rPr>
              <w:t>40</w:t>
            </w:r>
            <w:r w:rsidRPr="00560DC1">
              <w:rPr>
                <w:rFonts w:ascii="DINOT" w:eastAsia="Calibri" w:hAnsi="DINOT" w:cs="DINOT"/>
                <w:b/>
              </w:rPr>
              <w:t xml:space="preserve"> </w:t>
            </w:r>
            <w:r w:rsidRPr="00560DC1">
              <w:rPr>
                <w:rFonts w:ascii="DINOT" w:eastAsia="Calibri" w:hAnsi="DINOT" w:cs="DINOT"/>
                <w:i/>
              </w:rPr>
              <w:t>(amend figures pro rata if less than full time)</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Your contract is a full-time contract for 40 hours</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The distribution of these will be as follows:</w:t>
            </w:r>
          </w:p>
          <w:p w:rsidR="00560DC1" w:rsidRPr="00560DC1" w:rsidRDefault="00560DC1" w:rsidP="00560DC1">
            <w:pPr>
              <w:numPr>
                <w:ilvl w:val="0"/>
                <w:numId w:val="6"/>
              </w:numPr>
              <w:spacing w:after="160" w:line="259" w:lineRule="auto"/>
              <w:rPr>
                <w:rFonts w:ascii="DINOT" w:eastAsia="Calibri" w:hAnsi="DINOT" w:cs="DINOT"/>
              </w:rPr>
            </w:pPr>
            <w:r w:rsidRPr="00560DC1">
              <w:rPr>
                <w:rFonts w:ascii="DINOT" w:eastAsia="Calibri" w:hAnsi="DINOT" w:cs="DINOT"/>
              </w:rPr>
              <w:lastRenderedPageBreak/>
              <w:t>Average weekly hours at basic hourly rate: 39.5</w:t>
            </w:r>
          </w:p>
          <w:p w:rsidR="00560DC1" w:rsidRPr="00560DC1" w:rsidRDefault="00560DC1" w:rsidP="00560DC1">
            <w:pPr>
              <w:numPr>
                <w:ilvl w:val="0"/>
                <w:numId w:val="6"/>
              </w:numPr>
              <w:spacing w:after="160" w:line="259" w:lineRule="auto"/>
              <w:rPr>
                <w:rFonts w:ascii="DINOT" w:eastAsia="Calibri" w:hAnsi="DINOT" w:cs="DINOT"/>
              </w:rPr>
            </w:pPr>
            <w:r w:rsidRPr="00560DC1">
              <w:rPr>
                <w:rFonts w:ascii="DINOT" w:eastAsia="Calibri" w:hAnsi="DINOT" w:cs="DINOT"/>
              </w:rPr>
              <w:t>Average weekly hours attracting a 37 per cent enhancement: 0.5</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Note: these figures are the average weekly hours, and may be based on an actual week, fortnight, four week or longer period (no longer than the shorter of the rota cycle, placement length or 26 weeks), as required by the TCS. Additionally, as these will be varied to include your out of hours work, these may not represent your actual hours of work in any given week.</w:t>
            </w:r>
          </w:p>
          <w:p w:rsidR="00560DC1" w:rsidRPr="00560DC1" w:rsidRDefault="00560DC1" w:rsidP="00560DC1">
            <w:pPr>
              <w:spacing w:after="0" w:line="259" w:lineRule="auto"/>
              <w:rPr>
                <w:rFonts w:ascii="DINOT" w:eastAsia="Calibri" w:hAnsi="DINOT" w:cs="DINOT"/>
                <w:i/>
              </w:rPr>
            </w:pPr>
            <w:r w:rsidRPr="00560DC1">
              <w:rPr>
                <w:rFonts w:ascii="DINOT" w:eastAsia="Calibri" w:hAnsi="DINOT" w:cs="DINOT"/>
                <w:b/>
                <w:color w:val="7030A0"/>
              </w:rPr>
              <w:t xml:space="preserve">Annual pay for role </w:t>
            </w:r>
            <w:r w:rsidRPr="00560DC1">
              <w:rPr>
                <w:rFonts w:ascii="DINOT" w:eastAsia="Calibri" w:hAnsi="DINOT" w:cs="DINOT"/>
                <w:i/>
              </w:rPr>
              <w:t>(select elements as appropriate; for trainees covered under section 2 of schedule 14 of the TCS, replace this section with their protected basic salary plus a 45 per cent GP supplement)</w:t>
            </w:r>
          </w:p>
          <w:p w:rsidR="00560DC1" w:rsidRPr="00560DC1" w:rsidRDefault="00560DC1" w:rsidP="00560DC1">
            <w:pPr>
              <w:spacing w:after="0" w:line="259" w:lineRule="auto"/>
              <w:rPr>
                <w:rFonts w:ascii="DINOT" w:eastAsia="Calibri" w:hAnsi="DINOT" w:cs="DINOT"/>
                <w:b/>
              </w:rPr>
            </w:pP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Basic pay (Nodal Point): &lt;&lt;Insert annual cash amount&gt;&gt;</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Pay for additional hours above 40: Nil</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Enhanced pay at 37 per cent rate: &lt;&lt;Insert cash amount&gt;&gt;</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Weekend allowance: Nil</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On-call availability supplement Nil</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London weighting: &lt;&lt;Insert cash amount if relevant; delete if not&gt;&gt;</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 xml:space="preserve">Flexible pay </w:t>
            </w:r>
            <w:proofErr w:type="spellStart"/>
            <w:r w:rsidRPr="00560DC1">
              <w:rPr>
                <w:rFonts w:ascii="DINOT" w:eastAsia="Calibri" w:hAnsi="DINOT" w:cs="DINOT"/>
              </w:rPr>
              <w:t>premia</w:t>
            </w:r>
            <w:proofErr w:type="spellEnd"/>
            <w:r w:rsidRPr="00560DC1">
              <w:rPr>
                <w:rFonts w:ascii="DINOT" w:eastAsia="Calibri" w:hAnsi="DINOT" w:cs="DINOT"/>
              </w:rPr>
              <w:t xml:space="preserve"> [Type]: &lt;&lt;Insert cash amount&gt;&gt;</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Transitional pay protection: &lt;&lt;Insert cash amount if relevant; delete if not&gt;&gt;</w:t>
            </w:r>
          </w:p>
          <w:p w:rsidR="00560DC1" w:rsidRPr="00560DC1" w:rsidRDefault="00560DC1" w:rsidP="00560DC1">
            <w:pPr>
              <w:spacing w:after="0" w:line="259" w:lineRule="auto"/>
              <w:ind w:left="567"/>
              <w:rPr>
                <w:rFonts w:ascii="DINOT" w:eastAsia="Calibri" w:hAnsi="DINOT" w:cs="DINOT"/>
              </w:rPr>
            </w:pP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If you are covered by other provisions of the TCS (for example schedule 2 paras 46-52), you may also receive an additional pay element.</w:t>
            </w:r>
          </w:p>
          <w:p w:rsidR="00560DC1" w:rsidRPr="00560DC1" w:rsidRDefault="00560DC1" w:rsidP="00560DC1">
            <w:pPr>
              <w:spacing w:after="0" w:line="259" w:lineRule="auto"/>
              <w:rPr>
                <w:rFonts w:ascii="DINOT" w:eastAsia="Calibri" w:hAnsi="DINOT" w:cs="DINOT"/>
              </w:rPr>
            </w:pP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Total pensionable pay: &lt;&lt;Insert cash amount&gt;&gt;</w:t>
            </w: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Total non-pensionable pay: &lt;&lt;Insert cash amount&gt;&gt;</w:t>
            </w:r>
          </w:p>
          <w:p w:rsidR="00560DC1" w:rsidRPr="00560DC1" w:rsidRDefault="00560DC1" w:rsidP="00560DC1">
            <w:pPr>
              <w:spacing w:after="0" w:line="259" w:lineRule="auto"/>
              <w:rPr>
                <w:rFonts w:ascii="DINOT" w:eastAsia="Calibri" w:hAnsi="DINOT" w:cs="DINOT"/>
                <w:b/>
              </w:rPr>
            </w:pPr>
          </w:p>
          <w:p w:rsidR="00560DC1" w:rsidRPr="00560DC1" w:rsidRDefault="00560DC1" w:rsidP="00560DC1">
            <w:pPr>
              <w:spacing w:after="0" w:line="259" w:lineRule="auto"/>
              <w:rPr>
                <w:rFonts w:ascii="DINOT" w:eastAsia="Calibri" w:hAnsi="DINOT" w:cs="DINOT"/>
              </w:rPr>
            </w:pPr>
            <w:r w:rsidRPr="00560DC1">
              <w:rPr>
                <w:rFonts w:ascii="DINOT" w:eastAsia="Calibri" w:hAnsi="DINOT" w:cs="DINOT"/>
                <w:b/>
              </w:rPr>
              <w:t>Total annual pay for this role: &lt;&lt;Insert cash amount&gt;&gt;</w:t>
            </w:r>
          </w:p>
          <w:p w:rsidR="00560DC1" w:rsidRPr="00560DC1" w:rsidRDefault="00560DC1" w:rsidP="00560DC1">
            <w:pPr>
              <w:spacing w:after="0" w:line="259" w:lineRule="auto"/>
              <w:rPr>
                <w:rFonts w:ascii="DINOT" w:eastAsia="Calibri" w:hAnsi="DINOT" w:cs="DINOT"/>
              </w:rPr>
            </w:pPr>
          </w:p>
          <w:p w:rsidR="00560DC1" w:rsidRPr="00560DC1" w:rsidRDefault="00560DC1" w:rsidP="00560DC1">
            <w:pPr>
              <w:spacing w:after="0" w:line="259" w:lineRule="auto"/>
              <w:rPr>
                <w:rFonts w:ascii="DINOT" w:eastAsia="Calibri" w:hAnsi="DINOT" w:cs="DINOT"/>
              </w:rPr>
            </w:pPr>
            <w:r w:rsidRPr="00560DC1">
              <w:rPr>
                <w:rFonts w:ascii="DINOT" w:eastAsia="Calibri" w:hAnsi="DINOT" w:cs="DINOT"/>
              </w:rPr>
              <w:t>Should your placement be for less than 12 months, your pay will be pro-rated to the length of your placement.</w:t>
            </w:r>
          </w:p>
          <w:p w:rsidR="00560DC1" w:rsidRPr="00560DC1" w:rsidRDefault="00560DC1" w:rsidP="00560DC1">
            <w:pPr>
              <w:spacing w:after="0" w:line="259" w:lineRule="auto"/>
              <w:rPr>
                <w:rFonts w:ascii="DINOT" w:eastAsia="Calibri" w:hAnsi="DINOT" w:cs="DINOT"/>
              </w:rPr>
            </w:pPr>
          </w:p>
        </w:tc>
      </w:tr>
      <w:tr w:rsidR="00560DC1" w:rsidRPr="00560DC1" w:rsidTr="007F5C8C">
        <w:tc>
          <w:tcPr>
            <w:tcW w:w="9242" w:type="dxa"/>
          </w:tcPr>
          <w:p w:rsidR="00560DC1" w:rsidRPr="00560DC1" w:rsidRDefault="00560DC1" w:rsidP="00560DC1">
            <w:pPr>
              <w:spacing w:after="160" w:line="259" w:lineRule="auto"/>
              <w:rPr>
                <w:rFonts w:ascii="DINOT" w:eastAsia="Calibri" w:hAnsi="DINOT" w:cs="DINOT"/>
                <w:b/>
                <w:color w:val="7030A0"/>
                <w:u w:val="single"/>
              </w:rPr>
            </w:pPr>
            <w:r w:rsidRPr="00560DC1">
              <w:rPr>
                <w:rFonts w:ascii="DINOT" w:eastAsia="Calibri" w:hAnsi="DINOT" w:cs="DINOT"/>
                <w:b/>
                <w:color w:val="7030A0"/>
                <w:u w:val="single"/>
              </w:rPr>
              <w:lastRenderedPageBreak/>
              <w:t>Training opportunities:</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The GP curriculum is </w:t>
            </w:r>
            <w:proofErr w:type="gramStart"/>
            <w:r w:rsidRPr="00560DC1">
              <w:rPr>
                <w:rFonts w:ascii="DINOT" w:eastAsia="Calibri" w:hAnsi="DINOT" w:cs="DINOT"/>
              </w:rPr>
              <w:t>a competences</w:t>
            </w:r>
            <w:proofErr w:type="gramEnd"/>
            <w:r w:rsidRPr="00560DC1">
              <w:rPr>
                <w:rFonts w:ascii="DINOT" w:eastAsia="Calibri" w:hAnsi="DINOT" w:cs="DINOT"/>
              </w:rPr>
              <w:t xml:space="preserve"> based curriculum and is structured as defined in </w:t>
            </w:r>
            <w:r w:rsidRPr="00560DC1">
              <w:rPr>
                <w:rFonts w:ascii="DINOT" w:eastAsia="Calibri" w:hAnsi="DINOT" w:cs="DINOT"/>
                <w:i/>
              </w:rPr>
              <w:t xml:space="preserve">Being a GP </w:t>
            </w:r>
            <w:r w:rsidRPr="00560DC1">
              <w:rPr>
                <w:rFonts w:ascii="DINOT" w:eastAsia="Calibri" w:hAnsi="DINOT" w:cs="DINOT"/>
              </w:rPr>
              <w:t>the core statement</w:t>
            </w:r>
            <w:r w:rsidRPr="00560DC1">
              <w:rPr>
                <w:rFonts w:ascii="DINOT" w:eastAsia="Calibri" w:hAnsi="DINOT" w:cs="DINOT"/>
                <w:vertAlign w:val="superscript"/>
              </w:rPr>
              <w:footnoteReference w:id="1"/>
            </w:r>
            <w:r w:rsidRPr="00560DC1">
              <w:rPr>
                <w:rFonts w:ascii="DINOT" w:eastAsia="Calibri" w:hAnsi="DINOT" w:cs="DINOT"/>
              </w:rPr>
              <w:t>. You will be given opportunities to develop skills and competences which will lead to the development of areas of capability.</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The focus of this post will be in the following:</w:t>
            </w:r>
          </w:p>
          <w:p w:rsidR="00560DC1" w:rsidRPr="00560DC1" w:rsidRDefault="00560DC1" w:rsidP="00560DC1">
            <w:pPr>
              <w:spacing w:after="160" w:line="259" w:lineRule="auto"/>
              <w:rPr>
                <w:rFonts w:ascii="DINOT" w:eastAsia="Calibri" w:hAnsi="DINOT" w:cs="DINOT"/>
                <w:b/>
              </w:rPr>
            </w:pPr>
            <w:r w:rsidRPr="00560DC1">
              <w:rPr>
                <w:rFonts w:ascii="DINOT" w:eastAsia="Calibri" w:hAnsi="DINOT" w:cs="DINOT"/>
                <w:b/>
              </w:rPr>
              <w:t>Area of capability: Knowing yourself and relating to others</w:t>
            </w:r>
          </w:p>
          <w:p w:rsidR="00560DC1" w:rsidRPr="00560DC1" w:rsidRDefault="00560DC1" w:rsidP="00560DC1">
            <w:pPr>
              <w:numPr>
                <w:ilvl w:val="0"/>
                <w:numId w:val="9"/>
              </w:numPr>
              <w:spacing w:after="160" w:line="259" w:lineRule="auto"/>
              <w:rPr>
                <w:rFonts w:ascii="DINOT" w:eastAsia="Calibri" w:hAnsi="DINOT" w:cs="DINOT"/>
                <w:b/>
              </w:rPr>
            </w:pPr>
            <w:r w:rsidRPr="00560DC1">
              <w:rPr>
                <w:rFonts w:ascii="DINOT" w:eastAsia="Calibri" w:hAnsi="DINOT" w:cs="DINOT"/>
              </w:rPr>
              <w:t>Core capability: Fitness to practise</w:t>
            </w:r>
          </w:p>
          <w:p w:rsidR="00560DC1" w:rsidRPr="00560DC1" w:rsidRDefault="00560DC1" w:rsidP="00560DC1">
            <w:pPr>
              <w:numPr>
                <w:ilvl w:val="0"/>
                <w:numId w:val="9"/>
              </w:numPr>
              <w:spacing w:after="160" w:line="259" w:lineRule="auto"/>
              <w:rPr>
                <w:rFonts w:ascii="DINOT" w:eastAsia="Calibri" w:hAnsi="DINOT" w:cs="DINOT"/>
                <w:b/>
              </w:rPr>
            </w:pPr>
            <w:r w:rsidRPr="00560DC1">
              <w:rPr>
                <w:rFonts w:ascii="DINOT" w:eastAsia="Calibri" w:hAnsi="DINOT" w:cs="DINOT"/>
              </w:rPr>
              <w:t>Core capability: Maintaining an ethical approach</w:t>
            </w:r>
          </w:p>
          <w:p w:rsidR="00560DC1" w:rsidRPr="00560DC1" w:rsidRDefault="00560DC1" w:rsidP="00560DC1">
            <w:pPr>
              <w:numPr>
                <w:ilvl w:val="0"/>
                <w:numId w:val="9"/>
              </w:numPr>
              <w:spacing w:after="160" w:line="259" w:lineRule="auto"/>
              <w:rPr>
                <w:rFonts w:ascii="DINOT" w:eastAsia="Calibri" w:hAnsi="DINOT" w:cs="DINOT"/>
                <w:b/>
              </w:rPr>
            </w:pPr>
            <w:r w:rsidRPr="00560DC1">
              <w:rPr>
                <w:rFonts w:ascii="DINOT" w:eastAsia="Calibri" w:hAnsi="DINOT" w:cs="DINOT"/>
              </w:rPr>
              <w:t xml:space="preserve">Core capability: Communication and consultation </w:t>
            </w:r>
          </w:p>
          <w:p w:rsidR="00560DC1" w:rsidRPr="00560DC1" w:rsidRDefault="00560DC1" w:rsidP="00560DC1">
            <w:pPr>
              <w:spacing w:after="160" w:line="259" w:lineRule="auto"/>
              <w:rPr>
                <w:rFonts w:ascii="DINOT" w:eastAsia="Calibri" w:hAnsi="DINOT" w:cs="DINOT"/>
                <w:b/>
              </w:rPr>
            </w:pPr>
            <w:r w:rsidRPr="00560DC1">
              <w:rPr>
                <w:rFonts w:ascii="DINOT" w:eastAsia="Calibri" w:hAnsi="DINOT" w:cs="DINOT"/>
                <w:b/>
              </w:rPr>
              <w:t xml:space="preserve">Area of capability: Applying clinical knowledge and skill </w:t>
            </w:r>
          </w:p>
          <w:p w:rsidR="00560DC1" w:rsidRPr="00560DC1" w:rsidRDefault="00560DC1" w:rsidP="00560DC1">
            <w:pPr>
              <w:numPr>
                <w:ilvl w:val="0"/>
                <w:numId w:val="8"/>
              </w:numPr>
              <w:spacing w:after="160" w:line="259" w:lineRule="auto"/>
              <w:rPr>
                <w:rFonts w:ascii="DINOT" w:eastAsia="Calibri" w:hAnsi="DINOT" w:cs="DINOT"/>
                <w:b/>
              </w:rPr>
            </w:pPr>
            <w:r w:rsidRPr="00560DC1">
              <w:rPr>
                <w:rFonts w:ascii="DINOT" w:eastAsia="Calibri" w:hAnsi="DINOT" w:cs="DINOT"/>
              </w:rPr>
              <w:lastRenderedPageBreak/>
              <w:t>Core capability: Data gathering and interpretation</w:t>
            </w:r>
          </w:p>
          <w:p w:rsidR="00560DC1" w:rsidRPr="00560DC1" w:rsidRDefault="00560DC1" w:rsidP="00560DC1">
            <w:pPr>
              <w:numPr>
                <w:ilvl w:val="0"/>
                <w:numId w:val="8"/>
              </w:numPr>
              <w:spacing w:after="160" w:line="259" w:lineRule="auto"/>
              <w:rPr>
                <w:rFonts w:ascii="DINOT" w:eastAsia="Calibri" w:hAnsi="DINOT" w:cs="DINOT"/>
                <w:b/>
              </w:rPr>
            </w:pPr>
            <w:r w:rsidRPr="00560DC1">
              <w:rPr>
                <w:rFonts w:ascii="DINOT" w:eastAsia="Calibri" w:hAnsi="DINOT" w:cs="DINOT"/>
              </w:rPr>
              <w:t>Core capability: Making a decision</w:t>
            </w:r>
          </w:p>
          <w:p w:rsidR="00560DC1" w:rsidRPr="00560DC1" w:rsidRDefault="00560DC1" w:rsidP="00560DC1">
            <w:pPr>
              <w:numPr>
                <w:ilvl w:val="0"/>
                <w:numId w:val="8"/>
              </w:numPr>
              <w:spacing w:after="160" w:line="259" w:lineRule="auto"/>
              <w:rPr>
                <w:rFonts w:ascii="DINOT" w:eastAsia="Calibri" w:hAnsi="DINOT" w:cs="DINOT"/>
                <w:b/>
              </w:rPr>
            </w:pPr>
            <w:r w:rsidRPr="00560DC1">
              <w:rPr>
                <w:rFonts w:ascii="DINOT" w:eastAsia="Calibri" w:hAnsi="DINOT" w:cs="DINOT"/>
              </w:rPr>
              <w:t>Core c</w:t>
            </w:r>
            <w:r w:rsidR="0074379C">
              <w:rPr>
                <w:rFonts w:ascii="DINOT" w:eastAsia="Calibri" w:hAnsi="DINOT" w:cs="DINOT"/>
              </w:rPr>
              <w:t xml:space="preserve">apability: Clinical management </w:t>
            </w:r>
          </w:p>
          <w:p w:rsidR="00560DC1" w:rsidRPr="00560DC1" w:rsidRDefault="00560DC1" w:rsidP="00560DC1">
            <w:pPr>
              <w:spacing w:after="160" w:line="259" w:lineRule="auto"/>
              <w:rPr>
                <w:rFonts w:ascii="DINOT" w:eastAsia="Calibri" w:hAnsi="DINOT" w:cs="DINOT"/>
                <w:b/>
              </w:rPr>
            </w:pPr>
            <w:r w:rsidRPr="00560DC1">
              <w:rPr>
                <w:rFonts w:ascii="DINOT" w:eastAsia="Calibri" w:hAnsi="DINOT" w:cs="DINOT"/>
                <w:b/>
              </w:rPr>
              <w:t xml:space="preserve">Area of capability: Managing complex and long term care </w:t>
            </w:r>
          </w:p>
          <w:p w:rsidR="00560DC1" w:rsidRPr="00560DC1" w:rsidRDefault="00560DC1" w:rsidP="00560DC1">
            <w:pPr>
              <w:numPr>
                <w:ilvl w:val="0"/>
                <w:numId w:val="7"/>
              </w:numPr>
              <w:spacing w:after="160" w:line="259" w:lineRule="auto"/>
              <w:rPr>
                <w:rFonts w:ascii="DINOT" w:eastAsia="Calibri" w:hAnsi="DINOT" w:cs="DINOT"/>
                <w:b/>
              </w:rPr>
            </w:pPr>
            <w:r w:rsidRPr="00560DC1">
              <w:rPr>
                <w:rFonts w:ascii="DINOT" w:eastAsia="Calibri" w:hAnsi="DINOT" w:cs="DINOT"/>
              </w:rPr>
              <w:t>Core capability: Working with colleagues and in teams</w:t>
            </w:r>
          </w:p>
          <w:p w:rsidR="00560DC1" w:rsidRPr="00560DC1" w:rsidRDefault="00560DC1" w:rsidP="00560DC1">
            <w:pPr>
              <w:spacing w:after="160" w:line="259" w:lineRule="auto"/>
              <w:rPr>
                <w:rFonts w:ascii="DINOT" w:eastAsia="Calibri" w:hAnsi="DINOT" w:cs="DINOT"/>
                <w:b/>
              </w:rPr>
            </w:pPr>
            <w:r w:rsidRPr="00560DC1">
              <w:rPr>
                <w:rFonts w:ascii="DINOT" w:eastAsia="Calibri" w:hAnsi="DINOT" w:cs="DINOT"/>
                <w:b/>
              </w:rPr>
              <w:t xml:space="preserve">Area of capability: Working well in organisations and systems of care </w:t>
            </w:r>
          </w:p>
          <w:p w:rsidR="00560DC1" w:rsidRPr="00560DC1" w:rsidRDefault="00560DC1" w:rsidP="00560DC1">
            <w:pPr>
              <w:numPr>
                <w:ilvl w:val="0"/>
                <w:numId w:val="7"/>
              </w:numPr>
              <w:spacing w:after="160" w:line="259" w:lineRule="auto"/>
              <w:rPr>
                <w:rFonts w:ascii="DINOT" w:eastAsia="Calibri" w:hAnsi="DINOT" w:cs="DINOT"/>
                <w:b/>
              </w:rPr>
            </w:pPr>
            <w:r w:rsidRPr="00560DC1">
              <w:rPr>
                <w:rFonts w:ascii="DINOT" w:eastAsia="Calibri" w:hAnsi="DINOT" w:cs="DINOT"/>
              </w:rPr>
              <w:t>Core capability: Maintaining performance learning and teaching.</w:t>
            </w:r>
          </w:p>
          <w:p w:rsidR="00560DC1" w:rsidRPr="00560DC1" w:rsidRDefault="00560DC1" w:rsidP="00560DC1">
            <w:pPr>
              <w:spacing w:after="160" w:line="259" w:lineRule="auto"/>
              <w:rPr>
                <w:rFonts w:ascii="DINOT" w:eastAsia="Calibri" w:hAnsi="DINOT" w:cs="DINOT"/>
                <w:b/>
                <w:color w:val="7030A0"/>
                <w:u w:val="single"/>
              </w:rPr>
            </w:pPr>
            <w:r w:rsidRPr="00560DC1">
              <w:rPr>
                <w:rFonts w:ascii="DINOT" w:eastAsia="Calibri" w:hAnsi="DINOT" w:cs="DINOT"/>
                <w:b/>
                <w:color w:val="7030A0"/>
                <w:u w:val="single"/>
              </w:rPr>
              <w:t xml:space="preserve">GP Curriculum </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The full GP curriculum is available on the </w:t>
            </w:r>
            <w:hyperlink r:id="rId10" w:history="1">
              <w:r w:rsidRPr="00560DC1">
                <w:rPr>
                  <w:rFonts w:ascii="DINOT" w:eastAsia="Calibri" w:hAnsi="DINOT" w:cs="DINOT"/>
                  <w:u w:val="single"/>
                </w:rPr>
                <w:t>Royal College of General Practitioners website.</w:t>
              </w:r>
            </w:hyperlink>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During this post you will undertake a </w:t>
            </w:r>
            <w:hyperlink r:id="rId11" w:history="1">
              <w:r w:rsidRPr="00560DC1">
                <w:rPr>
                  <w:rFonts w:ascii="DINOT" w:eastAsia="Calibri" w:hAnsi="DINOT" w:cs="DINOT"/>
                  <w:u w:val="single"/>
                </w:rPr>
                <w:t>workplace based assessment</w:t>
              </w:r>
            </w:hyperlink>
            <w:r w:rsidRPr="00560DC1">
              <w:rPr>
                <w:rFonts w:ascii="DINOT" w:eastAsia="Calibri" w:hAnsi="DINOT" w:cs="DINOT"/>
              </w:rPr>
              <w:t xml:space="preserve"> as advised by the Royal College of General Practitioners.</w:t>
            </w:r>
          </w:p>
          <w:p w:rsidR="00560DC1" w:rsidRPr="00560DC1" w:rsidRDefault="00560DC1" w:rsidP="00560DC1">
            <w:pPr>
              <w:spacing w:after="160" w:line="259" w:lineRule="auto"/>
              <w:rPr>
                <w:rFonts w:ascii="DINOT" w:eastAsia="Calibri" w:hAnsi="DINOT" w:cs="DINOT"/>
                <w:b/>
                <w:color w:val="7030A0"/>
                <w:u w:val="single"/>
              </w:rPr>
            </w:pPr>
            <w:r w:rsidRPr="00560DC1">
              <w:rPr>
                <w:rFonts w:ascii="DINOT" w:eastAsia="Calibri" w:hAnsi="DINOT" w:cs="DINOT"/>
                <w:b/>
                <w:color w:val="7030A0"/>
                <w:u w:val="single"/>
              </w:rPr>
              <w:t>Process</w:t>
            </w:r>
          </w:p>
          <w:p w:rsidR="00560DC1" w:rsidRPr="00560DC1" w:rsidRDefault="00560DC1" w:rsidP="00560DC1">
            <w:pPr>
              <w:spacing w:after="160" w:line="259" w:lineRule="auto"/>
              <w:rPr>
                <w:rFonts w:ascii="DINOT" w:eastAsia="Calibri" w:hAnsi="DINOT" w:cs="DINOT"/>
                <w:b/>
              </w:rPr>
            </w:pPr>
            <w:r w:rsidRPr="00560DC1">
              <w:rPr>
                <w:rFonts w:ascii="DINOT" w:eastAsia="Calibri" w:hAnsi="DINOT" w:cs="DINOT"/>
              </w:rPr>
              <w:t xml:space="preserve">The post will enable you to follow the principles set out in </w:t>
            </w:r>
            <w:r w:rsidRPr="00560DC1">
              <w:rPr>
                <w:rFonts w:ascii="DINOT" w:eastAsia="Calibri" w:hAnsi="DINOT" w:cs="DINOT"/>
                <w:i/>
              </w:rPr>
              <w:t>How to Learn in GP</w:t>
            </w:r>
            <w:r w:rsidRPr="00560DC1">
              <w:rPr>
                <w:rFonts w:ascii="DINOT" w:eastAsia="Calibri" w:hAnsi="DINOT" w:cs="DINOT"/>
                <w:b/>
              </w:rPr>
              <w:t xml:space="preserve">. </w:t>
            </w:r>
            <w:r w:rsidRPr="00560DC1">
              <w:rPr>
                <w:rFonts w:ascii="DINOT" w:eastAsia="Calibri" w:hAnsi="DINOT" w:cs="DINOT"/>
              </w:rPr>
              <w:t>You will be enabled to engage in:</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Adult learning</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Reflective practice on activity in the workplace</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Seeking opportunities for patient and carer encounters</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Multidisciplinary teamwork and learning</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Guided personal development through discussion with your educational supervisor and supported by your clinical supervisor and you will be given opportunities to meet both during the post.</w:t>
            </w:r>
          </w:p>
          <w:p w:rsidR="00560DC1" w:rsidRPr="00560DC1" w:rsidRDefault="00560DC1" w:rsidP="00560DC1">
            <w:pPr>
              <w:spacing w:after="160" w:line="259" w:lineRule="auto"/>
              <w:ind w:left="360"/>
              <w:rPr>
                <w:rFonts w:ascii="DINOT" w:eastAsia="Calibri" w:hAnsi="DINOT" w:cs="DINOT"/>
              </w:rPr>
            </w:pPr>
            <w:r w:rsidRPr="00560DC1">
              <w:rPr>
                <w:rFonts w:ascii="DINOT" w:eastAsia="Calibri" w:hAnsi="DINOT" w:cs="DINOT"/>
              </w:rPr>
              <w:t>The learning opportunities within this post are:</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Clinical supervision – with opportunity for discussion and debriefing after each surgery (within scheduled hours) or during surgery if required for an immediate problem.</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Weekly tutorial – at least two hours planned and focussed discussion covering educational needs with educational / clinical supervisor. Some may be delegated to another permanent GP member of the practice team.</w:t>
            </w:r>
          </w:p>
          <w:p w:rsidR="00560DC1" w:rsidRPr="00560DC1" w:rsidRDefault="00560DC1" w:rsidP="00560DC1">
            <w:pPr>
              <w:numPr>
                <w:ilvl w:val="0"/>
                <w:numId w:val="2"/>
              </w:numPr>
              <w:spacing w:after="160" w:line="259" w:lineRule="auto"/>
              <w:rPr>
                <w:rFonts w:ascii="DINOT" w:eastAsia="Calibri" w:hAnsi="DINOT" w:cs="DINOT"/>
              </w:rPr>
            </w:pPr>
            <w:r w:rsidRPr="00560DC1">
              <w:rPr>
                <w:rFonts w:ascii="DINOT" w:eastAsia="Calibri" w:hAnsi="DINOT" w:cs="DINOT"/>
              </w:rPr>
              <w:t>Attendance at weekly practice education meeting involving all practice clinical team members. These meetings include attendance by other PHCT members when appropriate and include the following areas:</w:t>
            </w:r>
          </w:p>
          <w:p w:rsidR="00560DC1" w:rsidRPr="00560DC1" w:rsidRDefault="00560DC1" w:rsidP="00560DC1">
            <w:pPr>
              <w:numPr>
                <w:ilvl w:val="0"/>
                <w:numId w:val="3"/>
              </w:numPr>
              <w:spacing w:after="0" w:line="240" w:lineRule="auto"/>
              <w:ind w:left="993" w:hanging="284"/>
              <w:rPr>
                <w:rFonts w:ascii="DINOT" w:eastAsia="Calibri" w:hAnsi="DINOT" w:cs="DINOT"/>
              </w:rPr>
            </w:pPr>
            <w:r w:rsidRPr="00560DC1">
              <w:rPr>
                <w:rFonts w:ascii="DINOT" w:eastAsia="Calibri" w:hAnsi="DINOT" w:cs="DINOT"/>
              </w:rPr>
              <w:t>Gold Standard Framework (palliative care)</w:t>
            </w:r>
          </w:p>
          <w:p w:rsidR="00560DC1" w:rsidRPr="00560DC1" w:rsidRDefault="00560DC1" w:rsidP="00560DC1">
            <w:pPr>
              <w:numPr>
                <w:ilvl w:val="0"/>
                <w:numId w:val="3"/>
              </w:numPr>
              <w:spacing w:after="0" w:line="240" w:lineRule="auto"/>
              <w:ind w:left="993" w:hanging="284"/>
              <w:rPr>
                <w:rFonts w:ascii="DINOT" w:eastAsia="Calibri" w:hAnsi="DINOT" w:cs="DINOT"/>
              </w:rPr>
            </w:pPr>
            <w:r w:rsidRPr="00560DC1">
              <w:rPr>
                <w:rFonts w:ascii="DINOT" w:eastAsia="Calibri" w:hAnsi="DINOT" w:cs="DINOT"/>
              </w:rPr>
              <w:t>Child and Adult Safeguarding</w:t>
            </w:r>
          </w:p>
          <w:p w:rsidR="00560DC1" w:rsidRPr="00560DC1" w:rsidRDefault="00560DC1" w:rsidP="00560DC1">
            <w:pPr>
              <w:numPr>
                <w:ilvl w:val="0"/>
                <w:numId w:val="3"/>
              </w:numPr>
              <w:spacing w:after="0" w:line="240" w:lineRule="auto"/>
              <w:ind w:left="993" w:hanging="284"/>
              <w:rPr>
                <w:rFonts w:ascii="DINOT" w:eastAsia="Calibri" w:hAnsi="DINOT" w:cs="DINOT"/>
              </w:rPr>
            </w:pPr>
            <w:r w:rsidRPr="00560DC1">
              <w:rPr>
                <w:rFonts w:ascii="DINOT" w:eastAsia="Calibri" w:hAnsi="DINOT" w:cs="DINOT"/>
              </w:rPr>
              <w:t>Audit and SEA</w:t>
            </w:r>
          </w:p>
          <w:p w:rsidR="00560DC1" w:rsidRPr="00560DC1" w:rsidRDefault="00560DC1" w:rsidP="00560DC1">
            <w:pPr>
              <w:numPr>
                <w:ilvl w:val="0"/>
                <w:numId w:val="3"/>
              </w:numPr>
              <w:spacing w:after="0" w:line="240" w:lineRule="auto"/>
              <w:ind w:left="993" w:hanging="284"/>
              <w:rPr>
                <w:rFonts w:ascii="DINOT" w:eastAsia="Calibri" w:hAnsi="DINOT" w:cs="DINOT"/>
              </w:rPr>
            </w:pPr>
            <w:r w:rsidRPr="00560DC1">
              <w:rPr>
                <w:rFonts w:ascii="DINOT" w:eastAsia="Calibri" w:hAnsi="DINOT" w:cs="DINOT"/>
              </w:rPr>
              <w:t>Evidence based medicine</w:t>
            </w:r>
          </w:p>
          <w:p w:rsidR="00560DC1" w:rsidRPr="00560DC1" w:rsidRDefault="00560DC1" w:rsidP="00560DC1">
            <w:pPr>
              <w:numPr>
                <w:ilvl w:val="0"/>
                <w:numId w:val="3"/>
              </w:numPr>
              <w:spacing w:after="0" w:line="240" w:lineRule="auto"/>
              <w:ind w:left="993" w:hanging="284"/>
              <w:rPr>
                <w:rFonts w:ascii="DINOT" w:eastAsia="Calibri" w:hAnsi="DINOT" w:cs="DINOT"/>
              </w:rPr>
            </w:pPr>
            <w:r w:rsidRPr="00560DC1">
              <w:rPr>
                <w:rFonts w:ascii="DINOT" w:eastAsia="Calibri" w:hAnsi="DINOT" w:cs="DINOT"/>
              </w:rPr>
              <w:t>Case management of patients with complex needs</w:t>
            </w:r>
          </w:p>
          <w:p w:rsidR="00560DC1" w:rsidRPr="00560DC1" w:rsidRDefault="00560DC1" w:rsidP="00560DC1">
            <w:pPr>
              <w:spacing w:after="0" w:line="240" w:lineRule="auto"/>
              <w:rPr>
                <w:rFonts w:ascii="DINOT" w:eastAsia="Calibri" w:hAnsi="DINOT" w:cs="DINOT"/>
              </w:rPr>
            </w:pPr>
          </w:p>
          <w:p w:rsidR="00560DC1" w:rsidRPr="00560DC1" w:rsidRDefault="00560DC1" w:rsidP="00560DC1">
            <w:pPr>
              <w:numPr>
                <w:ilvl w:val="0"/>
                <w:numId w:val="4"/>
              </w:numPr>
              <w:spacing w:after="0" w:line="240" w:lineRule="auto"/>
              <w:rPr>
                <w:rFonts w:ascii="DINOT" w:eastAsia="Calibri" w:hAnsi="DINOT" w:cs="DINOT"/>
              </w:rPr>
            </w:pPr>
            <w:r w:rsidRPr="00560DC1">
              <w:rPr>
                <w:rFonts w:ascii="DINOT" w:eastAsia="Calibri" w:hAnsi="DINOT" w:cs="DINOT"/>
              </w:rPr>
              <w:t>Attendance at the weekly partners meeting including business planning and finance</w:t>
            </w:r>
            <w:r w:rsidRPr="00560DC1">
              <w:rPr>
                <w:rFonts w:ascii="DINOT" w:eastAsia="Calibri" w:hAnsi="DINOT" w:cs="DINOT"/>
              </w:rPr>
              <w:br/>
            </w:r>
          </w:p>
          <w:p w:rsidR="00560DC1" w:rsidRPr="00560DC1" w:rsidRDefault="00560DC1" w:rsidP="00560DC1">
            <w:pPr>
              <w:numPr>
                <w:ilvl w:val="0"/>
                <w:numId w:val="4"/>
              </w:numPr>
              <w:spacing w:after="0" w:line="240" w:lineRule="auto"/>
              <w:rPr>
                <w:rFonts w:ascii="DINOT" w:eastAsia="Calibri" w:hAnsi="DINOT" w:cs="DINOT"/>
              </w:rPr>
            </w:pPr>
            <w:r w:rsidRPr="00560DC1">
              <w:rPr>
                <w:rFonts w:ascii="DINOT" w:eastAsia="Calibri" w:hAnsi="DINOT" w:cs="DINOT"/>
              </w:rPr>
              <w:t>Attendance at weekly structured teaching programme</w:t>
            </w:r>
            <w:r w:rsidRPr="00560DC1">
              <w:rPr>
                <w:rFonts w:ascii="DINOT" w:eastAsia="Calibri" w:hAnsi="DINOT" w:cs="DINOT"/>
              </w:rPr>
              <w:br/>
            </w:r>
          </w:p>
          <w:p w:rsidR="00560DC1" w:rsidRDefault="00560DC1" w:rsidP="00560DC1">
            <w:pPr>
              <w:numPr>
                <w:ilvl w:val="0"/>
                <w:numId w:val="4"/>
              </w:numPr>
              <w:spacing w:after="0" w:line="240" w:lineRule="auto"/>
              <w:rPr>
                <w:rFonts w:ascii="DINOT" w:eastAsia="Calibri" w:hAnsi="DINOT" w:cs="DINOT"/>
              </w:rPr>
            </w:pPr>
            <w:r w:rsidRPr="00560DC1">
              <w:rPr>
                <w:rFonts w:ascii="DINOT" w:eastAsia="Calibri" w:hAnsi="DINOT" w:cs="DINOT"/>
              </w:rPr>
              <w:t>Time for weekly self-facilitated learning and personal study.</w:t>
            </w:r>
          </w:p>
          <w:p w:rsidR="0074379C" w:rsidRPr="00560DC1" w:rsidRDefault="0074379C" w:rsidP="0074379C">
            <w:pPr>
              <w:spacing w:after="0" w:line="240" w:lineRule="auto"/>
              <w:ind w:left="720"/>
              <w:rPr>
                <w:rFonts w:ascii="DINOT" w:eastAsia="Calibri" w:hAnsi="DINOT" w:cs="DINOT"/>
              </w:rPr>
            </w:pPr>
          </w:p>
          <w:p w:rsidR="00560DC1" w:rsidRPr="00560DC1" w:rsidRDefault="00560DC1" w:rsidP="00560DC1">
            <w:pPr>
              <w:spacing w:after="160" w:line="259" w:lineRule="auto"/>
              <w:rPr>
                <w:rFonts w:ascii="DINOT" w:eastAsia="Calibri" w:hAnsi="DINOT" w:cs="DINOT"/>
                <w:i/>
              </w:rPr>
            </w:pPr>
            <w:r w:rsidRPr="00560DC1">
              <w:rPr>
                <w:rFonts w:ascii="DINOT" w:eastAsia="Calibri" w:hAnsi="DINOT" w:cs="DINOT"/>
                <w:b/>
                <w:color w:val="7030A0"/>
                <w:highlight w:val="yellow"/>
                <w:u w:val="single"/>
              </w:rPr>
              <w:t>Other learning opportunities available in this post include</w:t>
            </w:r>
            <w:r w:rsidRPr="00560DC1">
              <w:rPr>
                <w:rFonts w:ascii="DINOT" w:eastAsia="Calibri" w:hAnsi="DINOT" w:cs="DINOT"/>
                <w:b/>
                <w:color w:val="7030A0"/>
                <w:highlight w:val="yellow"/>
              </w:rPr>
              <w:t>:</w:t>
            </w:r>
            <w:r w:rsidRPr="00560DC1">
              <w:rPr>
                <w:rFonts w:ascii="DINOT" w:eastAsia="Calibri" w:hAnsi="DINOT" w:cs="DINOT"/>
                <w:b/>
                <w:color w:val="7030A0"/>
              </w:rPr>
              <w:t xml:space="preserve"> </w:t>
            </w:r>
            <w:r w:rsidRPr="00560DC1">
              <w:rPr>
                <w:rFonts w:ascii="DINOT" w:eastAsia="Calibri" w:hAnsi="DINOT" w:cs="DINOT"/>
                <w:i/>
                <w:highlight w:val="yellow"/>
              </w:rPr>
              <w:t>(delete any that do not apply)</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Attendance and participation in chronic disease management, health screening, immunisation and other clinics supervised by the practice nurse</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Participation in the practice clinical governance programme including audit, SEA, medicines management and other quality improvement projects</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Participation in the practiced based minor surgery sessions including joint injections.</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Participation in practice or community based ante-natal and child health clinics</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Delivery of teaching to medical students with feedback on teaching skills</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Attendance at local clinical commissioning meetings and involvement in commissioning projects</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Participation in the practice case management programme for patients with complex conditions including multidisciplinary team work</w:t>
            </w:r>
          </w:p>
          <w:p w:rsidR="00560DC1" w:rsidRPr="00560DC1" w:rsidRDefault="00560DC1" w:rsidP="00560DC1">
            <w:pPr>
              <w:numPr>
                <w:ilvl w:val="0"/>
                <w:numId w:val="5"/>
              </w:numPr>
              <w:spacing w:after="160" w:line="259" w:lineRule="auto"/>
              <w:rPr>
                <w:rFonts w:ascii="DINOT" w:eastAsia="Calibri" w:hAnsi="DINOT" w:cs="DINOT"/>
                <w:i/>
              </w:rPr>
            </w:pPr>
            <w:r w:rsidRPr="00560DC1">
              <w:rPr>
                <w:rFonts w:ascii="DINOT" w:eastAsia="Calibri" w:hAnsi="DINOT" w:cs="DINOT"/>
              </w:rPr>
              <w:t>Leadership of specific projects or chairing of practice meetings with feedback on skills.</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If you are elected to act as a representative of other GP specialty trainees (GPST) including to attend the annual conference of local medical committees, you are entitled to [special paid] leave to undertake such functions and to attend appropriate meetings. </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 xml:space="preserve">(You must obtain the consent of your trainer/educational supervisor and employer to each absence from duty but consent shall not be withheld unless there are exceptional circumstances in the reasonable opinion of the trainer/educational supervisor. When agreed such absences shall be considered as included in your working time commitment). </w:t>
            </w:r>
          </w:p>
        </w:tc>
      </w:tr>
      <w:tr w:rsidR="00560DC1" w:rsidRPr="00560DC1" w:rsidTr="007F5C8C">
        <w:tc>
          <w:tcPr>
            <w:tcW w:w="9242" w:type="dxa"/>
          </w:tcPr>
          <w:p w:rsidR="00560DC1" w:rsidRPr="00560DC1" w:rsidRDefault="00560DC1" w:rsidP="00560DC1">
            <w:pPr>
              <w:spacing w:after="160" w:line="259" w:lineRule="auto"/>
              <w:rPr>
                <w:rFonts w:ascii="DINOT" w:eastAsia="Calibri" w:hAnsi="DINOT" w:cs="DINOT"/>
                <w:b/>
                <w:color w:val="7030A0"/>
                <w:u w:val="single"/>
              </w:rPr>
            </w:pPr>
            <w:r w:rsidRPr="00560DC1">
              <w:rPr>
                <w:rFonts w:ascii="DINOT" w:eastAsia="Calibri" w:hAnsi="DINOT" w:cs="DINOT"/>
                <w:b/>
                <w:color w:val="7030A0"/>
                <w:u w:val="single"/>
              </w:rPr>
              <w:lastRenderedPageBreak/>
              <w:t>Locum work:</w:t>
            </w:r>
          </w:p>
          <w:p w:rsidR="00560DC1" w:rsidRPr="00560DC1" w:rsidRDefault="00560DC1" w:rsidP="00560DC1">
            <w:pPr>
              <w:spacing w:after="160" w:line="259" w:lineRule="auto"/>
              <w:rPr>
                <w:rFonts w:ascii="DINOT" w:eastAsia="Calibri" w:hAnsi="DINOT" w:cs="DINOT"/>
              </w:rPr>
            </w:pPr>
            <w:r w:rsidRPr="00560DC1">
              <w:rPr>
                <w:rFonts w:ascii="DINOT" w:eastAsia="Calibri" w:hAnsi="DINOT" w:cs="DINOT"/>
              </w:rPr>
              <w:t>As a GP trainee you are supernumerary. Under the TCS, you are allowed to carry out additional duties as a locum should you wish to do so, but you must first offer your services to the NHS before seeking any work via an agency or other third party. Please refer to the separate guidance on locum working in GP for advice about how to do this if you wish to.</w:t>
            </w:r>
          </w:p>
        </w:tc>
      </w:tr>
      <w:tr w:rsidR="00560DC1" w:rsidRPr="00560DC1" w:rsidTr="007F5C8C">
        <w:tc>
          <w:tcPr>
            <w:tcW w:w="9242" w:type="dxa"/>
          </w:tcPr>
          <w:p w:rsidR="00560DC1" w:rsidRDefault="00560DC1" w:rsidP="00906103">
            <w:pPr>
              <w:spacing w:after="160" w:line="259" w:lineRule="auto"/>
              <w:rPr>
                <w:rFonts w:ascii="DINOT" w:eastAsia="Calibri" w:hAnsi="DINOT" w:cs="DINOT"/>
                <w:b/>
                <w:color w:val="7030A0"/>
                <w:u w:val="single"/>
              </w:rPr>
            </w:pPr>
            <w:r w:rsidRPr="008E2015">
              <w:rPr>
                <w:rFonts w:ascii="DINOT" w:eastAsia="Calibri" w:hAnsi="DINOT" w:cs="DINOT"/>
                <w:b/>
                <w:color w:val="7030A0"/>
                <w:highlight w:val="yellow"/>
                <w:u w:val="single"/>
              </w:rPr>
              <w:t>Other:</w:t>
            </w:r>
          </w:p>
          <w:p w:rsidR="00906103" w:rsidRPr="00906103" w:rsidRDefault="00906103" w:rsidP="00906103">
            <w:pPr>
              <w:spacing w:after="160" w:line="259" w:lineRule="auto"/>
              <w:rPr>
                <w:rFonts w:ascii="DINOT" w:eastAsia="Calibri" w:hAnsi="DINOT" w:cs="DINOT"/>
                <w:color w:val="7030A0"/>
              </w:rPr>
            </w:pPr>
            <w:r>
              <w:rPr>
                <w:rFonts w:ascii="DINOT" w:eastAsia="Calibri" w:hAnsi="DINOT" w:cs="DINOT"/>
                <w:color w:val="7030A0"/>
              </w:rPr>
              <w:t>To be arranged according to your educational requirements</w:t>
            </w:r>
          </w:p>
        </w:tc>
      </w:tr>
    </w:tbl>
    <w:p w:rsidR="00560DC1" w:rsidRPr="00560DC1" w:rsidRDefault="00560DC1" w:rsidP="00560DC1">
      <w:pPr>
        <w:spacing w:after="160" w:line="259" w:lineRule="auto"/>
        <w:rPr>
          <w:rFonts w:ascii="Calibri" w:eastAsia="Cambria" w:hAnsi="Calibri" w:cs="Calibri"/>
          <w:b/>
          <w:u w:val="single"/>
        </w:rPr>
      </w:pPr>
    </w:p>
    <w:p w:rsidR="00613216" w:rsidRDefault="00613216"/>
    <w:sectPr w:rsidR="00613216" w:rsidSect="00560DC1">
      <w:headerReference w:type="default" r:id="rId12"/>
      <w:footerReference w:type="default" r:id="rId13"/>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98" w:rsidRDefault="00012A98" w:rsidP="00560DC1">
      <w:pPr>
        <w:spacing w:after="0" w:line="240" w:lineRule="auto"/>
      </w:pPr>
      <w:r>
        <w:separator/>
      </w:r>
    </w:p>
  </w:endnote>
  <w:endnote w:type="continuationSeparator" w:id="0">
    <w:p w:rsidR="00012A98" w:rsidRDefault="00012A98" w:rsidP="0056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OT">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6F" w:rsidRDefault="00560DC1">
    <w:pPr>
      <w:pStyle w:val="Footer"/>
      <w:jc w:val="right"/>
      <w:rPr>
        <w:rFonts w:ascii="Myriad Pro" w:hAnsi="Myriad Pro"/>
      </w:rPr>
    </w:pPr>
    <w:r>
      <w:rPr>
        <w:noProof/>
        <w:lang w:eastAsia="en-GB"/>
      </w:rPr>
      <mc:AlternateContent>
        <mc:Choice Requires="wps">
          <w:drawing>
            <wp:anchor distT="45720" distB="45720" distL="114300" distR="114300" simplePos="0" relativeHeight="251659264" behindDoc="0" locked="0" layoutInCell="1" allowOverlap="1" wp14:anchorId="4F27D98A" wp14:editId="46D16DAE">
              <wp:simplePos x="0" y="0"/>
              <wp:positionH relativeFrom="column">
                <wp:posOffset>-95250</wp:posOffset>
              </wp:positionH>
              <wp:positionV relativeFrom="page">
                <wp:posOffset>10010775</wp:posOffset>
              </wp:positionV>
              <wp:extent cx="3905250" cy="366395"/>
              <wp:effectExtent l="0" t="0" r="0" b="6985"/>
              <wp:wrapSquare wrapText="bothSides"/>
              <wp:docPr id="1073741832" name="Text Box 107374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66395"/>
                      </a:xfrm>
                      <a:prstGeom prst="rect">
                        <a:avLst/>
                      </a:prstGeom>
                      <a:solidFill>
                        <a:srgbClr val="FFFFFF"/>
                      </a:solidFill>
                      <a:ln w="9525">
                        <a:noFill/>
                        <a:miter lim="800000"/>
                        <a:headEnd/>
                        <a:tailEnd/>
                      </a:ln>
                    </wps:spPr>
                    <wps:txbx>
                      <w:txbxContent>
                        <w:p w:rsidR="0097236F" w:rsidRPr="009B6481" w:rsidRDefault="003A28DE">
                          <w:pPr>
                            <w:rPr>
                              <w:rFonts w:ascii="DINOT" w:hAnsi="DINOT" w:cs="DINOT"/>
                            </w:rPr>
                          </w:pPr>
                          <w:r w:rsidRPr="009B6481">
                            <w:rPr>
                              <w:rFonts w:ascii="DINOT" w:hAnsi="DINOT" w:cs="DINOT"/>
                            </w:rPr>
                            <w:t>Template work schedule – general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73741832" o:spid="_x0000_s1026" type="#_x0000_t202" style="position:absolute;left:0;text-align:left;margin-left:-7.5pt;margin-top:788.25pt;width:307.5pt;height:28.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" stroked="f">
              <v:textbox style="mso-fit-shape-to-text:t">
                <w:txbxContent>
                  <w:p w:rsidR="0097236F" w:rsidRPr="009B6481" w:rsidRDefault="003A28DE">
                    <w:pPr>
                      <w:rPr>
                        <w:rFonts w:ascii="DINOT" w:hAnsi="DINOT" w:cs="DINOT"/>
                      </w:rPr>
                    </w:pPr>
                    <w:r w:rsidRPr="009B6481">
                      <w:rPr>
                        <w:rFonts w:ascii="DINOT" w:hAnsi="DINOT" w:cs="DINOT"/>
                      </w:rPr>
                      <w:t>Template work schedule – general practice</w:t>
                    </w:r>
                  </w:p>
                </w:txbxContent>
              </v:textbox>
              <w10:wrap type="square" anchory="page"/>
            </v:shape>
          </w:pict>
        </mc:Fallback>
      </mc:AlternateContent>
    </w:r>
    <w:r w:rsidR="003A28DE">
      <w:fldChar w:fldCharType="begin"/>
    </w:r>
    <w:r w:rsidR="003A28DE">
      <w:instrText xml:space="preserve"> PAGE   \* MERGEFORMAT </w:instrText>
    </w:r>
    <w:r w:rsidR="003A28DE">
      <w:fldChar w:fldCharType="separate"/>
    </w:r>
    <w:r w:rsidR="001535C1" w:rsidRPr="001535C1">
      <w:rPr>
        <w:rFonts w:ascii="Myriad Pro" w:hAnsi="Myriad Pro"/>
        <w:noProof/>
      </w:rPr>
      <w:t>2</w:t>
    </w:r>
    <w:r w:rsidR="003A28DE">
      <w:rPr>
        <w:rFonts w:ascii="Myriad Pro" w:hAnsi="Myriad Pro"/>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98" w:rsidRDefault="00012A98" w:rsidP="00560DC1">
      <w:pPr>
        <w:spacing w:after="0" w:line="240" w:lineRule="auto"/>
      </w:pPr>
      <w:r>
        <w:separator/>
      </w:r>
    </w:p>
  </w:footnote>
  <w:footnote w:type="continuationSeparator" w:id="0">
    <w:p w:rsidR="00012A98" w:rsidRDefault="00012A98" w:rsidP="00560DC1">
      <w:pPr>
        <w:spacing w:after="0" w:line="240" w:lineRule="auto"/>
      </w:pPr>
      <w:r>
        <w:continuationSeparator/>
      </w:r>
    </w:p>
  </w:footnote>
  <w:footnote w:id="1">
    <w:p w:rsidR="00560DC1" w:rsidRDefault="00560DC1" w:rsidP="00560DC1">
      <w:pPr>
        <w:pStyle w:val="FootnoteText"/>
      </w:pPr>
      <w:r>
        <w:rPr>
          <w:rStyle w:val="FootnoteReference"/>
        </w:rPr>
        <w:footnoteRef/>
      </w:r>
      <w:r>
        <w:t xml:space="preserve"> </w:t>
      </w:r>
      <w:hyperlink r:id="rId1" w:history="1">
        <w:r w:rsidRPr="00BA1A2C">
          <w:rPr>
            <w:rStyle w:val="Hyperlink"/>
          </w:rPr>
          <w:t>http://www.rcgp.org.uk/training-exams/gp-curriculum-overview/online-curriculum/1-being-a-gp/core-capabilities-and-competences.aspx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6F" w:rsidRDefault="00DC791A">
    <w:pPr>
      <w:pStyle w:val="Header"/>
      <w:tabs>
        <w:tab w:val="clear" w:pos="4513"/>
      </w:tabs>
      <w:jc w:val="center"/>
    </w:pPr>
    <w:r>
      <w:rPr>
        <w:rFonts w:ascii="DINOT" w:eastAsia="Cambria" w:hAnsi="DINOT" w:cs="DINOT"/>
        <w:b/>
        <w:noProof/>
        <w:color w:val="912D98"/>
        <w:sz w:val="36"/>
        <w:szCs w:val="36"/>
        <w:lang w:eastAsia="en-GB"/>
      </w:rPr>
      <w:drawing>
        <wp:anchor distT="0" distB="0" distL="114300" distR="114300" simplePos="0" relativeHeight="251660288" behindDoc="0" locked="0" layoutInCell="1" allowOverlap="1">
          <wp:simplePos x="0" y="0"/>
          <wp:positionH relativeFrom="column">
            <wp:posOffset>2966085</wp:posOffset>
          </wp:positionH>
          <wp:positionV relativeFrom="paragraph">
            <wp:posOffset>-99695</wp:posOffset>
          </wp:positionV>
          <wp:extent cx="2849245" cy="488950"/>
          <wp:effectExtent l="0" t="0" r="825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48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0BB"/>
    <w:multiLevelType w:val="hybridMultilevel"/>
    <w:tmpl w:val="1EA05C54"/>
    <w:lvl w:ilvl="0" w:tplc="8CFAC13C">
      <w:start w:val="1"/>
      <w:numFmt w:val="bullet"/>
      <w:lvlText w:val=""/>
      <w:lvlJc w:val="left"/>
      <w:pPr>
        <w:ind w:left="720" w:hanging="360"/>
      </w:pPr>
      <w:rPr>
        <w:rFonts w:ascii="Symbol" w:hAnsi="Symbol" w:hint="default"/>
        <w:color w:val="912D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345F0"/>
    <w:multiLevelType w:val="hybridMultilevel"/>
    <w:tmpl w:val="8AF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D7C3B"/>
    <w:multiLevelType w:val="hybridMultilevel"/>
    <w:tmpl w:val="61380BE0"/>
    <w:lvl w:ilvl="0" w:tplc="81643CFE">
      <w:start w:val="1"/>
      <w:numFmt w:val="bullet"/>
      <w:lvlText w:val=""/>
      <w:lvlJc w:val="left"/>
      <w:pPr>
        <w:ind w:left="720" w:hanging="360"/>
      </w:pPr>
      <w:rPr>
        <w:rFonts w:ascii="Symbol" w:hAnsi="Symbol" w:hint="default"/>
        <w:color w:val="912D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87740"/>
    <w:multiLevelType w:val="hybridMultilevel"/>
    <w:tmpl w:val="9DA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A159E9"/>
    <w:multiLevelType w:val="hybridMultilevel"/>
    <w:tmpl w:val="C7B28178"/>
    <w:lvl w:ilvl="0" w:tplc="81643CFE">
      <w:start w:val="1"/>
      <w:numFmt w:val="bullet"/>
      <w:lvlText w:val=""/>
      <w:lvlJc w:val="left"/>
      <w:pPr>
        <w:ind w:left="720" w:hanging="360"/>
      </w:pPr>
      <w:rPr>
        <w:rFonts w:ascii="Symbol" w:hAnsi="Symbol" w:hint="default"/>
        <w:color w:val="912D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3E4A54"/>
    <w:multiLevelType w:val="hybridMultilevel"/>
    <w:tmpl w:val="8DA452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EC7190"/>
    <w:multiLevelType w:val="hybridMultilevel"/>
    <w:tmpl w:val="D98C6BF2"/>
    <w:lvl w:ilvl="0" w:tplc="A26A3B10">
      <w:start w:val="1"/>
      <w:numFmt w:val="bullet"/>
      <w:lvlText w:val=""/>
      <w:lvlJc w:val="left"/>
      <w:pPr>
        <w:ind w:left="720" w:hanging="360"/>
      </w:pPr>
      <w:rPr>
        <w:rFonts w:ascii="Symbol" w:hAnsi="Symbol" w:hint="default"/>
        <w:color w:val="912D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A3B1A"/>
    <w:multiLevelType w:val="hybridMultilevel"/>
    <w:tmpl w:val="18A6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ED7B53"/>
    <w:multiLevelType w:val="hybridMultilevel"/>
    <w:tmpl w:val="0D4A2426"/>
    <w:lvl w:ilvl="0" w:tplc="1E3075B6">
      <w:start w:val="1"/>
      <w:numFmt w:val="bullet"/>
      <w:lvlText w:val=""/>
      <w:lvlJc w:val="left"/>
      <w:pPr>
        <w:ind w:left="720" w:hanging="360"/>
      </w:pPr>
      <w:rPr>
        <w:rFonts w:ascii="Symbol" w:hAnsi="Symbol" w:hint="default"/>
        <w:color w:val="912D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C1"/>
    <w:rsid w:val="00012A98"/>
    <w:rsid w:val="00034CF3"/>
    <w:rsid w:val="000469A0"/>
    <w:rsid w:val="00076504"/>
    <w:rsid w:val="000F60F5"/>
    <w:rsid w:val="001144AA"/>
    <w:rsid w:val="00117017"/>
    <w:rsid w:val="001535C1"/>
    <w:rsid w:val="002530F5"/>
    <w:rsid w:val="00256E6C"/>
    <w:rsid w:val="0028404C"/>
    <w:rsid w:val="002A2071"/>
    <w:rsid w:val="003A28DE"/>
    <w:rsid w:val="004B31BC"/>
    <w:rsid w:val="00560DC1"/>
    <w:rsid w:val="005D44A5"/>
    <w:rsid w:val="005F6DE4"/>
    <w:rsid w:val="00613216"/>
    <w:rsid w:val="00724BAE"/>
    <w:rsid w:val="0074379C"/>
    <w:rsid w:val="007771CD"/>
    <w:rsid w:val="008261F5"/>
    <w:rsid w:val="0083295D"/>
    <w:rsid w:val="008E2015"/>
    <w:rsid w:val="0090110F"/>
    <w:rsid w:val="00906103"/>
    <w:rsid w:val="009F7DB5"/>
    <w:rsid w:val="00A4025D"/>
    <w:rsid w:val="00A53A0B"/>
    <w:rsid w:val="00AC2AF6"/>
    <w:rsid w:val="00B2628D"/>
    <w:rsid w:val="00B948A3"/>
    <w:rsid w:val="00C12D54"/>
    <w:rsid w:val="00C23223"/>
    <w:rsid w:val="00C86F73"/>
    <w:rsid w:val="00CD0413"/>
    <w:rsid w:val="00D12C96"/>
    <w:rsid w:val="00D73FA2"/>
    <w:rsid w:val="00DC791A"/>
    <w:rsid w:val="00E66F16"/>
    <w:rsid w:val="00FA09D2"/>
    <w:rsid w:val="00FB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C1"/>
  </w:style>
  <w:style w:type="paragraph" w:styleId="Footer">
    <w:name w:val="footer"/>
    <w:basedOn w:val="Normal"/>
    <w:link w:val="FooterChar"/>
    <w:uiPriority w:val="99"/>
    <w:unhideWhenUsed/>
    <w:rsid w:val="00560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DC1"/>
  </w:style>
  <w:style w:type="paragraph" w:styleId="FootnoteText">
    <w:name w:val="footnote text"/>
    <w:basedOn w:val="Normal"/>
    <w:link w:val="FootnoteTextChar"/>
    <w:semiHidden/>
    <w:unhideWhenUsed/>
    <w:rsid w:val="00560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560DC1"/>
    <w:rPr>
      <w:rFonts w:ascii="Calibri" w:eastAsia="Calibri" w:hAnsi="Calibri" w:cs="Times New Roman"/>
      <w:sz w:val="20"/>
      <w:szCs w:val="20"/>
    </w:rPr>
  </w:style>
  <w:style w:type="character" w:styleId="FootnoteReference">
    <w:name w:val="footnote reference"/>
    <w:semiHidden/>
    <w:unhideWhenUsed/>
    <w:rsid w:val="00560DC1"/>
    <w:rPr>
      <w:vertAlign w:val="superscript"/>
    </w:rPr>
  </w:style>
  <w:style w:type="character" w:styleId="Hyperlink">
    <w:name w:val="Hyperlink"/>
    <w:rsid w:val="00560DC1"/>
    <w:rPr>
      <w:u w:val="single"/>
    </w:rPr>
  </w:style>
  <w:style w:type="table" w:styleId="TableGrid">
    <w:name w:val="Table Grid"/>
    <w:basedOn w:val="TableNormal"/>
    <w:uiPriority w:val="59"/>
    <w:rsid w:val="00B9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C1"/>
  </w:style>
  <w:style w:type="paragraph" w:styleId="Footer">
    <w:name w:val="footer"/>
    <w:basedOn w:val="Normal"/>
    <w:link w:val="FooterChar"/>
    <w:uiPriority w:val="99"/>
    <w:unhideWhenUsed/>
    <w:rsid w:val="00560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DC1"/>
  </w:style>
  <w:style w:type="paragraph" w:styleId="FootnoteText">
    <w:name w:val="footnote text"/>
    <w:basedOn w:val="Normal"/>
    <w:link w:val="FootnoteTextChar"/>
    <w:semiHidden/>
    <w:unhideWhenUsed/>
    <w:rsid w:val="00560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560DC1"/>
    <w:rPr>
      <w:rFonts w:ascii="Calibri" w:eastAsia="Calibri" w:hAnsi="Calibri" w:cs="Times New Roman"/>
      <w:sz w:val="20"/>
      <w:szCs w:val="20"/>
    </w:rPr>
  </w:style>
  <w:style w:type="character" w:styleId="FootnoteReference">
    <w:name w:val="footnote reference"/>
    <w:semiHidden/>
    <w:unhideWhenUsed/>
    <w:rsid w:val="00560DC1"/>
    <w:rPr>
      <w:vertAlign w:val="superscript"/>
    </w:rPr>
  </w:style>
  <w:style w:type="character" w:styleId="Hyperlink">
    <w:name w:val="Hyperlink"/>
    <w:rsid w:val="00560DC1"/>
    <w:rPr>
      <w:u w:val="single"/>
    </w:rPr>
  </w:style>
  <w:style w:type="table" w:styleId="TableGrid">
    <w:name w:val="Table Grid"/>
    <w:basedOn w:val="TableNormal"/>
    <w:uiPriority w:val="59"/>
    <w:rsid w:val="00B9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792">
      <w:bodyDiv w:val="1"/>
      <w:marLeft w:val="0"/>
      <w:marRight w:val="0"/>
      <w:marTop w:val="0"/>
      <w:marBottom w:val="0"/>
      <w:divBdr>
        <w:top w:val="none" w:sz="0" w:space="0" w:color="auto"/>
        <w:left w:val="none" w:sz="0" w:space="0" w:color="auto"/>
        <w:bottom w:val="none" w:sz="0" w:space="0" w:color="auto"/>
        <w:right w:val="none" w:sz="0" w:space="0" w:color="auto"/>
      </w:divBdr>
    </w:div>
    <w:div w:id="6955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Tate@hee.nhs.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gp.org.uk/training-exams/mrcgp-workplace-based-assessment-wpba.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cgp.org.uk/training-exams/gp-curriculum-overview.aspx" TargetMode="External"/><Relationship Id="rId4" Type="http://schemas.openxmlformats.org/officeDocument/2006/relationships/settings" Target="settings.xml"/><Relationship Id="rId9" Type="http://schemas.openxmlformats.org/officeDocument/2006/relationships/hyperlink" Target="mailto:rf.gpleo@nhs.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cgp.org.uk/training-exams/gp-curriculum-overview/online-curriculum/1-being-a-gp/core-capabilities-and-competen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Barnet and Chase Farm Hospitals</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Ajala, Fopesaiye</dc:creator>
  <cp:lastModifiedBy>emis2000</cp:lastModifiedBy>
  <cp:revision>3</cp:revision>
  <cp:lastPrinted>2017-03-07T12:19:00Z</cp:lastPrinted>
  <dcterms:created xsi:type="dcterms:W3CDTF">2017-03-16T10:16:00Z</dcterms:created>
  <dcterms:modified xsi:type="dcterms:W3CDTF">2017-03-16T12:29:00Z</dcterms:modified>
</cp:coreProperties>
</file>