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45BD" w14:textId="6010FE61" w:rsidR="003761EE" w:rsidRPr="007243E9" w:rsidRDefault="003761EE" w:rsidP="003761EE">
      <w:pPr>
        <w:spacing w:after="0" w:line="240" w:lineRule="auto"/>
        <w:rPr>
          <w:rFonts w:cstheme="minorHAnsi"/>
          <w:b/>
          <w:sz w:val="28"/>
        </w:rPr>
      </w:pPr>
      <w:bookmarkStart w:id="0" w:name="_Hlk482732274"/>
      <w:r w:rsidRPr="007243E9">
        <w:rPr>
          <w:rFonts w:cstheme="minorHAnsi"/>
          <w:b/>
          <w:sz w:val="28"/>
        </w:rPr>
        <w:t xml:space="preserve">Colwall </w:t>
      </w:r>
      <w:r w:rsidR="00090271" w:rsidRPr="007243E9">
        <w:rPr>
          <w:rFonts w:cstheme="minorHAnsi"/>
          <w:b/>
          <w:sz w:val="28"/>
        </w:rPr>
        <w:t>Orchard Group:  Activity</w:t>
      </w:r>
      <w:r w:rsidRPr="007243E9">
        <w:rPr>
          <w:rFonts w:cstheme="minorHAnsi"/>
          <w:b/>
          <w:sz w:val="28"/>
        </w:rPr>
        <w:t xml:space="preserve"> Risk Assessment</w:t>
      </w:r>
      <w:r w:rsidR="00090271" w:rsidRPr="007243E9">
        <w:rPr>
          <w:rFonts w:cstheme="minorHAnsi"/>
          <w:b/>
          <w:sz w:val="28"/>
        </w:rPr>
        <w:t xml:space="preserve">:  </w:t>
      </w:r>
      <w:r w:rsidR="00EA27FD">
        <w:rPr>
          <w:rFonts w:cstheme="minorHAnsi"/>
          <w:b/>
          <w:sz w:val="28"/>
        </w:rPr>
        <w:t>Tree Planting</w:t>
      </w:r>
    </w:p>
    <w:tbl>
      <w:tblPr>
        <w:tblpPr w:leftFromText="181" w:rightFromText="181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"/>
        <w:gridCol w:w="567"/>
        <w:gridCol w:w="567"/>
        <w:gridCol w:w="567"/>
        <w:gridCol w:w="259"/>
        <w:gridCol w:w="992"/>
        <w:gridCol w:w="3289"/>
      </w:tblGrid>
      <w:tr w:rsidR="003761EE" w:rsidRPr="00090271" w14:paraId="7DD77BAB" w14:textId="77777777" w:rsidTr="007243E9">
        <w:tc>
          <w:tcPr>
            <w:tcW w:w="842" w:type="dxa"/>
            <w:gridSpan w:val="2"/>
            <w:vMerge w:val="restart"/>
            <w:shd w:val="clear" w:color="auto" w:fill="auto"/>
          </w:tcPr>
          <w:p w14:paraId="5876392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7B70A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7C9E58B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1BE4357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Level of Risk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5B2A38F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Action</w:t>
            </w:r>
          </w:p>
        </w:tc>
      </w:tr>
      <w:tr w:rsidR="003761EE" w:rsidRPr="00090271" w14:paraId="2CC234DC" w14:textId="77777777" w:rsidTr="007243E9">
        <w:tc>
          <w:tcPr>
            <w:tcW w:w="842" w:type="dxa"/>
            <w:gridSpan w:val="2"/>
            <w:vMerge/>
            <w:shd w:val="clear" w:color="auto" w:fill="auto"/>
          </w:tcPr>
          <w:p w14:paraId="4EB0549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DA92BD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03F04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824F84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7D56A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D77B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2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B0052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761EE" w:rsidRPr="00090271" w14:paraId="527ABFDE" w14:textId="77777777" w:rsidTr="007243E9">
        <w:trPr>
          <w:trHeight w:val="567"/>
        </w:trPr>
        <w:tc>
          <w:tcPr>
            <w:tcW w:w="506" w:type="dxa"/>
            <w:vMerge w:val="restart"/>
            <w:shd w:val="clear" w:color="auto" w:fill="auto"/>
            <w:textDirection w:val="tbRl"/>
          </w:tcPr>
          <w:p w14:paraId="3172A7C0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Inc. severity →</w:t>
            </w:r>
          </w:p>
        </w:tc>
        <w:tc>
          <w:tcPr>
            <w:tcW w:w="336" w:type="dxa"/>
            <w:shd w:val="clear" w:color="auto" w:fill="auto"/>
          </w:tcPr>
          <w:p w14:paraId="169A43B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3723E06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76658A7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07ED5E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0CE08F0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1DDBDB6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1-2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167CF2C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Low risk: no further action</w:t>
            </w:r>
          </w:p>
        </w:tc>
      </w:tr>
      <w:tr w:rsidR="003761EE" w:rsidRPr="00090271" w14:paraId="3DDC8BDD" w14:textId="77777777" w:rsidTr="007243E9">
        <w:trPr>
          <w:trHeight w:val="567"/>
        </w:trPr>
        <w:tc>
          <w:tcPr>
            <w:tcW w:w="506" w:type="dxa"/>
            <w:vMerge/>
            <w:shd w:val="clear" w:color="auto" w:fill="auto"/>
          </w:tcPr>
          <w:p w14:paraId="4A1F7F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shd w:val="clear" w:color="auto" w:fill="auto"/>
          </w:tcPr>
          <w:p w14:paraId="357DECAB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3AED3B35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0526F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2B57D5E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3797679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shd w:val="clear" w:color="auto" w:fill="FFC000"/>
          </w:tcPr>
          <w:p w14:paraId="466E3A8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3-4</w:t>
            </w:r>
          </w:p>
        </w:tc>
        <w:tc>
          <w:tcPr>
            <w:tcW w:w="3289" w:type="dxa"/>
            <w:shd w:val="clear" w:color="auto" w:fill="FFFFFF"/>
          </w:tcPr>
          <w:p w14:paraId="0DC79CF1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Medium risk: ensure compliance with guidance notes and Safe Ways of Working (SWOW)</w:t>
            </w:r>
          </w:p>
        </w:tc>
      </w:tr>
      <w:tr w:rsidR="003761EE" w:rsidRPr="00090271" w14:paraId="3C90AF3A" w14:textId="77777777" w:rsidTr="007243E9">
        <w:trPr>
          <w:trHeight w:val="567"/>
        </w:trPr>
        <w:tc>
          <w:tcPr>
            <w:tcW w:w="5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E6D9C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5EFC8B8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3AF42CE3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46AC579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F2697F6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  <w:r w:rsidRPr="00090271">
              <w:rPr>
                <w:rFonts w:cstheme="minorHAnsi"/>
                <w:b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6A08C84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283B56C2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6-9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FFFFFF"/>
          </w:tcPr>
          <w:p w14:paraId="077C09CD" w14:textId="77777777" w:rsidR="003761EE" w:rsidRPr="00090271" w:rsidRDefault="003761EE" w:rsidP="007243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Risk unacceptable: modify procedures to reduce risk</w:t>
            </w:r>
          </w:p>
        </w:tc>
      </w:tr>
      <w:bookmarkEnd w:id="0"/>
    </w:tbl>
    <w:p w14:paraId="159F0EED" w14:textId="77777777" w:rsidR="003761EE" w:rsidRPr="00090271" w:rsidRDefault="003761EE" w:rsidP="003761EE">
      <w:pPr>
        <w:spacing w:after="0" w:line="240" w:lineRule="auto"/>
        <w:rPr>
          <w:rFonts w:cstheme="minorHAnsi"/>
          <w:b/>
        </w:rPr>
      </w:pPr>
    </w:p>
    <w:p w14:paraId="120C5F2F" w14:textId="543643A5" w:rsidR="003761EE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 xml:space="preserve">Prepared </w:t>
      </w:r>
      <w:proofErr w:type="gramStart"/>
      <w:r w:rsidRPr="00090271">
        <w:rPr>
          <w:rFonts w:cstheme="minorHAnsi"/>
          <w:b/>
        </w:rPr>
        <w:t>by:</w:t>
      </w:r>
      <w:proofErr w:type="gramEnd"/>
      <w:r w:rsidRPr="00090271">
        <w:rPr>
          <w:rFonts w:cstheme="minorHAnsi"/>
          <w:b/>
        </w:rPr>
        <w:t xml:space="preserve"> </w:t>
      </w:r>
      <w:r w:rsidR="00387C52">
        <w:rPr>
          <w:rFonts w:cstheme="minorHAnsi"/>
          <w:b/>
        </w:rPr>
        <w:tab/>
      </w:r>
      <w:r w:rsidR="00822E53">
        <w:rPr>
          <w:rFonts w:cstheme="minorHAnsi"/>
        </w:rPr>
        <w:t>Andy Ball 9</w:t>
      </w:r>
      <w:r w:rsidR="00822E53" w:rsidRPr="00822E53">
        <w:rPr>
          <w:rFonts w:cstheme="minorHAnsi"/>
          <w:vertAlign w:val="superscript"/>
        </w:rPr>
        <w:t>th</w:t>
      </w:r>
      <w:r w:rsidR="00822E53">
        <w:rPr>
          <w:rFonts w:cstheme="minorHAnsi"/>
        </w:rPr>
        <w:t xml:space="preserve"> November 2019</w:t>
      </w:r>
    </w:p>
    <w:p w14:paraId="353B9AC0" w14:textId="592678DB" w:rsidR="00387C52" w:rsidRDefault="00387C52" w:rsidP="003761EE">
      <w:pPr>
        <w:spacing w:after="0" w:line="240" w:lineRule="auto"/>
        <w:rPr>
          <w:rFonts w:cstheme="minorHAnsi"/>
        </w:rPr>
      </w:pPr>
    </w:p>
    <w:p w14:paraId="1113309A" w14:textId="0F028ECA" w:rsidR="003761EE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</w:t>
      </w:r>
      <w:r w:rsidR="003761EE" w:rsidRPr="00090271">
        <w:rPr>
          <w:rFonts w:cstheme="minorHAnsi"/>
          <w:b/>
        </w:rPr>
        <w:t xml:space="preserve">eview:  </w:t>
      </w:r>
      <w:r>
        <w:rPr>
          <w:rFonts w:cstheme="minorHAnsi"/>
          <w:b/>
        </w:rPr>
        <w:tab/>
      </w:r>
      <w:r w:rsidR="003761EE" w:rsidRPr="00090271">
        <w:rPr>
          <w:rFonts w:cstheme="minorHAnsi"/>
        </w:rPr>
        <w:t>Annually thereafter (or in the event of any incident)</w:t>
      </w:r>
    </w:p>
    <w:p w14:paraId="22766B29" w14:textId="33F9BBCB" w:rsidR="00387C52" w:rsidRDefault="00387C52" w:rsidP="003761EE">
      <w:pPr>
        <w:spacing w:after="0" w:line="240" w:lineRule="auto"/>
        <w:rPr>
          <w:rFonts w:cstheme="minorHAnsi"/>
        </w:rPr>
      </w:pPr>
    </w:p>
    <w:p w14:paraId="0EA6218F" w14:textId="7F1CB471" w:rsidR="00387C52" w:rsidRDefault="00387C52" w:rsidP="003761EE">
      <w:pPr>
        <w:spacing w:after="0" w:line="240" w:lineRule="auto"/>
        <w:rPr>
          <w:rFonts w:cstheme="minorHAnsi"/>
        </w:rPr>
      </w:pPr>
      <w:r w:rsidRPr="00387C52">
        <w:rPr>
          <w:rFonts w:cstheme="minorHAnsi"/>
          <w:b/>
        </w:rPr>
        <w:t>Reviewed by:</w:t>
      </w:r>
      <w:r w:rsidR="00822E53">
        <w:rPr>
          <w:rFonts w:cstheme="minorHAnsi"/>
        </w:rPr>
        <w:t xml:space="preserve">    </w:t>
      </w:r>
    </w:p>
    <w:p w14:paraId="792F170E" w14:textId="1E947065" w:rsidR="00387C52" w:rsidRDefault="00387C52" w:rsidP="003761EE">
      <w:pPr>
        <w:spacing w:after="0" w:line="240" w:lineRule="auto"/>
        <w:rPr>
          <w:rFonts w:cstheme="minorHAnsi"/>
        </w:rPr>
      </w:pPr>
    </w:p>
    <w:p w14:paraId="3FA8935B" w14:textId="0EF865BA" w:rsidR="00387C52" w:rsidRPr="00090271" w:rsidRDefault="00387C52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review:</w:t>
      </w:r>
      <w:r>
        <w:rPr>
          <w:rFonts w:cstheme="minorHAnsi"/>
        </w:rPr>
        <w:tab/>
        <w:t>by 22</w:t>
      </w:r>
      <w:r w:rsidRPr="00387C52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March 2020</w:t>
      </w:r>
    </w:p>
    <w:p w14:paraId="283C3720" w14:textId="77777777" w:rsidR="003761EE" w:rsidRPr="00090271" w:rsidRDefault="003761EE" w:rsidP="00090271">
      <w:pPr>
        <w:spacing w:after="0" w:line="240" w:lineRule="auto"/>
        <w:jc w:val="center"/>
        <w:rPr>
          <w:rFonts w:cstheme="minorHAnsi"/>
        </w:rPr>
      </w:pPr>
    </w:p>
    <w:p w14:paraId="291B7C6D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  <w:r w:rsidRPr="00090271">
        <w:rPr>
          <w:rFonts w:cstheme="minorHAnsi"/>
          <w:b/>
        </w:rPr>
        <w:t>Notes:</w:t>
      </w:r>
      <w:r w:rsidRPr="00090271">
        <w:rPr>
          <w:rFonts w:cstheme="minorHAnsi"/>
        </w:rPr>
        <w:t xml:space="preserve">  </w:t>
      </w:r>
    </w:p>
    <w:p w14:paraId="1E81251C" w14:textId="77777777" w:rsidR="003761EE" w:rsidRDefault="007243E9" w:rsidP="003761E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 a</w:t>
      </w:r>
      <w:r w:rsidR="00621374" w:rsidRPr="00090271">
        <w:rPr>
          <w:rFonts w:cstheme="minorHAnsi"/>
        </w:rPr>
        <w:t>ctivity based Risk Assessment should be read in conjunction with relevant site based Risk Assessments and Safe Ways of Working</w:t>
      </w:r>
      <w:r w:rsidR="00090271">
        <w:rPr>
          <w:rFonts w:cstheme="minorHAnsi"/>
        </w:rPr>
        <w:t>.</w:t>
      </w:r>
    </w:p>
    <w:p w14:paraId="5B796FE6" w14:textId="77777777" w:rsidR="00090271" w:rsidRDefault="00090271" w:rsidP="0009027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All pruning tasks </w:t>
      </w:r>
      <w:r w:rsidR="00FB4B78">
        <w:rPr>
          <w:rFonts w:cstheme="minorHAnsi"/>
        </w:rPr>
        <w:t>will</w:t>
      </w:r>
      <w:r>
        <w:rPr>
          <w:rFonts w:cstheme="minorHAnsi"/>
        </w:rPr>
        <w:t xml:space="preserve"> be led by a competent Lead Volunteer who should be:</w:t>
      </w:r>
    </w:p>
    <w:p w14:paraId="5CC6A464" w14:textId="77777777" w:rsidR="00FB4B78" w:rsidRDefault="00090271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090271">
        <w:rPr>
          <w:rFonts w:cstheme="minorHAnsi"/>
        </w:rPr>
        <w:t>familiar with the relevant S</w:t>
      </w:r>
      <w:r>
        <w:rPr>
          <w:rFonts w:cstheme="minorHAnsi"/>
        </w:rPr>
        <w:t>a</w:t>
      </w:r>
      <w:r w:rsidRPr="00090271">
        <w:rPr>
          <w:rFonts w:cstheme="minorHAnsi"/>
        </w:rPr>
        <w:t>fe Ways of Working</w:t>
      </w:r>
      <w:r w:rsidR="00FB4B78">
        <w:rPr>
          <w:rFonts w:cstheme="minorHAnsi"/>
        </w:rPr>
        <w:t xml:space="preserve"> and</w:t>
      </w:r>
      <w:r w:rsidRPr="00090271">
        <w:rPr>
          <w:rFonts w:cstheme="minorHAnsi"/>
        </w:rPr>
        <w:t xml:space="preserve"> Checklists</w:t>
      </w:r>
    </w:p>
    <w:p w14:paraId="4B9D885D" w14:textId="77777777" w:rsid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familiar with Site and Activity based</w:t>
      </w:r>
      <w:r w:rsidR="00090271" w:rsidRPr="00090271">
        <w:rPr>
          <w:rFonts w:cstheme="minorHAnsi"/>
        </w:rPr>
        <w:t xml:space="preserve"> Risk Assessments</w:t>
      </w:r>
    </w:p>
    <w:p w14:paraId="7585312C" w14:textId="77777777" w:rsidR="00FB4B78" w:rsidRPr="00090271" w:rsidRDefault="00FB4B78" w:rsidP="0009027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able to instruct, supervise and monitor volunteers engaged on the task.</w:t>
      </w:r>
    </w:p>
    <w:p w14:paraId="11BC5993" w14:textId="77777777" w:rsidR="003761EE" w:rsidRPr="00090271" w:rsidRDefault="003761EE" w:rsidP="003761EE">
      <w:pPr>
        <w:spacing w:after="0" w:line="240" w:lineRule="auto"/>
        <w:rPr>
          <w:rFonts w:cstheme="minorHAnsi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6408"/>
        <w:gridCol w:w="1275"/>
        <w:gridCol w:w="2381"/>
      </w:tblGrid>
      <w:tr w:rsidR="003761EE" w:rsidRPr="00090271" w14:paraId="2B27F359" w14:textId="77777777" w:rsidTr="00FB4B78">
        <w:tc>
          <w:tcPr>
            <w:tcW w:w="2835" w:type="dxa"/>
            <w:shd w:val="clear" w:color="auto" w:fill="auto"/>
          </w:tcPr>
          <w:p w14:paraId="01C52829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 xml:space="preserve">Step1 </w:t>
            </w:r>
          </w:p>
          <w:p w14:paraId="03A25283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 xml:space="preserve">List significant hazards and harm here </w:t>
            </w:r>
          </w:p>
        </w:tc>
        <w:tc>
          <w:tcPr>
            <w:tcW w:w="1276" w:type="dxa"/>
            <w:shd w:val="clear" w:color="auto" w:fill="auto"/>
          </w:tcPr>
          <w:p w14:paraId="0544261D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2</w:t>
            </w:r>
          </w:p>
          <w:p w14:paraId="2276EBB0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090271">
              <w:rPr>
                <w:rFonts w:cstheme="minorHAnsi"/>
                <w:bCs/>
                <w:i/>
              </w:rPr>
              <w:t>Assess risk (likelihood x severity)</w:t>
            </w:r>
          </w:p>
        </w:tc>
        <w:tc>
          <w:tcPr>
            <w:tcW w:w="6408" w:type="dxa"/>
            <w:shd w:val="clear" w:color="auto" w:fill="auto"/>
          </w:tcPr>
          <w:p w14:paraId="473C7C4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b/>
                <w:bCs/>
              </w:rPr>
              <w:t>Step 3</w:t>
            </w:r>
          </w:p>
          <w:p w14:paraId="7677C132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  <w:i/>
                <w:iCs/>
              </w:rPr>
              <w:t>Mitigation:  List existing controls</w:t>
            </w:r>
          </w:p>
        </w:tc>
        <w:tc>
          <w:tcPr>
            <w:tcW w:w="1275" w:type="dxa"/>
            <w:shd w:val="clear" w:color="auto" w:fill="auto"/>
          </w:tcPr>
          <w:p w14:paraId="6B3B977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4</w:t>
            </w:r>
          </w:p>
          <w:p w14:paraId="682EBD9E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i/>
                <w:iCs/>
              </w:rPr>
            </w:pPr>
            <w:r w:rsidRPr="00090271">
              <w:rPr>
                <w:rFonts w:cstheme="minorHAnsi"/>
                <w:i/>
                <w:iCs/>
              </w:rPr>
              <w:t xml:space="preserve">Residual risk </w:t>
            </w:r>
            <w:r w:rsidRPr="00090271">
              <w:rPr>
                <w:rFonts w:cstheme="minorHAnsi"/>
                <w:bCs/>
                <w:i/>
              </w:rPr>
              <w:t>(likelihood x severity)</w:t>
            </w:r>
          </w:p>
        </w:tc>
        <w:tc>
          <w:tcPr>
            <w:tcW w:w="2381" w:type="dxa"/>
            <w:shd w:val="clear" w:color="auto" w:fill="auto"/>
          </w:tcPr>
          <w:p w14:paraId="642D4D4F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iCs/>
              </w:rPr>
            </w:pPr>
            <w:r w:rsidRPr="00090271">
              <w:rPr>
                <w:rFonts w:cstheme="minorHAnsi"/>
                <w:b/>
                <w:iCs/>
              </w:rPr>
              <w:t>Step 5</w:t>
            </w:r>
          </w:p>
          <w:p w14:paraId="38FBB3A8" w14:textId="77777777" w:rsidR="003761EE" w:rsidRPr="00090271" w:rsidRDefault="003761EE" w:rsidP="003761E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90271">
              <w:rPr>
                <w:rFonts w:cstheme="minorHAnsi"/>
                <w:i/>
                <w:iCs/>
              </w:rPr>
              <w:t>Further action needed (by whom and when)</w:t>
            </w:r>
          </w:p>
        </w:tc>
      </w:tr>
      <w:tr w:rsidR="00621374" w:rsidRPr="00090271" w14:paraId="3CD90965" w14:textId="77777777" w:rsidTr="00FB4B78">
        <w:trPr>
          <w:trHeight w:val="1989"/>
        </w:trPr>
        <w:tc>
          <w:tcPr>
            <w:tcW w:w="2835" w:type="dxa"/>
            <w:shd w:val="clear" w:color="auto" w:fill="auto"/>
          </w:tcPr>
          <w:p w14:paraId="36AF6377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Injury from misuse of hand tools – cuts, abrasions, lacerations, puncture wounds, fractures, twists, sprains and strains</w:t>
            </w:r>
          </w:p>
          <w:p w14:paraId="0187A6AC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0000"/>
          </w:tcPr>
          <w:p w14:paraId="4C11D12D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62928A2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All tools to be maintained in good condition and checked prior to use.</w:t>
            </w:r>
          </w:p>
          <w:p w14:paraId="2ACA170A" w14:textId="77777777" w:rsidR="00621374" w:rsidRPr="00090271" w:rsidRDefault="00FB4B78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Appropriate</w:t>
            </w:r>
            <w:r w:rsidR="00621374" w:rsidRPr="00090271">
              <w:rPr>
                <w:rFonts w:cstheme="minorHAnsi"/>
              </w:rPr>
              <w:t xml:space="preserve"> risk and H&amp;S briefings and demonstrations to be given to a</w:t>
            </w:r>
            <w:r>
              <w:rPr>
                <w:rFonts w:cstheme="minorHAnsi"/>
              </w:rPr>
              <w:t>ll groups using tools on site.</w:t>
            </w:r>
          </w:p>
          <w:p w14:paraId="25E2A88F" w14:textId="77777777" w:rsidR="00B06BE9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Ensure tools are used in appropriately, within their design capabilities.  </w:t>
            </w:r>
          </w:p>
          <w:p w14:paraId="799CD042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Check participants for any snag hazards etc including baggy clothes or loose long hair and correct as needed.</w:t>
            </w:r>
          </w:p>
          <w:p w14:paraId="0FEE79BA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Supervise all groups whilst using tools and make regular checks to ensure tools are being used appropriately.</w:t>
            </w:r>
          </w:p>
        </w:tc>
        <w:tc>
          <w:tcPr>
            <w:tcW w:w="1275" w:type="dxa"/>
            <w:shd w:val="clear" w:color="auto" w:fill="FFC000"/>
          </w:tcPr>
          <w:p w14:paraId="4AC090E3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88336C5" w14:textId="77777777" w:rsidR="00621374" w:rsidRPr="00090271" w:rsidRDefault="00621374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26B36952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6D4A3BC2" w14:textId="0AEFF460" w:rsidR="00B412DA" w:rsidRPr="00090271" w:rsidRDefault="00EA27FD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Terrain – the work area is uneven or </w:t>
            </w:r>
            <w:proofErr w:type="spellStart"/>
            <w:r>
              <w:rPr>
                <w:rFonts w:cstheme="minorHAnsi"/>
              </w:rPr>
              <w:t>tussocky</w:t>
            </w:r>
            <w:proofErr w:type="spellEnd"/>
            <w:r>
              <w:rPr>
                <w:rFonts w:cstheme="minorHAnsi"/>
              </w:rPr>
              <w:t xml:space="preserve"> leading to risk of trips, slips, falls</w:t>
            </w:r>
          </w:p>
        </w:tc>
        <w:tc>
          <w:tcPr>
            <w:tcW w:w="1276" w:type="dxa"/>
            <w:shd w:val="clear" w:color="auto" w:fill="FF0000"/>
          </w:tcPr>
          <w:p w14:paraId="53E37A09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3DC4A01E" w14:textId="38B46960" w:rsidR="00B412DA" w:rsidRPr="00090271" w:rsidRDefault="00EA27FD" w:rsidP="007243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Warn participants of uneven surface and ensure all participants have suitable footwear.</w:t>
            </w:r>
          </w:p>
        </w:tc>
        <w:tc>
          <w:tcPr>
            <w:tcW w:w="1275" w:type="dxa"/>
            <w:shd w:val="clear" w:color="auto" w:fill="FFC000"/>
          </w:tcPr>
          <w:p w14:paraId="3B3F6375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09D76110" w14:textId="77777777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412DA" w:rsidRPr="00090271" w14:paraId="3788799D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4BDC45B5" w14:textId="609619A2" w:rsidR="00B412DA" w:rsidRPr="00090271" w:rsidRDefault="00EA27FD" w:rsidP="00376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Broken glass and rubble in the soil leading to risk of cuts and grazes.</w:t>
            </w:r>
          </w:p>
        </w:tc>
        <w:tc>
          <w:tcPr>
            <w:tcW w:w="1276" w:type="dxa"/>
            <w:shd w:val="clear" w:color="auto" w:fill="FF0000"/>
          </w:tcPr>
          <w:p w14:paraId="5C6AFF34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6 (3x2)</w:t>
            </w:r>
          </w:p>
        </w:tc>
        <w:tc>
          <w:tcPr>
            <w:tcW w:w="6408" w:type="dxa"/>
            <w:shd w:val="clear" w:color="auto" w:fill="auto"/>
          </w:tcPr>
          <w:p w14:paraId="2A8391C0" w14:textId="4713A50E" w:rsidR="00B412DA" w:rsidRPr="00090271" w:rsidRDefault="00EA27FD" w:rsidP="00B412D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Wear thick gloves when working in the soil. (Remove any shards uncovered with care and dispose of these safely).</w:t>
            </w:r>
          </w:p>
        </w:tc>
        <w:tc>
          <w:tcPr>
            <w:tcW w:w="1275" w:type="dxa"/>
            <w:shd w:val="clear" w:color="auto" w:fill="FFC000"/>
          </w:tcPr>
          <w:p w14:paraId="147B3CB5" w14:textId="77777777" w:rsidR="00B412DA" w:rsidRPr="00090271" w:rsidRDefault="00B06BE9" w:rsidP="003761EE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56D4A9F1" w14:textId="0BCEB3B6" w:rsidR="00B412DA" w:rsidRPr="00090271" w:rsidRDefault="00B412DA" w:rsidP="003761E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7B80D8B9" w14:textId="77777777" w:rsidTr="007243E9">
        <w:trPr>
          <w:trHeight w:val="318"/>
        </w:trPr>
        <w:tc>
          <w:tcPr>
            <w:tcW w:w="2835" w:type="dxa"/>
            <w:shd w:val="clear" w:color="auto" w:fill="auto"/>
          </w:tcPr>
          <w:p w14:paraId="09AE4791" w14:textId="2384120A" w:rsidR="00B06BE9" w:rsidRPr="00090271" w:rsidRDefault="00EA27FD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Use of digging tools (spades, forks, etc) leading to risk of accidental damage to feet when digging. Danger of losing balance when using the tools.</w:t>
            </w:r>
          </w:p>
        </w:tc>
        <w:tc>
          <w:tcPr>
            <w:tcW w:w="1276" w:type="dxa"/>
            <w:shd w:val="clear" w:color="auto" w:fill="FF0000"/>
          </w:tcPr>
          <w:p w14:paraId="7DFC3CBF" w14:textId="77777777" w:rsidR="00B06BE9" w:rsidRPr="00090271" w:rsidRDefault="007243E9" w:rsidP="00B06BE9">
            <w:pPr>
              <w:spacing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7152DE07" w14:textId="0D9BF2F2" w:rsidR="00B06BE9" w:rsidRPr="00090271" w:rsidRDefault="00EA27FD" w:rsidP="00FB4B78">
            <w:pPr>
              <w:spacing w:after="0" w:line="210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Wear sturdy footwear when using spades and forks. </w:t>
            </w:r>
            <w:proofErr w:type="gramStart"/>
            <w:r>
              <w:rPr>
                <w:rFonts w:cstheme="minorHAnsi"/>
              </w:rPr>
              <w:t>Keep one foot on the ground at all times</w:t>
            </w:r>
            <w:proofErr w:type="gramEnd"/>
            <w:r>
              <w:rPr>
                <w:rFonts w:cstheme="minorHAnsi"/>
              </w:rPr>
              <w:t xml:space="preserve"> when using spades or forks (do not jump on the spade or fork).</w:t>
            </w:r>
          </w:p>
        </w:tc>
        <w:tc>
          <w:tcPr>
            <w:tcW w:w="1275" w:type="dxa"/>
            <w:shd w:val="clear" w:color="auto" w:fill="FFC000"/>
          </w:tcPr>
          <w:p w14:paraId="131CAE07" w14:textId="77777777" w:rsidR="00B06BE9" w:rsidRPr="00090271" w:rsidRDefault="007243E9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E4D033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4706F4E5" w14:textId="77777777" w:rsidTr="00FB4B78">
        <w:trPr>
          <w:trHeight w:val="318"/>
        </w:trPr>
        <w:tc>
          <w:tcPr>
            <w:tcW w:w="2835" w:type="dxa"/>
            <w:shd w:val="clear" w:color="auto" w:fill="auto"/>
          </w:tcPr>
          <w:p w14:paraId="1907348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 xml:space="preserve">Moving and lifting heavy objects leading to fractures, sprains, back injury or crush injury </w:t>
            </w:r>
          </w:p>
        </w:tc>
        <w:tc>
          <w:tcPr>
            <w:tcW w:w="1276" w:type="dxa"/>
            <w:shd w:val="clear" w:color="auto" w:fill="FFC000"/>
          </w:tcPr>
          <w:p w14:paraId="4478157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4DDC1C98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Avoid designing activities which involve lifting heavy objects</w:t>
            </w:r>
          </w:p>
          <w:p w14:paraId="1041CD10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Where heavy objects must be moved, provide appropriate instruction and use wheel barrows wherever possible.</w:t>
            </w:r>
          </w:p>
        </w:tc>
        <w:tc>
          <w:tcPr>
            <w:tcW w:w="1275" w:type="dxa"/>
            <w:shd w:val="clear" w:color="auto" w:fill="C2D69B"/>
          </w:tcPr>
          <w:p w14:paraId="47648A1F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2 (1x1)</w:t>
            </w:r>
          </w:p>
        </w:tc>
        <w:tc>
          <w:tcPr>
            <w:tcW w:w="2381" w:type="dxa"/>
            <w:shd w:val="clear" w:color="auto" w:fill="auto"/>
          </w:tcPr>
          <w:p w14:paraId="7713A0A6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51526E5E" w14:textId="77777777" w:rsidTr="00FB4B78">
        <w:trPr>
          <w:trHeight w:val="2146"/>
        </w:trPr>
        <w:tc>
          <w:tcPr>
            <w:tcW w:w="2835" w:type="dxa"/>
            <w:shd w:val="clear" w:color="auto" w:fill="auto"/>
          </w:tcPr>
          <w:p w14:paraId="70EDC0F1" w14:textId="300D15F6" w:rsidR="00B06BE9" w:rsidRPr="00090271" w:rsidRDefault="00EA27F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Tree planting leading to risk of accidental damage (scratches, grazes and poking injuries) from branches and twigs.</w:t>
            </w:r>
          </w:p>
        </w:tc>
        <w:tc>
          <w:tcPr>
            <w:tcW w:w="1276" w:type="dxa"/>
            <w:shd w:val="clear" w:color="auto" w:fill="FFC000"/>
          </w:tcPr>
          <w:p w14:paraId="6C0FCFE4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4 (2x2)</w:t>
            </w:r>
          </w:p>
        </w:tc>
        <w:tc>
          <w:tcPr>
            <w:tcW w:w="6408" w:type="dxa"/>
            <w:shd w:val="clear" w:color="auto" w:fill="auto"/>
          </w:tcPr>
          <w:p w14:paraId="20CCD47C" w14:textId="641F9AAF" w:rsidR="00B06BE9" w:rsidRPr="00090271" w:rsidRDefault="004F0D0D" w:rsidP="00EA27F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</w:t>
            </w:r>
            <w:r w:rsidR="00EA27FD">
              <w:rPr>
                <w:rFonts w:cstheme="minorHAnsi"/>
              </w:rPr>
              <w:t>ry trees with roots forward</w:t>
            </w:r>
            <w:r>
              <w:rPr>
                <w:rFonts w:cstheme="minorHAnsi"/>
              </w:rPr>
              <w:t xml:space="preserve"> but check the extent of the branches, etc, behind</w:t>
            </w:r>
            <w:r>
              <w:rPr>
                <w:rFonts w:cstheme="minorHAnsi"/>
              </w:rPr>
              <w:t xml:space="preserve"> and to the side and ensure that you maintain a working corridor </w:t>
            </w:r>
            <w:proofErr w:type="gramStart"/>
            <w:r>
              <w:rPr>
                <w:rFonts w:cstheme="minorHAnsi"/>
              </w:rPr>
              <w:t>sufficient</w:t>
            </w:r>
            <w:proofErr w:type="gramEnd"/>
            <w:r>
              <w:rPr>
                <w:rFonts w:cstheme="minorHAnsi"/>
              </w:rPr>
              <w:t xml:space="preserve"> to avoid twigs and branches from hitting anyone.</w:t>
            </w:r>
          </w:p>
        </w:tc>
        <w:tc>
          <w:tcPr>
            <w:tcW w:w="1275" w:type="dxa"/>
            <w:shd w:val="clear" w:color="auto" w:fill="C2D69B"/>
          </w:tcPr>
          <w:p w14:paraId="6D005A15" w14:textId="77777777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t>1 (1x1)</w:t>
            </w:r>
          </w:p>
        </w:tc>
        <w:tc>
          <w:tcPr>
            <w:tcW w:w="2381" w:type="dxa"/>
            <w:shd w:val="clear" w:color="auto" w:fill="auto"/>
          </w:tcPr>
          <w:p w14:paraId="418CCAF2" w14:textId="68F1F388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06BE9" w:rsidRPr="00090271" w14:paraId="3E6C8127" w14:textId="77777777" w:rsidTr="00E46040">
        <w:tc>
          <w:tcPr>
            <w:tcW w:w="2835" w:type="dxa"/>
            <w:shd w:val="clear" w:color="auto" w:fill="auto"/>
          </w:tcPr>
          <w:p w14:paraId="6260FEC9" w14:textId="628722BD" w:rsidR="00B06BE9" w:rsidRPr="00090271" w:rsidRDefault="004F0D0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Tree staking – using of swinging tools (mauls / </w:t>
            </w:r>
            <w:proofErr w:type="spellStart"/>
            <w:r>
              <w:rPr>
                <w:rFonts w:cstheme="minorHAnsi"/>
              </w:rPr>
              <w:t>mells</w:t>
            </w:r>
            <w:proofErr w:type="spellEnd"/>
            <w:r>
              <w:rPr>
                <w:rFonts w:cstheme="minorHAnsi"/>
              </w:rPr>
              <w:t xml:space="preserve"> / sledgehammers) leading to risk of accidental damage </w:t>
            </w:r>
            <w:r w:rsidR="00E46040">
              <w:rPr>
                <w:rFonts w:cstheme="minorHAnsi"/>
              </w:rPr>
              <w:t>(</w:t>
            </w:r>
            <w:r>
              <w:rPr>
                <w:rFonts w:cstheme="minorHAnsi"/>
              </w:rPr>
              <w:t>cuts, abrasions, bangs, crush injuries, etc</w:t>
            </w:r>
            <w:r w:rsidR="00E46040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0000"/>
          </w:tcPr>
          <w:p w14:paraId="3E1B61C7" w14:textId="204AF5EE" w:rsidR="00B06BE9" w:rsidRPr="00090271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24F214A9" w14:textId="3256C5B9" w:rsidR="00B06BE9" w:rsidRPr="00090271" w:rsidRDefault="004F0D0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Tree stakes to only be installed by adult who have had appropriate H &amp; S briefing. Carry tools to site with care (preferably in wheelbarrow). Stack it safely at an agreed site when not required for use. Do not use gloves with swinging tools. Keep a working radius of 2 x tool length plus 2 x arm length around your working area. If working with a partner to hold stakes steady, ensure that you have agreed a method of working before commencing work (the person holding the stake should stand at right angles to the person swinging the tool).</w:t>
            </w:r>
          </w:p>
        </w:tc>
        <w:tc>
          <w:tcPr>
            <w:tcW w:w="1275" w:type="dxa"/>
            <w:shd w:val="clear" w:color="auto" w:fill="FFC000"/>
          </w:tcPr>
          <w:p w14:paraId="760F5462" w14:textId="6F7572D1" w:rsidR="00B06BE9" w:rsidRPr="00090271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2381" w:type="dxa"/>
            <w:shd w:val="clear" w:color="auto" w:fill="auto"/>
          </w:tcPr>
          <w:p w14:paraId="45252E42" w14:textId="2518870B" w:rsidR="00B06BE9" w:rsidRPr="00090271" w:rsidRDefault="00B06BE9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0D0D" w:rsidRPr="00090271" w14:paraId="4CBD7B30" w14:textId="77777777" w:rsidTr="00E46040">
        <w:tc>
          <w:tcPr>
            <w:tcW w:w="2835" w:type="dxa"/>
            <w:shd w:val="clear" w:color="auto" w:fill="auto"/>
          </w:tcPr>
          <w:p w14:paraId="276E3681" w14:textId="17ABC177" w:rsidR="004F0D0D" w:rsidRDefault="004F0D0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Tree staking – using of </w:t>
            </w:r>
            <w:r>
              <w:rPr>
                <w:rFonts w:cstheme="minorHAnsi"/>
              </w:rPr>
              <w:t>ramming tools (post rammers</w:t>
            </w:r>
            <w:r>
              <w:rPr>
                <w:rFonts w:cstheme="minorHAnsi"/>
              </w:rPr>
              <w:t xml:space="preserve">) leading to risk of accidental damage </w:t>
            </w:r>
            <w:r w:rsidR="00E46040">
              <w:rPr>
                <w:rFonts w:cstheme="minorHAnsi"/>
              </w:rPr>
              <w:t>(</w:t>
            </w:r>
            <w:r>
              <w:rPr>
                <w:rFonts w:cstheme="minorHAnsi"/>
              </w:rPr>
              <w:t>cuts, abrasions, bangs, crush injuries, etc</w:t>
            </w:r>
            <w:r w:rsidR="00E46040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0000"/>
          </w:tcPr>
          <w:p w14:paraId="4A2DB985" w14:textId="76C97E1B" w:rsidR="004F0D0D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(3x3)</w:t>
            </w:r>
          </w:p>
        </w:tc>
        <w:tc>
          <w:tcPr>
            <w:tcW w:w="6408" w:type="dxa"/>
            <w:shd w:val="clear" w:color="auto" w:fill="auto"/>
          </w:tcPr>
          <w:p w14:paraId="5733082B" w14:textId="31E9305D" w:rsidR="004F0D0D" w:rsidRDefault="004F0D0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Tree stakes to only be installed by adult who have had appropriate H &amp; S briefing. Carry tools to site with care (preferably in wheelbarrow). Stack it safely at an agreed site when not required for use. Do not use gloves with </w:t>
            </w:r>
            <w:r>
              <w:rPr>
                <w:rFonts w:cstheme="minorHAnsi"/>
              </w:rPr>
              <w:t xml:space="preserve">ramming </w:t>
            </w:r>
            <w:r>
              <w:rPr>
                <w:rFonts w:cstheme="minorHAnsi"/>
              </w:rPr>
              <w:t>tools. If working with a partner to hold stakes steady, ensure that you have agreed a method of working before commencing work</w:t>
            </w:r>
            <w:r>
              <w:rPr>
                <w:rFonts w:cstheme="minorHAnsi"/>
              </w:rPr>
              <w:t xml:space="preserve"> and ensure that the person holding the stake has their hands below the level where the rammer will impact upon the stake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5" w:type="dxa"/>
            <w:shd w:val="clear" w:color="auto" w:fill="FFC000"/>
          </w:tcPr>
          <w:p w14:paraId="5BCD4631" w14:textId="6338554B" w:rsidR="004F0D0D" w:rsidRPr="00090271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</w:t>
            </w:r>
            <w:bookmarkStart w:id="1" w:name="_GoBack"/>
            <w:bookmarkEnd w:id="1"/>
            <w:r>
              <w:rPr>
                <w:rFonts w:cstheme="minorHAnsi"/>
              </w:rPr>
              <w:t>2)</w:t>
            </w:r>
          </w:p>
        </w:tc>
        <w:tc>
          <w:tcPr>
            <w:tcW w:w="2381" w:type="dxa"/>
            <w:shd w:val="clear" w:color="auto" w:fill="auto"/>
          </w:tcPr>
          <w:p w14:paraId="6D0AA735" w14:textId="77777777" w:rsidR="004F0D0D" w:rsidRPr="00090271" w:rsidRDefault="004F0D0D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0D0D" w:rsidRPr="00090271" w14:paraId="46FCC0EE" w14:textId="77777777" w:rsidTr="007243E9">
        <w:tc>
          <w:tcPr>
            <w:tcW w:w="2835" w:type="dxa"/>
            <w:shd w:val="clear" w:color="auto" w:fill="auto"/>
          </w:tcPr>
          <w:p w14:paraId="6E529C8B" w14:textId="163A62B5" w:rsidR="004F0D0D" w:rsidRDefault="004F0D0D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Installing </w:t>
            </w:r>
            <w:r w:rsidR="00E46040">
              <w:rPr>
                <w:rFonts w:cstheme="minorHAnsi"/>
              </w:rPr>
              <w:t xml:space="preserve">wire </w:t>
            </w:r>
            <w:r>
              <w:rPr>
                <w:rFonts w:cstheme="minorHAnsi"/>
              </w:rPr>
              <w:t>tree guards leading to risks of eye injury</w:t>
            </w:r>
            <w:r w:rsidR="00E46040">
              <w:rPr>
                <w:rFonts w:cstheme="minorHAnsi"/>
              </w:rPr>
              <w:t xml:space="preserve">, or accidental damage (cuts, </w:t>
            </w:r>
            <w:r w:rsidR="00E46040">
              <w:rPr>
                <w:rFonts w:cstheme="minorHAnsi"/>
              </w:rPr>
              <w:lastRenderedPageBreak/>
              <w:t>abrasions, bangs, crush injuries).</w:t>
            </w:r>
          </w:p>
        </w:tc>
        <w:tc>
          <w:tcPr>
            <w:tcW w:w="1276" w:type="dxa"/>
            <w:shd w:val="clear" w:color="auto" w:fill="FFC000"/>
          </w:tcPr>
          <w:p w14:paraId="724C7070" w14:textId="561FAA61" w:rsidR="004F0D0D" w:rsidRDefault="00E46040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4 (2x2)</w:t>
            </w:r>
          </w:p>
        </w:tc>
        <w:tc>
          <w:tcPr>
            <w:tcW w:w="6408" w:type="dxa"/>
            <w:shd w:val="clear" w:color="auto" w:fill="auto"/>
          </w:tcPr>
          <w:p w14:paraId="1B37F004" w14:textId="77777777" w:rsidR="004F0D0D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Beware risk of damage to eyes from wire and wear safety glass as protection.</w:t>
            </w:r>
          </w:p>
          <w:p w14:paraId="798260E9" w14:textId="3A06F302" w:rsidR="00E46040" w:rsidRDefault="00E46040" w:rsidP="00B06B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Beware risk of impact from hammers when hammering in staples and wear gloves to protect hands.</w:t>
            </w:r>
          </w:p>
        </w:tc>
        <w:tc>
          <w:tcPr>
            <w:tcW w:w="1275" w:type="dxa"/>
            <w:shd w:val="clear" w:color="auto" w:fill="C2D69B"/>
          </w:tcPr>
          <w:p w14:paraId="19CCBDF6" w14:textId="60D71074" w:rsidR="004F0D0D" w:rsidRPr="00090271" w:rsidRDefault="00E46040" w:rsidP="00B06BE9">
            <w:pPr>
              <w:spacing w:after="0" w:line="240" w:lineRule="auto"/>
              <w:rPr>
                <w:rFonts w:cstheme="minorHAnsi"/>
              </w:rPr>
            </w:pPr>
            <w:r w:rsidRPr="00090271">
              <w:rPr>
                <w:rFonts w:cstheme="minorHAnsi"/>
              </w:rPr>
              <w:lastRenderedPageBreak/>
              <w:t>2 (1x2)</w:t>
            </w:r>
          </w:p>
        </w:tc>
        <w:tc>
          <w:tcPr>
            <w:tcW w:w="2381" w:type="dxa"/>
            <w:shd w:val="clear" w:color="auto" w:fill="auto"/>
          </w:tcPr>
          <w:p w14:paraId="5EA04ED2" w14:textId="77777777" w:rsidR="004F0D0D" w:rsidRPr="00090271" w:rsidRDefault="004F0D0D" w:rsidP="00B06BE9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3A39393" w14:textId="77777777" w:rsidR="003761EE" w:rsidRPr="00090271" w:rsidRDefault="003761EE" w:rsidP="003761EE">
      <w:pPr>
        <w:spacing w:after="0" w:line="240" w:lineRule="auto"/>
        <w:rPr>
          <w:rFonts w:cstheme="minorHAnsi"/>
          <w:iCs/>
        </w:rPr>
      </w:pPr>
    </w:p>
    <w:p w14:paraId="15616983" w14:textId="77777777" w:rsidR="00CD4709" w:rsidRPr="00090271" w:rsidRDefault="00CD4709" w:rsidP="00BD1B5F">
      <w:pPr>
        <w:spacing w:after="0" w:line="240" w:lineRule="auto"/>
        <w:rPr>
          <w:rFonts w:cstheme="minorHAnsi"/>
        </w:rPr>
      </w:pPr>
    </w:p>
    <w:sectPr w:rsidR="00CD4709" w:rsidRPr="00090271" w:rsidSect="007243E9">
      <w:pgSz w:w="15842" w:h="12242" w:orient="landscape" w:code="1"/>
      <w:pgMar w:top="993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43728"/>
    <w:multiLevelType w:val="hybridMultilevel"/>
    <w:tmpl w:val="9D403ED8"/>
    <w:lvl w:ilvl="0" w:tplc="62782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8233A"/>
    <w:multiLevelType w:val="hybridMultilevel"/>
    <w:tmpl w:val="40A6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5A1644"/>
    <w:multiLevelType w:val="hybridMultilevel"/>
    <w:tmpl w:val="B04E4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0271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87C52"/>
    <w:rsid w:val="00394AFB"/>
    <w:rsid w:val="003A08DA"/>
    <w:rsid w:val="003A3AFE"/>
    <w:rsid w:val="003B16BC"/>
    <w:rsid w:val="003B3E48"/>
    <w:rsid w:val="003C7DD6"/>
    <w:rsid w:val="003D1A30"/>
    <w:rsid w:val="003D3465"/>
    <w:rsid w:val="003D3A5C"/>
    <w:rsid w:val="003E184C"/>
    <w:rsid w:val="003E6DF7"/>
    <w:rsid w:val="003F7A9A"/>
    <w:rsid w:val="00403815"/>
    <w:rsid w:val="00417FE6"/>
    <w:rsid w:val="00440312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D0D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0BD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1374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AF5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3E9"/>
    <w:rsid w:val="007245A7"/>
    <w:rsid w:val="00730FAA"/>
    <w:rsid w:val="007329A7"/>
    <w:rsid w:val="0074715C"/>
    <w:rsid w:val="00751DCB"/>
    <w:rsid w:val="007536E8"/>
    <w:rsid w:val="00753D24"/>
    <w:rsid w:val="00755371"/>
    <w:rsid w:val="00755EEE"/>
    <w:rsid w:val="007643D1"/>
    <w:rsid w:val="00772F8F"/>
    <w:rsid w:val="0077472E"/>
    <w:rsid w:val="00783165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62DE"/>
    <w:rsid w:val="008138E3"/>
    <w:rsid w:val="00822E53"/>
    <w:rsid w:val="008266B3"/>
    <w:rsid w:val="008315B4"/>
    <w:rsid w:val="0083474E"/>
    <w:rsid w:val="008378E4"/>
    <w:rsid w:val="00845529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201FF"/>
    <w:rsid w:val="00A23DD3"/>
    <w:rsid w:val="00A377E4"/>
    <w:rsid w:val="00A40B33"/>
    <w:rsid w:val="00A43461"/>
    <w:rsid w:val="00A544E7"/>
    <w:rsid w:val="00A54DF5"/>
    <w:rsid w:val="00A55216"/>
    <w:rsid w:val="00A65F89"/>
    <w:rsid w:val="00A74EAC"/>
    <w:rsid w:val="00A7616B"/>
    <w:rsid w:val="00A83813"/>
    <w:rsid w:val="00A83EAD"/>
    <w:rsid w:val="00A8493A"/>
    <w:rsid w:val="00A87A9E"/>
    <w:rsid w:val="00A913D4"/>
    <w:rsid w:val="00A91DD2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5BDC"/>
    <w:rsid w:val="00B007DC"/>
    <w:rsid w:val="00B04598"/>
    <w:rsid w:val="00B06BE9"/>
    <w:rsid w:val="00B1288D"/>
    <w:rsid w:val="00B1504E"/>
    <w:rsid w:val="00B303E9"/>
    <w:rsid w:val="00B33AFA"/>
    <w:rsid w:val="00B37327"/>
    <w:rsid w:val="00B412DA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903A9"/>
    <w:rsid w:val="00B979F3"/>
    <w:rsid w:val="00BA51CB"/>
    <w:rsid w:val="00BB4D74"/>
    <w:rsid w:val="00BB5419"/>
    <w:rsid w:val="00BB5887"/>
    <w:rsid w:val="00BB5A6E"/>
    <w:rsid w:val="00BC1620"/>
    <w:rsid w:val="00BC2240"/>
    <w:rsid w:val="00BC5670"/>
    <w:rsid w:val="00BD09C1"/>
    <w:rsid w:val="00BD191A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85CFF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3216D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DCD"/>
    <w:rsid w:val="00DE2395"/>
    <w:rsid w:val="00DE4AE6"/>
    <w:rsid w:val="00DE4B86"/>
    <w:rsid w:val="00DE5BF2"/>
    <w:rsid w:val="00DF0CAD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46040"/>
    <w:rsid w:val="00E50998"/>
    <w:rsid w:val="00E63E42"/>
    <w:rsid w:val="00E66660"/>
    <w:rsid w:val="00E67C35"/>
    <w:rsid w:val="00E75D19"/>
    <w:rsid w:val="00E77A00"/>
    <w:rsid w:val="00E9280E"/>
    <w:rsid w:val="00EA27FD"/>
    <w:rsid w:val="00EA562C"/>
    <w:rsid w:val="00EA70D3"/>
    <w:rsid w:val="00EB1751"/>
    <w:rsid w:val="00ED3D6E"/>
    <w:rsid w:val="00ED5D29"/>
    <w:rsid w:val="00ED6279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B4B78"/>
    <w:rsid w:val="00FC3787"/>
    <w:rsid w:val="00FC7FFB"/>
    <w:rsid w:val="00FD5657"/>
    <w:rsid w:val="00FD7DBE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302"/>
  <w15:docId w15:val="{B683475C-B26A-4CC3-9092-F4A3B23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 Ball</cp:lastModifiedBy>
  <cp:revision>2</cp:revision>
  <dcterms:created xsi:type="dcterms:W3CDTF">2019-11-09T12:29:00Z</dcterms:created>
  <dcterms:modified xsi:type="dcterms:W3CDTF">2019-11-09T12:29:00Z</dcterms:modified>
</cp:coreProperties>
</file>