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A879" w14:textId="77777777" w:rsidR="004E0120" w:rsidRPr="00A75888" w:rsidRDefault="004E0120" w:rsidP="004E0120">
      <w:pPr>
        <w:pStyle w:val="Heading1"/>
        <w:spacing w:before="0" w:after="0" w:line="240" w:lineRule="auto"/>
        <w:ind w:left="370" w:right="0"/>
        <w:rPr>
          <w:rFonts w:ascii="Times New Roman" w:hAnsi="Times New Roman" w:cs="Times New Roman"/>
          <w:b/>
          <w:bCs/>
          <w:color w:val="auto"/>
          <w:sz w:val="24"/>
          <w:szCs w:val="24"/>
          <w:lang w:val="fr-CA"/>
        </w:rPr>
      </w:pPr>
      <w:r w:rsidRPr="00A75888">
        <w:rPr>
          <w:rFonts w:ascii="Times New Roman" w:hAnsi="Times New Roman" w:cs="Times New Roman"/>
          <w:b/>
          <w:bCs/>
          <w:color w:val="auto"/>
          <w:sz w:val="24"/>
          <w:szCs w:val="24"/>
          <w:lang w:val="fr-CA"/>
        </w:rPr>
        <w:t>ÉNONCÉ DE POLITIQUE</w:t>
      </w:r>
    </w:p>
    <w:p w14:paraId="7186D317" w14:textId="24D78BCE" w:rsidR="004E0120" w:rsidRPr="00A75888" w:rsidRDefault="004E0120" w:rsidP="004E0120">
      <w:pPr>
        <w:spacing w:after="0" w:line="240" w:lineRule="auto"/>
        <w:ind w:left="0" w:right="0" w:hanging="10"/>
        <w:rPr>
          <w:lang w:val="fr-CA"/>
        </w:rPr>
      </w:pPr>
      <w:r w:rsidRPr="00A75888">
        <w:rPr>
          <w:lang w:val="fr-CA"/>
        </w:rPr>
        <w:t xml:space="preserve">Les Services </w:t>
      </w:r>
      <w:r w:rsidR="00ED588B" w:rsidRPr="00A75888">
        <w:rPr>
          <w:lang w:val="fr-CA"/>
        </w:rPr>
        <w:t xml:space="preserve">pour les handicaps </w:t>
      </w:r>
      <w:r w:rsidRPr="00A75888">
        <w:rPr>
          <w:lang w:val="fr-CA"/>
        </w:rPr>
        <w:t>de développement de Sudbury (S</w:t>
      </w:r>
      <w:r w:rsidR="00ED588B" w:rsidRPr="00A75888">
        <w:rPr>
          <w:lang w:val="fr-CA"/>
        </w:rPr>
        <w:t>H</w:t>
      </w:r>
      <w:r w:rsidRPr="00A75888">
        <w:rPr>
          <w:lang w:val="fr-CA"/>
        </w:rPr>
        <w:t xml:space="preserve">DS) s’engagent à offrir un environnement accessible à tous en identifiant, en éliminant et en prévenant les obstacles à la participation. </w:t>
      </w:r>
      <w:r w:rsidR="00ED588B" w:rsidRPr="00A75888">
        <w:rPr>
          <w:lang w:val="fr-CA"/>
        </w:rPr>
        <w:t>La Po</w:t>
      </w:r>
      <w:r w:rsidRPr="00A75888">
        <w:rPr>
          <w:lang w:val="fr-CA"/>
        </w:rPr>
        <w:t>litique d’accessibilité et le Plan pluriannuel consolidés décrivent la stratégie des S</w:t>
      </w:r>
      <w:r w:rsidR="00ED588B" w:rsidRPr="00A75888">
        <w:rPr>
          <w:lang w:val="fr-CA"/>
        </w:rPr>
        <w:t>H</w:t>
      </w:r>
      <w:r w:rsidRPr="00A75888">
        <w:rPr>
          <w:lang w:val="fr-CA"/>
        </w:rPr>
        <w:t xml:space="preserve">DS pour se conformer à la législation ontarienne en matière d’accessibilité et la maintenir, tout en </w:t>
      </w:r>
      <w:r w:rsidR="00ED588B" w:rsidRPr="00A75888">
        <w:rPr>
          <w:lang w:val="fr-CA"/>
        </w:rPr>
        <w:t>favorisant</w:t>
      </w:r>
      <w:r w:rsidRPr="00A75888">
        <w:rPr>
          <w:lang w:val="fr-CA"/>
        </w:rPr>
        <w:t xml:space="preserve"> la dignité, l’autonomie, l’intégration et l’égalité des chances pour tous.</w:t>
      </w:r>
    </w:p>
    <w:p w14:paraId="36A4AE07" w14:textId="77777777" w:rsidR="00ED588B" w:rsidRPr="00A75888" w:rsidRDefault="00ED588B" w:rsidP="004E0120">
      <w:pPr>
        <w:spacing w:after="0" w:line="240" w:lineRule="auto"/>
        <w:ind w:left="0" w:right="0" w:hanging="10"/>
        <w:rPr>
          <w:lang w:val="fr-CA"/>
        </w:rPr>
      </w:pPr>
    </w:p>
    <w:p w14:paraId="5C5D0ED7" w14:textId="77777777" w:rsidR="004E0120" w:rsidRPr="00A75888" w:rsidRDefault="004E0120" w:rsidP="004E0120">
      <w:pPr>
        <w:spacing w:after="0" w:line="240" w:lineRule="auto"/>
        <w:ind w:left="0" w:right="0" w:hanging="10"/>
        <w:rPr>
          <w:lang w:val="fr-CA"/>
        </w:rPr>
      </w:pPr>
      <w:r w:rsidRPr="00A75888">
        <w:rPr>
          <w:lang w:val="fr-CA"/>
        </w:rPr>
        <w:t>Cette politique est conforme à la législation et aux normes suivantes :</w:t>
      </w:r>
    </w:p>
    <w:p w14:paraId="476A9423" w14:textId="77777777" w:rsidR="001273CD" w:rsidRPr="00A75888" w:rsidRDefault="001273CD" w:rsidP="001273CD">
      <w:pPr>
        <w:spacing w:after="0" w:line="240" w:lineRule="auto"/>
        <w:ind w:left="0" w:right="0" w:firstLine="0"/>
        <w:rPr>
          <w:lang w:val="fr-CA"/>
        </w:rPr>
      </w:pPr>
    </w:p>
    <w:p w14:paraId="790F471D" w14:textId="01236F1E" w:rsidR="004E0120" w:rsidRPr="00A75888" w:rsidRDefault="004E0120" w:rsidP="001273CD">
      <w:pPr>
        <w:spacing w:after="0" w:line="240" w:lineRule="auto"/>
        <w:ind w:left="0" w:right="0" w:firstLine="0"/>
        <w:rPr>
          <w:lang w:val="fr-CA"/>
        </w:rPr>
      </w:pPr>
      <w:r w:rsidRPr="00A75888">
        <w:rPr>
          <w:lang w:val="fr-CA"/>
        </w:rPr>
        <w:t>Loi de 2005 sur l’accessibilité pour les personnes handicapées de l’Ontario (LAPHO)</w:t>
      </w:r>
    </w:p>
    <w:p w14:paraId="5A280AC9" w14:textId="77777777" w:rsidR="004E0120" w:rsidRPr="00A75888" w:rsidRDefault="004E0120" w:rsidP="001273CD">
      <w:pPr>
        <w:spacing w:after="0" w:line="240" w:lineRule="auto"/>
        <w:ind w:left="0" w:right="0" w:firstLine="0"/>
        <w:rPr>
          <w:lang w:val="fr-CA"/>
        </w:rPr>
      </w:pPr>
      <w:r w:rsidRPr="00A75888">
        <w:rPr>
          <w:lang w:val="fr-CA"/>
        </w:rPr>
        <w:t>Règlement de l’Ontario 191/11 – Règlement sur les normes d’accessibilité intégrées (RNAI) (Service à la clientèle, information et communications, emploi, transport, conception des espaces publics)</w:t>
      </w:r>
    </w:p>
    <w:p w14:paraId="4D32A68C" w14:textId="349445B4" w:rsidR="004E0120" w:rsidRPr="00A75888" w:rsidRDefault="004E0120" w:rsidP="001273CD">
      <w:pPr>
        <w:spacing w:after="0" w:line="240" w:lineRule="auto"/>
        <w:ind w:left="0" w:right="0" w:firstLine="0"/>
        <w:rPr>
          <w:lang w:val="fr-CA"/>
        </w:rPr>
      </w:pPr>
      <w:r w:rsidRPr="00A75888">
        <w:rPr>
          <w:lang w:val="fr-CA"/>
        </w:rPr>
        <w:t>Code des droits de la personne de l</w:t>
      </w:r>
      <w:r w:rsidR="007D5A04" w:rsidRPr="00A75888">
        <w:rPr>
          <w:lang w:val="fr-CA"/>
        </w:rPr>
        <w:t>’</w:t>
      </w:r>
      <w:r w:rsidRPr="00A75888">
        <w:rPr>
          <w:lang w:val="fr-CA"/>
        </w:rPr>
        <w:t>Ontario (LRO 1990, ch. H.19)</w:t>
      </w:r>
    </w:p>
    <w:p w14:paraId="2B2C276C" w14:textId="183E1685" w:rsidR="004E0120" w:rsidRPr="00A75888" w:rsidRDefault="004E0120" w:rsidP="001273CD">
      <w:pPr>
        <w:spacing w:after="0" w:line="240" w:lineRule="auto"/>
        <w:ind w:left="0" w:right="0" w:firstLine="0"/>
        <w:rPr>
          <w:lang w:val="fr-CA"/>
        </w:rPr>
      </w:pPr>
      <w:r w:rsidRPr="00A75888">
        <w:rPr>
          <w:lang w:val="fr-CA"/>
        </w:rPr>
        <w:t>Code du bâtiment de l</w:t>
      </w:r>
      <w:r w:rsidR="007D5A04" w:rsidRPr="00A75888">
        <w:rPr>
          <w:lang w:val="fr-CA"/>
        </w:rPr>
        <w:t>’</w:t>
      </w:r>
      <w:r w:rsidRPr="00A75888">
        <w:rPr>
          <w:lang w:val="fr-CA"/>
        </w:rPr>
        <w:t>Ontario (O. Reg. 332/12)</w:t>
      </w:r>
    </w:p>
    <w:p w14:paraId="57F1168D" w14:textId="77777777" w:rsidR="004E0120" w:rsidRPr="00A75888" w:rsidRDefault="004E0120" w:rsidP="001273CD">
      <w:pPr>
        <w:spacing w:after="0" w:line="240" w:lineRule="auto"/>
        <w:ind w:left="0" w:right="0" w:firstLine="0"/>
        <w:rPr>
          <w:lang w:val="fr-CA"/>
        </w:rPr>
      </w:pPr>
      <w:r w:rsidRPr="00A75888">
        <w:rPr>
          <w:lang w:val="fr-CA"/>
        </w:rPr>
        <w:t>Loi de 2000 sur les normes d’emploi (LNE)</w:t>
      </w:r>
    </w:p>
    <w:p w14:paraId="56FB0187" w14:textId="77777777" w:rsidR="004E0120" w:rsidRPr="00A75888" w:rsidRDefault="004E0120" w:rsidP="001273CD">
      <w:pPr>
        <w:spacing w:after="0" w:line="240" w:lineRule="auto"/>
        <w:ind w:left="0" w:right="0" w:firstLine="0"/>
        <w:rPr>
          <w:lang w:val="fr-CA"/>
        </w:rPr>
      </w:pPr>
      <w:r w:rsidRPr="00A75888">
        <w:rPr>
          <w:lang w:val="fr-CA"/>
        </w:rPr>
        <w:t>Loi sur la santé et la sécurité au travail (LSST)</w:t>
      </w:r>
    </w:p>
    <w:p w14:paraId="76767DDE" w14:textId="77777777" w:rsidR="004E0120" w:rsidRPr="00A75888" w:rsidRDefault="004E0120" w:rsidP="001273CD">
      <w:pPr>
        <w:spacing w:after="0" w:line="240" w:lineRule="auto"/>
        <w:ind w:left="0" w:right="0" w:firstLine="0"/>
        <w:rPr>
          <w:lang w:val="fr-CA"/>
        </w:rPr>
      </w:pPr>
      <w:r w:rsidRPr="00A75888">
        <w:rPr>
          <w:lang w:val="fr-CA"/>
        </w:rPr>
        <w:t>Loi sur les services en langue française (LRO 1990, ch. F.32)</w:t>
      </w:r>
    </w:p>
    <w:p w14:paraId="3AC7A815" w14:textId="77777777" w:rsidR="004E0120" w:rsidRPr="00A75888" w:rsidRDefault="004E0120" w:rsidP="001273CD">
      <w:pPr>
        <w:spacing w:after="0" w:line="240" w:lineRule="auto"/>
        <w:ind w:left="0" w:right="0" w:firstLine="0"/>
        <w:rPr>
          <w:lang w:val="fr-CA"/>
        </w:rPr>
      </w:pPr>
      <w:r w:rsidRPr="00A75888">
        <w:rPr>
          <w:lang w:val="fr-CA"/>
        </w:rPr>
        <w:t>Loi sur l’accès à l’information et la protection de la vie privée (LAIPVP) et Loi sur la protection des renseignements personnels sur la santé (LPRPS)</w:t>
      </w:r>
    </w:p>
    <w:p w14:paraId="1887FFFA" w14:textId="77777777" w:rsidR="004E0120" w:rsidRPr="00A75888" w:rsidRDefault="004E0120" w:rsidP="001273CD">
      <w:pPr>
        <w:spacing w:after="0" w:line="240" w:lineRule="auto"/>
        <w:ind w:left="0" w:right="0" w:firstLine="0"/>
        <w:rPr>
          <w:lang w:val="fr-CA"/>
        </w:rPr>
      </w:pPr>
      <w:r w:rsidRPr="00A75888">
        <w:rPr>
          <w:lang w:val="fr-CA"/>
        </w:rPr>
        <w:t>Charte canadienne des droits et libertés (art. 15 – Droits à l’égalité)</w:t>
      </w:r>
    </w:p>
    <w:p w14:paraId="4AC447A8" w14:textId="77777777" w:rsidR="00ED588B" w:rsidRPr="00A75888" w:rsidRDefault="00ED588B" w:rsidP="004E0120">
      <w:pPr>
        <w:pStyle w:val="Heading1"/>
        <w:spacing w:before="0" w:after="0" w:line="240" w:lineRule="auto"/>
        <w:ind w:left="370" w:right="0"/>
        <w:rPr>
          <w:rFonts w:ascii="Times New Roman" w:hAnsi="Times New Roman" w:cs="Times New Roman"/>
          <w:color w:val="auto"/>
          <w:sz w:val="24"/>
          <w:szCs w:val="24"/>
          <w:lang w:val="fr-CA"/>
        </w:rPr>
      </w:pPr>
    </w:p>
    <w:p w14:paraId="3473E533" w14:textId="66B50D18" w:rsidR="004E0120" w:rsidRPr="00A75888" w:rsidRDefault="004E0120" w:rsidP="004E0120">
      <w:pPr>
        <w:pStyle w:val="Heading1"/>
        <w:spacing w:before="0" w:after="0" w:line="240" w:lineRule="auto"/>
        <w:ind w:left="370" w:right="0"/>
        <w:rPr>
          <w:rFonts w:ascii="Times New Roman" w:hAnsi="Times New Roman" w:cs="Times New Roman"/>
          <w:b/>
          <w:bCs/>
          <w:color w:val="auto"/>
          <w:sz w:val="24"/>
          <w:szCs w:val="24"/>
          <w:lang w:val="fr-CA"/>
        </w:rPr>
      </w:pPr>
      <w:r w:rsidRPr="00A75888">
        <w:rPr>
          <w:rFonts w:ascii="Times New Roman" w:hAnsi="Times New Roman" w:cs="Times New Roman"/>
          <w:b/>
          <w:bCs/>
          <w:color w:val="auto"/>
          <w:sz w:val="24"/>
          <w:szCs w:val="24"/>
          <w:lang w:val="fr-CA"/>
        </w:rPr>
        <w:t xml:space="preserve">PROCÉDURE  </w:t>
      </w:r>
    </w:p>
    <w:p w14:paraId="1325B354" w14:textId="77777777" w:rsidR="002569A3" w:rsidRPr="00A75888" w:rsidRDefault="002569A3" w:rsidP="004E0120">
      <w:pPr>
        <w:spacing w:after="0" w:line="240" w:lineRule="auto"/>
        <w:ind w:left="0" w:right="0" w:hanging="10"/>
        <w:rPr>
          <w:b/>
          <w:color w:val="00000A"/>
          <w:lang w:val="fr-CA"/>
        </w:rPr>
      </w:pPr>
    </w:p>
    <w:p w14:paraId="5D2CA506" w14:textId="03920064" w:rsidR="004E0120" w:rsidRPr="00A75888" w:rsidRDefault="004E0120" w:rsidP="004E0120">
      <w:pPr>
        <w:spacing w:after="0" w:line="240" w:lineRule="auto"/>
        <w:ind w:left="0" w:right="0" w:hanging="10"/>
        <w:rPr>
          <w:lang w:val="fr-CA"/>
        </w:rPr>
      </w:pPr>
      <w:r w:rsidRPr="00A75888">
        <w:rPr>
          <w:b/>
          <w:color w:val="00000A"/>
          <w:lang w:val="fr-CA"/>
        </w:rPr>
        <w:t>Définitions</w:t>
      </w:r>
    </w:p>
    <w:p w14:paraId="14C3CCAC" w14:textId="22B006B9" w:rsidR="004E0120" w:rsidRPr="00A75888" w:rsidRDefault="004E0120" w:rsidP="004E0120">
      <w:pPr>
        <w:spacing w:after="0" w:line="240" w:lineRule="auto"/>
        <w:ind w:left="0" w:right="0" w:hanging="10"/>
        <w:rPr>
          <w:lang w:val="fr-CA"/>
        </w:rPr>
      </w:pPr>
      <w:r w:rsidRPr="00A75888">
        <w:rPr>
          <w:b/>
          <w:lang w:val="fr-CA"/>
        </w:rPr>
        <w:t>Accessibilité</w:t>
      </w:r>
      <w:r w:rsidR="00ED588B" w:rsidRPr="00A75888">
        <w:rPr>
          <w:b/>
          <w:lang w:val="fr-CA"/>
        </w:rPr>
        <w:t> </w:t>
      </w:r>
      <w:r w:rsidRPr="00A75888">
        <w:rPr>
          <w:lang w:val="fr-CA"/>
        </w:rPr>
        <w:t>: La capacité pour une personne handicapée d</w:t>
      </w:r>
      <w:r w:rsidR="00ED588B" w:rsidRPr="00A75888">
        <w:rPr>
          <w:lang w:val="fr-CA"/>
        </w:rPr>
        <w:t>’</w:t>
      </w:r>
      <w:r w:rsidRPr="00A75888">
        <w:rPr>
          <w:lang w:val="fr-CA"/>
        </w:rPr>
        <w:t>obtenir, d</w:t>
      </w:r>
      <w:r w:rsidR="00ED588B" w:rsidRPr="00A75888">
        <w:rPr>
          <w:lang w:val="fr-CA"/>
        </w:rPr>
        <w:t>’</w:t>
      </w:r>
      <w:r w:rsidRPr="00A75888">
        <w:rPr>
          <w:lang w:val="fr-CA"/>
        </w:rPr>
        <w:t>utiliser et de bénéficier de services ou de biens.</w:t>
      </w:r>
    </w:p>
    <w:p w14:paraId="368F8EC5" w14:textId="77777777" w:rsidR="004E0120" w:rsidRPr="00A75888" w:rsidRDefault="004E0120" w:rsidP="004E0120">
      <w:pPr>
        <w:spacing w:after="0" w:line="240" w:lineRule="auto"/>
        <w:ind w:left="0" w:right="0"/>
        <w:rPr>
          <w:b/>
          <w:lang w:val="fr-CA"/>
        </w:rPr>
      </w:pPr>
    </w:p>
    <w:p w14:paraId="3C64DC74" w14:textId="5BCBE87A" w:rsidR="004E0120" w:rsidRPr="00A75888" w:rsidRDefault="004E0120" w:rsidP="004E0120">
      <w:pPr>
        <w:spacing w:after="0" w:line="240" w:lineRule="auto"/>
        <w:ind w:left="0" w:right="0" w:hanging="10"/>
        <w:rPr>
          <w:lang w:val="fr-CA"/>
        </w:rPr>
      </w:pPr>
      <w:r w:rsidRPr="00A75888">
        <w:rPr>
          <w:b/>
          <w:lang w:val="fr-CA"/>
        </w:rPr>
        <w:t>Barrière</w:t>
      </w:r>
      <w:r w:rsidR="00ED588B" w:rsidRPr="00A75888">
        <w:rPr>
          <w:b/>
          <w:lang w:val="fr-CA"/>
        </w:rPr>
        <w:t> </w:t>
      </w:r>
      <w:r w:rsidRPr="00A75888">
        <w:rPr>
          <w:b/>
          <w:lang w:val="fr-CA"/>
        </w:rPr>
        <w:t>:</w:t>
      </w:r>
      <w:r w:rsidR="002569A3" w:rsidRPr="00A75888">
        <w:rPr>
          <w:b/>
          <w:lang w:val="fr-CA"/>
        </w:rPr>
        <w:t xml:space="preserve"> </w:t>
      </w:r>
      <w:r w:rsidRPr="00A75888">
        <w:rPr>
          <w:lang w:val="fr-CA"/>
        </w:rPr>
        <w:t xml:space="preserve">Tout ce qui empêche une personne handicapée de participer pleinement à tous les aspects de la </w:t>
      </w:r>
      <w:r w:rsidR="00A75888">
        <w:rPr>
          <w:lang w:val="fr-CA"/>
        </w:rPr>
        <w:t xml:space="preserve">vie en </w:t>
      </w:r>
      <w:r w:rsidRPr="00A75888">
        <w:rPr>
          <w:lang w:val="fr-CA"/>
        </w:rPr>
        <w:t>société en raison de l</w:t>
      </w:r>
      <w:r w:rsidR="00ED588B" w:rsidRPr="00A75888">
        <w:rPr>
          <w:lang w:val="fr-CA"/>
        </w:rPr>
        <w:t>’</w:t>
      </w:r>
      <w:r w:rsidRPr="00A75888">
        <w:rPr>
          <w:lang w:val="fr-CA"/>
        </w:rPr>
        <w:t>environnement, de l</w:t>
      </w:r>
      <w:r w:rsidR="00ED588B" w:rsidRPr="00A75888">
        <w:rPr>
          <w:lang w:val="fr-CA"/>
        </w:rPr>
        <w:t>’</w:t>
      </w:r>
      <w:r w:rsidRPr="00A75888">
        <w:rPr>
          <w:lang w:val="fr-CA"/>
        </w:rPr>
        <w:t>information, de la communication, des attitudes, de la technologie ou des politiques.</w:t>
      </w:r>
    </w:p>
    <w:p w14:paraId="046A3386" w14:textId="77777777" w:rsidR="004E0120" w:rsidRPr="00A75888" w:rsidRDefault="004E0120" w:rsidP="004E0120">
      <w:pPr>
        <w:spacing w:after="0" w:line="240" w:lineRule="auto"/>
        <w:ind w:left="0" w:right="0"/>
        <w:rPr>
          <w:b/>
          <w:lang w:val="fr-CA"/>
        </w:rPr>
      </w:pPr>
    </w:p>
    <w:p w14:paraId="794745F0" w14:textId="2C179EFD" w:rsidR="004E0120" w:rsidRPr="00A75888" w:rsidRDefault="004E0120" w:rsidP="004E0120">
      <w:pPr>
        <w:spacing w:after="0" w:line="240" w:lineRule="auto"/>
        <w:ind w:left="0" w:right="0" w:hanging="10"/>
        <w:rPr>
          <w:lang w:val="fr-CA"/>
        </w:rPr>
      </w:pPr>
      <w:r w:rsidRPr="00A75888">
        <w:rPr>
          <w:b/>
          <w:lang w:val="fr-CA"/>
        </w:rPr>
        <w:t>Invalidité</w:t>
      </w:r>
      <w:r w:rsidR="00ED588B" w:rsidRPr="00A75888">
        <w:rPr>
          <w:b/>
          <w:lang w:val="fr-CA"/>
        </w:rPr>
        <w:t> </w:t>
      </w:r>
      <w:r w:rsidRPr="00A75888">
        <w:rPr>
          <w:b/>
          <w:lang w:val="fr-CA"/>
        </w:rPr>
        <w:t>:</w:t>
      </w:r>
      <w:r w:rsidR="002569A3" w:rsidRPr="00A75888">
        <w:rPr>
          <w:b/>
          <w:lang w:val="fr-CA"/>
        </w:rPr>
        <w:t xml:space="preserve"> </w:t>
      </w:r>
      <w:r w:rsidRPr="00A75888">
        <w:rPr>
          <w:lang w:val="fr-CA"/>
        </w:rPr>
        <w:t>Selon la définition du Code des droits de la personne de l</w:t>
      </w:r>
      <w:r w:rsidR="00ED588B" w:rsidRPr="00A75888">
        <w:rPr>
          <w:lang w:val="fr-CA"/>
        </w:rPr>
        <w:t>’</w:t>
      </w:r>
      <w:r w:rsidRPr="00A75888">
        <w:rPr>
          <w:lang w:val="fr-CA"/>
        </w:rPr>
        <w:t>Ontario et de la LAPHO, cela inclut les handicaps physiques, mentaux, intellectuels, d</w:t>
      </w:r>
      <w:r w:rsidR="00ED588B" w:rsidRPr="00A75888">
        <w:rPr>
          <w:lang w:val="fr-CA"/>
        </w:rPr>
        <w:t>’</w:t>
      </w:r>
      <w:r w:rsidRPr="00A75888">
        <w:rPr>
          <w:lang w:val="fr-CA"/>
        </w:rPr>
        <w:t>apprentissage, sensoriels et de santé mentale.</w:t>
      </w:r>
    </w:p>
    <w:p w14:paraId="3E52F31C" w14:textId="77777777" w:rsidR="004E0120" w:rsidRPr="00A75888" w:rsidRDefault="004E0120" w:rsidP="004E0120">
      <w:pPr>
        <w:spacing w:after="0" w:line="240" w:lineRule="auto"/>
        <w:ind w:left="0" w:right="0"/>
        <w:rPr>
          <w:b/>
          <w:lang w:val="fr-CA"/>
        </w:rPr>
      </w:pPr>
    </w:p>
    <w:p w14:paraId="0F455ACF" w14:textId="32D0E6C2" w:rsidR="004E0120" w:rsidRPr="00A75888" w:rsidRDefault="004E0120" w:rsidP="004E0120">
      <w:pPr>
        <w:spacing w:after="0" w:line="240" w:lineRule="auto"/>
        <w:ind w:left="0" w:right="0" w:hanging="10"/>
        <w:rPr>
          <w:lang w:val="fr-CA"/>
        </w:rPr>
      </w:pPr>
      <w:r w:rsidRPr="00A75888">
        <w:rPr>
          <w:b/>
          <w:lang w:val="fr-CA"/>
        </w:rPr>
        <w:t>Dispositif d</w:t>
      </w:r>
      <w:r w:rsidR="00ED588B" w:rsidRPr="00A75888">
        <w:rPr>
          <w:b/>
          <w:lang w:val="fr-CA"/>
        </w:rPr>
        <w:t>’</w:t>
      </w:r>
      <w:r w:rsidRPr="00A75888">
        <w:rPr>
          <w:b/>
          <w:lang w:val="fr-CA"/>
        </w:rPr>
        <w:t>assistance</w:t>
      </w:r>
      <w:r w:rsidR="00ED588B" w:rsidRPr="00A75888">
        <w:rPr>
          <w:b/>
          <w:lang w:val="fr-CA"/>
        </w:rPr>
        <w:t> </w:t>
      </w:r>
      <w:r w:rsidRPr="00A75888">
        <w:rPr>
          <w:lang w:val="fr-CA"/>
        </w:rPr>
        <w:t>: Tout appareil utilisé par une personne handicapée pour accomplir des tâches quotidiennes (par exemple, fauteuil roulant, appareil auditif, lecteur d</w:t>
      </w:r>
      <w:r w:rsidR="00ED588B" w:rsidRPr="00A75888">
        <w:rPr>
          <w:lang w:val="fr-CA"/>
        </w:rPr>
        <w:t>’</w:t>
      </w:r>
      <w:r w:rsidRPr="00A75888">
        <w:rPr>
          <w:lang w:val="fr-CA"/>
        </w:rPr>
        <w:t>écran).</w:t>
      </w:r>
    </w:p>
    <w:p w14:paraId="72B95E4F" w14:textId="77777777" w:rsidR="004E0120" w:rsidRPr="00A75888" w:rsidRDefault="004E0120" w:rsidP="004E0120">
      <w:pPr>
        <w:spacing w:after="0" w:line="240" w:lineRule="auto"/>
        <w:ind w:left="0" w:right="0"/>
        <w:rPr>
          <w:b/>
          <w:lang w:val="fr-CA"/>
        </w:rPr>
      </w:pPr>
    </w:p>
    <w:p w14:paraId="4C63F5DC" w14:textId="24445F08" w:rsidR="004E0120" w:rsidRPr="00A75888" w:rsidRDefault="004E0120" w:rsidP="004E0120">
      <w:pPr>
        <w:spacing w:after="0" w:line="240" w:lineRule="auto"/>
        <w:ind w:left="0" w:right="0" w:hanging="10"/>
        <w:rPr>
          <w:lang w:val="fr-CA"/>
        </w:rPr>
      </w:pPr>
      <w:r w:rsidRPr="00A75888">
        <w:rPr>
          <w:b/>
          <w:lang w:val="fr-CA"/>
        </w:rPr>
        <w:t>Animal d</w:t>
      </w:r>
      <w:r w:rsidR="00ED588B" w:rsidRPr="00A75888">
        <w:rPr>
          <w:b/>
          <w:lang w:val="fr-CA"/>
        </w:rPr>
        <w:t>’</w:t>
      </w:r>
      <w:r w:rsidRPr="00A75888">
        <w:rPr>
          <w:b/>
          <w:lang w:val="fr-CA"/>
        </w:rPr>
        <w:t>assistance</w:t>
      </w:r>
      <w:r w:rsidR="00ED588B" w:rsidRPr="00A75888">
        <w:rPr>
          <w:b/>
          <w:lang w:val="fr-CA"/>
        </w:rPr>
        <w:t> </w:t>
      </w:r>
      <w:r w:rsidRPr="00A75888">
        <w:rPr>
          <w:b/>
          <w:lang w:val="fr-CA"/>
        </w:rPr>
        <w:t>:</w:t>
      </w:r>
      <w:r w:rsidR="002569A3" w:rsidRPr="00A75888">
        <w:rPr>
          <w:b/>
          <w:lang w:val="fr-CA"/>
        </w:rPr>
        <w:t xml:space="preserve"> </w:t>
      </w:r>
      <w:r w:rsidRPr="00A75888">
        <w:rPr>
          <w:lang w:val="fr-CA"/>
        </w:rPr>
        <w:t>Un animal dressé pour accomplir des tâches au profit d</w:t>
      </w:r>
      <w:r w:rsidR="00ED588B" w:rsidRPr="00A75888">
        <w:rPr>
          <w:lang w:val="fr-CA"/>
        </w:rPr>
        <w:t>’</w:t>
      </w:r>
      <w:r w:rsidRPr="00A75888">
        <w:rPr>
          <w:lang w:val="fr-CA"/>
        </w:rPr>
        <w:t>une personne handicapée.</w:t>
      </w:r>
    </w:p>
    <w:p w14:paraId="31DBC7D3" w14:textId="77777777" w:rsidR="004E0120" w:rsidRPr="00A75888" w:rsidRDefault="004E0120" w:rsidP="004E0120">
      <w:pPr>
        <w:spacing w:after="0" w:line="240" w:lineRule="auto"/>
        <w:ind w:left="0" w:right="0"/>
        <w:rPr>
          <w:lang w:val="fr-CA"/>
        </w:rPr>
      </w:pPr>
    </w:p>
    <w:p w14:paraId="578DA764" w14:textId="6419EA5C" w:rsidR="004E0120" w:rsidRPr="00A75888" w:rsidRDefault="004E0120" w:rsidP="004E0120">
      <w:pPr>
        <w:spacing w:after="0" w:line="240" w:lineRule="auto"/>
        <w:ind w:left="0" w:right="0" w:hanging="10"/>
        <w:rPr>
          <w:lang w:val="fr-CA"/>
        </w:rPr>
      </w:pPr>
      <w:r w:rsidRPr="00A75888">
        <w:rPr>
          <w:b/>
          <w:lang w:val="fr-CA"/>
        </w:rPr>
        <w:t>Personne de soutien</w:t>
      </w:r>
      <w:r w:rsidR="00ED588B" w:rsidRPr="00A75888">
        <w:rPr>
          <w:b/>
          <w:lang w:val="fr-CA"/>
        </w:rPr>
        <w:t> </w:t>
      </w:r>
      <w:r w:rsidRPr="00A75888">
        <w:rPr>
          <w:b/>
          <w:lang w:val="fr-CA"/>
        </w:rPr>
        <w:t>:</w:t>
      </w:r>
      <w:r w:rsidR="002569A3" w:rsidRPr="00A75888">
        <w:rPr>
          <w:b/>
          <w:lang w:val="fr-CA"/>
        </w:rPr>
        <w:t xml:space="preserve"> </w:t>
      </w:r>
      <w:r w:rsidRPr="00A75888">
        <w:rPr>
          <w:lang w:val="fr-CA"/>
        </w:rPr>
        <w:t>Une personne qui accompagne une personne handicapée pour l</w:t>
      </w:r>
      <w:r w:rsidR="00ED588B" w:rsidRPr="00A75888">
        <w:rPr>
          <w:lang w:val="fr-CA"/>
        </w:rPr>
        <w:t>’</w:t>
      </w:r>
      <w:r w:rsidRPr="00A75888">
        <w:rPr>
          <w:lang w:val="fr-CA"/>
        </w:rPr>
        <w:t>aider à communiquer, à se déplacer ou à prendre soin d</w:t>
      </w:r>
      <w:r w:rsidR="00ED588B" w:rsidRPr="00A75888">
        <w:rPr>
          <w:lang w:val="fr-CA"/>
        </w:rPr>
        <w:t>’</w:t>
      </w:r>
      <w:r w:rsidRPr="00A75888">
        <w:rPr>
          <w:lang w:val="fr-CA"/>
        </w:rPr>
        <w:t>elle-même.</w:t>
      </w:r>
    </w:p>
    <w:p w14:paraId="389B00F9" w14:textId="77777777" w:rsidR="001273CD" w:rsidRPr="00A75888" w:rsidRDefault="001273CD" w:rsidP="004E0120">
      <w:pPr>
        <w:pStyle w:val="Heading2"/>
        <w:spacing w:before="0" w:after="0" w:line="240" w:lineRule="auto"/>
        <w:ind w:left="0" w:right="0" w:hanging="10"/>
        <w:rPr>
          <w:rFonts w:ascii="Times New Roman" w:hAnsi="Times New Roman" w:cs="Times New Roman"/>
          <w:lang w:val="fr-CA"/>
        </w:rPr>
      </w:pPr>
    </w:p>
    <w:p w14:paraId="705B9AF1" w14:textId="3883C7D7" w:rsidR="004E0120" w:rsidRPr="00A75888" w:rsidRDefault="004E0120" w:rsidP="004E0120">
      <w:pPr>
        <w:pStyle w:val="Heading2"/>
        <w:spacing w:before="0" w:after="0" w:line="240" w:lineRule="auto"/>
        <w:ind w:left="0" w:right="0" w:hanging="10"/>
        <w:rPr>
          <w:rFonts w:ascii="Times New Roman" w:hAnsi="Times New Roman" w:cs="Times New Roman"/>
          <w:b/>
          <w:bCs/>
          <w:color w:val="auto"/>
          <w:sz w:val="24"/>
          <w:szCs w:val="24"/>
          <w:lang w:val="fr-CA"/>
        </w:rPr>
      </w:pPr>
      <w:r w:rsidRPr="00A75888">
        <w:rPr>
          <w:rFonts w:ascii="Times New Roman" w:hAnsi="Times New Roman" w:cs="Times New Roman"/>
          <w:b/>
          <w:bCs/>
          <w:color w:val="auto"/>
          <w:sz w:val="24"/>
          <w:szCs w:val="24"/>
          <w:lang w:val="fr-CA"/>
        </w:rPr>
        <w:t>NORMES DE SERVICE À LA CLIENTÈLE ​​ET D</w:t>
      </w:r>
      <w:r w:rsidR="00ED588B" w:rsidRPr="00A75888">
        <w:rPr>
          <w:rFonts w:ascii="Times New Roman" w:hAnsi="Times New Roman" w:cs="Times New Roman"/>
          <w:b/>
          <w:bCs/>
          <w:color w:val="auto"/>
          <w:sz w:val="24"/>
          <w:szCs w:val="24"/>
          <w:lang w:val="fr-CA"/>
        </w:rPr>
        <w:t>’</w:t>
      </w:r>
      <w:r w:rsidRPr="00A75888">
        <w:rPr>
          <w:rFonts w:ascii="Times New Roman" w:hAnsi="Times New Roman" w:cs="Times New Roman"/>
          <w:b/>
          <w:bCs/>
          <w:color w:val="auto"/>
          <w:sz w:val="24"/>
          <w:szCs w:val="24"/>
          <w:lang w:val="fr-CA"/>
        </w:rPr>
        <w:t>ACCESSIBILITÉ</w:t>
      </w:r>
    </w:p>
    <w:p w14:paraId="0553F3CF" w14:textId="4682E124" w:rsidR="004E0120" w:rsidRPr="00A75888" w:rsidRDefault="00ED588B" w:rsidP="004E0120">
      <w:pPr>
        <w:spacing w:after="0" w:line="240" w:lineRule="auto"/>
        <w:ind w:left="0" w:right="0" w:hanging="10"/>
        <w:rPr>
          <w:lang w:val="fr-CA"/>
        </w:rPr>
      </w:pPr>
      <w:r w:rsidRPr="00A75888">
        <w:rPr>
          <w:lang w:val="fr-CA"/>
        </w:rPr>
        <w:t xml:space="preserve">Les </w:t>
      </w:r>
      <w:r w:rsidR="004E0120" w:rsidRPr="00A75888">
        <w:rPr>
          <w:lang w:val="fr-CA"/>
        </w:rPr>
        <w:t>S</w:t>
      </w:r>
      <w:r w:rsidRPr="00A75888">
        <w:rPr>
          <w:lang w:val="fr-CA"/>
        </w:rPr>
        <w:t>H</w:t>
      </w:r>
      <w:r w:rsidR="004E0120" w:rsidRPr="00A75888">
        <w:rPr>
          <w:lang w:val="fr-CA"/>
        </w:rPr>
        <w:t>DS fourni</w:t>
      </w:r>
      <w:r w:rsidRPr="00A75888">
        <w:rPr>
          <w:lang w:val="fr-CA"/>
        </w:rPr>
        <w:t>ssent</w:t>
      </w:r>
      <w:r w:rsidR="004E0120" w:rsidRPr="00A75888">
        <w:rPr>
          <w:lang w:val="fr-CA"/>
        </w:rPr>
        <w:t xml:space="preserve"> </w:t>
      </w:r>
      <w:r w:rsidRPr="00A75888">
        <w:rPr>
          <w:lang w:val="fr-CA"/>
        </w:rPr>
        <w:t>le</w:t>
      </w:r>
      <w:r w:rsidR="004E0120" w:rsidRPr="00A75888">
        <w:rPr>
          <w:lang w:val="fr-CA"/>
        </w:rPr>
        <w:t>s biens, services et soutiens d</w:t>
      </w:r>
      <w:r w:rsidR="007D5A04" w:rsidRPr="00A75888">
        <w:rPr>
          <w:lang w:val="fr-CA"/>
        </w:rPr>
        <w:t>’</w:t>
      </w:r>
      <w:r w:rsidR="004E0120" w:rsidRPr="00A75888">
        <w:rPr>
          <w:lang w:val="fr-CA"/>
        </w:rPr>
        <w:t>une manière qui respecte la dignité, l</w:t>
      </w:r>
      <w:r w:rsidR="007D5A04" w:rsidRPr="00A75888">
        <w:rPr>
          <w:lang w:val="fr-CA"/>
        </w:rPr>
        <w:t>’</w:t>
      </w:r>
      <w:r w:rsidR="004E0120" w:rsidRPr="00A75888">
        <w:rPr>
          <w:lang w:val="fr-CA"/>
        </w:rPr>
        <w:t>indépendance, l</w:t>
      </w:r>
      <w:r w:rsidR="007D5A04" w:rsidRPr="00A75888">
        <w:rPr>
          <w:lang w:val="fr-CA"/>
        </w:rPr>
        <w:t>’</w:t>
      </w:r>
      <w:r w:rsidR="004E0120" w:rsidRPr="00A75888">
        <w:rPr>
          <w:lang w:val="fr-CA"/>
        </w:rPr>
        <w:t>intégration et l</w:t>
      </w:r>
      <w:r w:rsidR="007D5A04" w:rsidRPr="00A75888">
        <w:rPr>
          <w:lang w:val="fr-CA"/>
        </w:rPr>
        <w:t>’</w:t>
      </w:r>
      <w:r w:rsidR="004E0120" w:rsidRPr="00A75888">
        <w:rPr>
          <w:lang w:val="fr-CA"/>
        </w:rPr>
        <w:t>égalité des chances.</w:t>
      </w:r>
    </w:p>
    <w:p w14:paraId="61DFA6F2" w14:textId="77777777" w:rsidR="001273CD" w:rsidRPr="00A75888" w:rsidRDefault="001273CD" w:rsidP="004E0120">
      <w:pPr>
        <w:spacing w:after="0" w:line="240" w:lineRule="auto"/>
        <w:ind w:left="0" w:right="0" w:hanging="10"/>
        <w:rPr>
          <w:lang w:val="fr-CA"/>
        </w:rPr>
      </w:pPr>
    </w:p>
    <w:p w14:paraId="00BD012D" w14:textId="72ADFD18" w:rsidR="004E0120" w:rsidRPr="00A75888" w:rsidRDefault="004E0120" w:rsidP="004E0120">
      <w:pPr>
        <w:spacing w:after="0" w:line="240" w:lineRule="auto"/>
        <w:ind w:left="0" w:right="0" w:hanging="10"/>
        <w:rPr>
          <w:lang w:val="fr-CA"/>
        </w:rPr>
      </w:pPr>
      <w:r w:rsidRPr="00A75888">
        <w:rPr>
          <w:b/>
          <w:lang w:val="fr-CA"/>
        </w:rPr>
        <w:t>Communication</w:t>
      </w:r>
      <w:r w:rsidR="002569A3" w:rsidRPr="00A75888">
        <w:rPr>
          <w:b/>
          <w:lang w:val="fr-CA"/>
        </w:rPr>
        <w:t xml:space="preserve"> </w:t>
      </w:r>
      <w:r w:rsidRPr="00A75888">
        <w:rPr>
          <w:b/>
          <w:lang w:val="fr-CA"/>
        </w:rPr>
        <w:t>:</w:t>
      </w:r>
      <w:r w:rsidR="002569A3" w:rsidRPr="00A75888">
        <w:rPr>
          <w:b/>
          <w:lang w:val="fr-CA"/>
        </w:rPr>
        <w:t xml:space="preserve"> </w:t>
      </w:r>
      <w:r w:rsidR="00ED588B" w:rsidRPr="00A75888">
        <w:rPr>
          <w:lang w:val="fr-CA"/>
        </w:rPr>
        <w:t>Les SHDS</w:t>
      </w:r>
      <w:r w:rsidRPr="00A75888">
        <w:rPr>
          <w:lang w:val="fr-CA"/>
        </w:rPr>
        <w:t xml:space="preserve"> communique</w:t>
      </w:r>
      <w:r w:rsidR="00ED588B" w:rsidRPr="00A75888">
        <w:rPr>
          <w:lang w:val="fr-CA"/>
        </w:rPr>
        <w:t>nt</w:t>
      </w:r>
      <w:r w:rsidRPr="00A75888">
        <w:rPr>
          <w:lang w:val="fr-CA"/>
        </w:rPr>
        <w:t xml:space="preserve"> avec les personnes en tenant compte de leur handicap. Des formats alternatifs (par exemple, gros caractères, audio, électronique) sont fournis sur demande.</w:t>
      </w:r>
    </w:p>
    <w:p w14:paraId="6DE2DEEE" w14:textId="77777777" w:rsidR="004E0120" w:rsidRPr="00A75888" w:rsidRDefault="004E0120" w:rsidP="004E0120">
      <w:pPr>
        <w:spacing w:after="0" w:line="240" w:lineRule="auto"/>
        <w:ind w:left="0" w:right="0"/>
        <w:rPr>
          <w:b/>
          <w:lang w:val="fr-CA"/>
        </w:rPr>
      </w:pPr>
    </w:p>
    <w:p w14:paraId="338F4A85" w14:textId="38A2879B" w:rsidR="004E0120" w:rsidRPr="00A75888" w:rsidRDefault="004E0120" w:rsidP="004E0120">
      <w:pPr>
        <w:spacing w:after="0" w:line="240" w:lineRule="auto"/>
        <w:ind w:left="0" w:right="0" w:hanging="10"/>
        <w:rPr>
          <w:lang w:val="fr-CA"/>
        </w:rPr>
      </w:pPr>
      <w:r w:rsidRPr="00A75888">
        <w:rPr>
          <w:b/>
          <w:lang w:val="fr-CA"/>
        </w:rPr>
        <w:t>Dispositifs d</w:t>
      </w:r>
      <w:r w:rsidR="007D5A04" w:rsidRPr="00A75888">
        <w:rPr>
          <w:b/>
          <w:lang w:val="fr-CA"/>
        </w:rPr>
        <w:t>’</w:t>
      </w:r>
      <w:r w:rsidRPr="00A75888">
        <w:rPr>
          <w:b/>
          <w:lang w:val="fr-CA"/>
        </w:rPr>
        <w:t>assistance :</w:t>
      </w:r>
      <w:r w:rsidR="002569A3" w:rsidRPr="00A75888">
        <w:rPr>
          <w:b/>
          <w:lang w:val="fr-CA"/>
        </w:rPr>
        <w:t xml:space="preserve"> </w:t>
      </w:r>
      <w:r w:rsidRPr="00A75888">
        <w:rPr>
          <w:lang w:val="fr-CA"/>
        </w:rPr>
        <w:t>Les personnes peuvent utiliser leurs appareils d</w:t>
      </w:r>
      <w:r w:rsidR="007D5A04" w:rsidRPr="00A75888">
        <w:rPr>
          <w:lang w:val="fr-CA"/>
        </w:rPr>
        <w:t>’</w:t>
      </w:r>
      <w:r w:rsidRPr="00A75888">
        <w:rPr>
          <w:lang w:val="fr-CA"/>
        </w:rPr>
        <w:t>assistance personnels dans les locaux de S</w:t>
      </w:r>
      <w:r w:rsidR="00ED588B" w:rsidRPr="00A75888">
        <w:rPr>
          <w:lang w:val="fr-CA"/>
        </w:rPr>
        <w:t>H</w:t>
      </w:r>
      <w:r w:rsidRPr="00A75888">
        <w:rPr>
          <w:lang w:val="fr-CA"/>
        </w:rPr>
        <w:t>DS</w:t>
      </w:r>
      <w:r w:rsidR="00ED588B" w:rsidRPr="00A75888">
        <w:rPr>
          <w:lang w:val="fr-CA"/>
        </w:rPr>
        <w:t xml:space="preserve"> qui</w:t>
      </w:r>
      <w:r w:rsidRPr="00A75888">
        <w:rPr>
          <w:lang w:val="fr-CA"/>
        </w:rPr>
        <w:t xml:space="preserve"> garanti</w:t>
      </w:r>
      <w:r w:rsidR="00ED588B" w:rsidRPr="00A75888">
        <w:rPr>
          <w:lang w:val="fr-CA"/>
        </w:rPr>
        <w:t>ssen</w:t>
      </w:r>
      <w:r w:rsidRPr="00A75888">
        <w:rPr>
          <w:lang w:val="fr-CA"/>
        </w:rPr>
        <w:t>t l</w:t>
      </w:r>
      <w:r w:rsidR="007D5A04" w:rsidRPr="00A75888">
        <w:rPr>
          <w:lang w:val="fr-CA"/>
        </w:rPr>
        <w:t>’</w:t>
      </w:r>
      <w:r w:rsidRPr="00A75888">
        <w:rPr>
          <w:lang w:val="fr-CA"/>
        </w:rPr>
        <w:t>accessibilité des installations aux utilisateurs de ces appareils.</w:t>
      </w:r>
    </w:p>
    <w:p w14:paraId="1B2AB1A7" w14:textId="77777777" w:rsidR="004E0120" w:rsidRPr="00A75888" w:rsidRDefault="004E0120" w:rsidP="004E0120">
      <w:pPr>
        <w:spacing w:after="0" w:line="240" w:lineRule="auto"/>
        <w:ind w:left="0" w:right="0"/>
        <w:rPr>
          <w:b/>
          <w:lang w:val="fr-CA"/>
        </w:rPr>
      </w:pPr>
    </w:p>
    <w:p w14:paraId="4FEE0545" w14:textId="296C1DC9" w:rsidR="004E0120" w:rsidRPr="00A75888" w:rsidRDefault="004E0120" w:rsidP="004E0120">
      <w:pPr>
        <w:spacing w:after="0" w:line="240" w:lineRule="auto"/>
        <w:ind w:left="0" w:right="0" w:hanging="10"/>
        <w:rPr>
          <w:lang w:val="fr-CA"/>
        </w:rPr>
      </w:pPr>
      <w:r w:rsidRPr="00A75888">
        <w:rPr>
          <w:b/>
          <w:lang w:val="fr-CA"/>
        </w:rPr>
        <w:t>Animaux d</w:t>
      </w:r>
      <w:r w:rsidR="007D5A04" w:rsidRPr="00A75888">
        <w:rPr>
          <w:b/>
          <w:lang w:val="fr-CA"/>
        </w:rPr>
        <w:t>’</w:t>
      </w:r>
      <w:r w:rsidRPr="00A75888">
        <w:rPr>
          <w:b/>
          <w:lang w:val="fr-CA"/>
        </w:rPr>
        <w:t>assistance et personnes de soutien</w:t>
      </w:r>
      <w:r w:rsidR="002569A3" w:rsidRPr="00A75888">
        <w:rPr>
          <w:b/>
          <w:lang w:val="fr-CA"/>
        </w:rPr>
        <w:t xml:space="preserve"> : </w:t>
      </w:r>
      <w:r w:rsidRPr="00A75888">
        <w:rPr>
          <w:lang w:val="fr-CA"/>
        </w:rPr>
        <w:t>Les personnes handicapées accompagnées d</w:t>
      </w:r>
      <w:r w:rsidR="007D5A04" w:rsidRPr="00A75888">
        <w:rPr>
          <w:lang w:val="fr-CA"/>
        </w:rPr>
        <w:t>’</w:t>
      </w:r>
      <w:r w:rsidRPr="00A75888">
        <w:rPr>
          <w:lang w:val="fr-CA"/>
        </w:rPr>
        <w:t>un animal d</w:t>
      </w:r>
      <w:r w:rsidR="007D5A04" w:rsidRPr="00A75888">
        <w:rPr>
          <w:lang w:val="fr-CA"/>
        </w:rPr>
        <w:t>’</w:t>
      </w:r>
      <w:r w:rsidRPr="00A75888">
        <w:rPr>
          <w:lang w:val="fr-CA"/>
        </w:rPr>
        <w:t>assistance ou d</w:t>
      </w:r>
      <w:r w:rsidR="007D5A04" w:rsidRPr="00A75888">
        <w:rPr>
          <w:lang w:val="fr-CA"/>
        </w:rPr>
        <w:t>’</w:t>
      </w:r>
      <w:r w:rsidRPr="00A75888">
        <w:rPr>
          <w:lang w:val="fr-CA"/>
        </w:rPr>
        <w:t xml:space="preserve">une personne de soutien sont admises dans tous les espaces publics des établissements </w:t>
      </w:r>
      <w:r w:rsidR="00ED588B" w:rsidRPr="00A75888">
        <w:rPr>
          <w:lang w:val="fr-CA"/>
        </w:rPr>
        <w:t xml:space="preserve">des </w:t>
      </w:r>
      <w:r w:rsidRPr="00A75888">
        <w:rPr>
          <w:lang w:val="fr-CA"/>
        </w:rPr>
        <w:t>S</w:t>
      </w:r>
      <w:r w:rsidR="00ED588B" w:rsidRPr="00A75888">
        <w:rPr>
          <w:lang w:val="fr-CA"/>
        </w:rPr>
        <w:t>H</w:t>
      </w:r>
      <w:r w:rsidRPr="00A75888">
        <w:rPr>
          <w:lang w:val="fr-CA"/>
        </w:rPr>
        <w:t>DS. Lorsque la présence d</w:t>
      </w:r>
      <w:r w:rsidR="007D5A04" w:rsidRPr="00A75888">
        <w:rPr>
          <w:lang w:val="fr-CA"/>
        </w:rPr>
        <w:t>’</w:t>
      </w:r>
      <w:r w:rsidRPr="00A75888">
        <w:rPr>
          <w:lang w:val="fr-CA"/>
        </w:rPr>
        <w:t>animaux d</w:t>
      </w:r>
      <w:r w:rsidR="007D5A04" w:rsidRPr="00A75888">
        <w:rPr>
          <w:lang w:val="fr-CA"/>
        </w:rPr>
        <w:t>’</w:t>
      </w:r>
      <w:r w:rsidRPr="00A75888">
        <w:rPr>
          <w:lang w:val="fr-CA"/>
        </w:rPr>
        <w:t>assistance est interdite par la loi, d</w:t>
      </w:r>
      <w:r w:rsidR="00104E32">
        <w:rPr>
          <w:lang w:val="fr-CA"/>
        </w:rPr>
        <w:t>’autres dispositions</w:t>
      </w:r>
      <w:r w:rsidRPr="00A75888">
        <w:rPr>
          <w:lang w:val="fr-CA"/>
        </w:rPr>
        <w:t xml:space="preserve"> seront prévu</w:t>
      </w:r>
      <w:r w:rsidR="00104E32">
        <w:rPr>
          <w:lang w:val="fr-CA"/>
        </w:rPr>
        <w:t>e</w:t>
      </w:r>
      <w:r w:rsidRPr="00A75888">
        <w:rPr>
          <w:lang w:val="fr-CA"/>
        </w:rPr>
        <w:t>s.</w:t>
      </w:r>
    </w:p>
    <w:p w14:paraId="794D0B58" w14:textId="77777777" w:rsidR="004E0120" w:rsidRPr="00A75888" w:rsidRDefault="004E0120" w:rsidP="004E0120">
      <w:pPr>
        <w:spacing w:after="0" w:line="240" w:lineRule="auto"/>
        <w:ind w:left="0" w:right="0"/>
        <w:rPr>
          <w:b/>
          <w:lang w:val="fr-CA"/>
        </w:rPr>
      </w:pPr>
    </w:p>
    <w:p w14:paraId="1BB922A9" w14:textId="3BE75D0C" w:rsidR="004E0120" w:rsidRPr="00A75888" w:rsidRDefault="004E0120" w:rsidP="004E0120">
      <w:pPr>
        <w:spacing w:after="0" w:line="240" w:lineRule="auto"/>
        <w:ind w:left="0" w:right="0" w:hanging="10"/>
        <w:rPr>
          <w:lang w:val="fr-CA"/>
        </w:rPr>
      </w:pPr>
      <w:r w:rsidRPr="00A75888">
        <w:rPr>
          <w:b/>
          <w:lang w:val="fr-CA"/>
        </w:rPr>
        <w:t>Avis de perturbations temporaires :</w:t>
      </w:r>
      <w:r w:rsidR="002569A3" w:rsidRPr="00A75888">
        <w:rPr>
          <w:b/>
          <w:lang w:val="fr-CA"/>
        </w:rPr>
        <w:t xml:space="preserve"> </w:t>
      </w:r>
      <w:r w:rsidR="00ED588B" w:rsidRPr="00A75888">
        <w:rPr>
          <w:lang w:val="fr-CA"/>
        </w:rPr>
        <w:t>Les SH</w:t>
      </w:r>
      <w:r w:rsidRPr="00A75888">
        <w:rPr>
          <w:lang w:val="fr-CA"/>
        </w:rPr>
        <w:t>DS fourni</w:t>
      </w:r>
      <w:r w:rsidR="00ED588B" w:rsidRPr="00A75888">
        <w:rPr>
          <w:lang w:val="fr-CA"/>
        </w:rPr>
        <w:t>ssen</w:t>
      </w:r>
      <w:r w:rsidRPr="00A75888">
        <w:rPr>
          <w:lang w:val="fr-CA"/>
        </w:rPr>
        <w:t xml:space="preserve">t un avis en temps opportun lorsque des installations ou des services sont temporairement indisponibles, y compris la raison, la durée et les options </w:t>
      </w:r>
      <w:r w:rsidR="00ED588B" w:rsidRPr="00A75888">
        <w:rPr>
          <w:lang w:val="fr-CA"/>
        </w:rPr>
        <w:t>de rechange</w:t>
      </w:r>
      <w:r w:rsidRPr="00A75888">
        <w:rPr>
          <w:lang w:val="fr-CA"/>
        </w:rPr>
        <w:t>.</w:t>
      </w:r>
    </w:p>
    <w:p w14:paraId="28737241" w14:textId="77777777" w:rsidR="004E0120" w:rsidRPr="00A75888" w:rsidRDefault="004E0120" w:rsidP="004E0120">
      <w:pPr>
        <w:spacing w:after="0" w:line="240" w:lineRule="auto"/>
        <w:ind w:left="0" w:right="0"/>
        <w:rPr>
          <w:b/>
          <w:lang w:val="fr-CA"/>
        </w:rPr>
      </w:pPr>
    </w:p>
    <w:p w14:paraId="6FF2FEAD" w14:textId="64F483D8" w:rsidR="004E0120" w:rsidRPr="00A75888" w:rsidRDefault="00ED588B" w:rsidP="004E0120">
      <w:pPr>
        <w:spacing w:after="0" w:line="240" w:lineRule="auto"/>
        <w:ind w:left="0" w:right="0" w:hanging="10"/>
        <w:rPr>
          <w:lang w:val="fr-CA"/>
        </w:rPr>
      </w:pPr>
      <w:r w:rsidRPr="00A75888">
        <w:rPr>
          <w:b/>
          <w:lang w:val="fr-CA"/>
        </w:rPr>
        <w:t>Formation</w:t>
      </w:r>
      <w:r w:rsidR="002569A3" w:rsidRPr="00A75888">
        <w:rPr>
          <w:b/>
          <w:lang w:val="fr-CA"/>
        </w:rPr>
        <w:t xml:space="preserve"> </w:t>
      </w:r>
      <w:r w:rsidR="004E0120" w:rsidRPr="00A75888">
        <w:rPr>
          <w:b/>
          <w:lang w:val="fr-CA"/>
        </w:rPr>
        <w:t>:</w:t>
      </w:r>
      <w:r w:rsidR="002569A3" w:rsidRPr="00A75888">
        <w:rPr>
          <w:b/>
          <w:lang w:val="fr-CA"/>
        </w:rPr>
        <w:t xml:space="preserve"> </w:t>
      </w:r>
      <w:r w:rsidR="004E0120" w:rsidRPr="00A75888">
        <w:rPr>
          <w:lang w:val="fr-CA"/>
        </w:rPr>
        <w:t xml:space="preserve">Tous les </w:t>
      </w:r>
      <w:r w:rsidRPr="00A75888">
        <w:rPr>
          <w:lang w:val="fr-CA"/>
        </w:rPr>
        <w:t>membres du personnel</w:t>
      </w:r>
      <w:r w:rsidR="004E0120" w:rsidRPr="00A75888">
        <w:rPr>
          <w:lang w:val="fr-CA"/>
        </w:rPr>
        <w:t>, bénévoles, étudiants et contractuels reçoivent une formation sur la Loi sur l’accessibilité pour les personnes handicapées de l’Ontario (LAPHO), la Loi sur les services d’assistance aux personnes handicapées de l’Ontario (LSAPHO), le Code des droits de la personne, la communication, les appareils fonctionnels et les processus de rétroaction. Cette formation est offerte à l’embauche, annuellement et lors de tout changement de politique.</w:t>
      </w:r>
    </w:p>
    <w:p w14:paraId="58213599" w14:textId="77777777" w:rsidR="004E0120" w:rsidRPr="00A75888" w:rsidRDefault="004E0120" w:rsidP="004E0120">
      <w:pPr>
        <w:spacing w:after="0" w:line="240" w:lineRule="auto"/>
        <w:ind w:left="0" w:right="0"/>
        <w:rPr>
          <w:lang w:val="fr-CA"/>
        </w:rPr>
      </w:pPr>
    </w:p>
    <w:p w14:paraId="0D120713" w14:textId="4E3925BE" w:rsidR="004E0120" w:rsidRPr="00A75888" w:rsidRDefault="004E0120" w:rsidP="004E0120">
      <w:pPr>
        <w:spacing w:after="0" w:line="240" w:lineRule="auto"/>
        <w:ind w:left="0" w:right="0" w:hanging="10"/>
        <w:rPr>
          <w:lang w:val="fr-CA"/>
        </w:rPr>
      </w:pPr>
      <w:r w:rsidRPr="00A75888">
        <w:rPr>
          <w:b/>
          <w:lang w:val="fr-CA"/>
        </w:rPr>
        <w:t xml:space="preserve">Commentaires et </w:t>
      </w:r>
      <w:r w:rsidR="00ED588B" w:rsidRPr="00A75888">
        <w:rPr>
          <w:b/>
          <w:lang w:val="fr-CA"/>
        </w:rPr>
        <w:t>plaintes</w:t>
      </w:r>
      <w:r w:rsidRPr="00A75888">
        <w:rPr>
          <w:b/>
          <w:lang w:val="fr-CA"/>
        </w:rPr>
        <w:t> :</w:t>
      </w:r>
      <w:r w:rsidR="002569A3" w:rsidRPr="00A75888">
        <w:rPr>
          <w:b/>
          <w:lang w:val="fr-CA"/>
        </w:rPr>
        <w:t xml:space="preserve"> </w:t>
      </w:r>
      <w:r w:rsidRPr="00A75888">
        <w:rPr>
          <w:lang w:val="fr-CA"/>
        </w:rPr>
        <w:t>Les commentaires concernant l</w:t>
      </w:r>
      <w:r w:rsidR="007D5A04" w:rsidRPr="00A75888">
        <w:rPr>
          <w:lang w:val="fr-CA"/>
        </w:rPr>
        <w:t>’</w:t>
      </w:r>
      <w:r w:rsidRPr="00A75888">
        <w:rPr>
          <w:lang w:val="fr-CA"/>
        </w:rPr>
        <w:t>accessibilité ou les services de</w:t>
      </w:r>
      <w:r w:rsidR="00A75888">
        <w:rPr>
          <w:lang w:val="fr-CA"/>
        </w:rPr>
        <w:t>s</w:t>
      </w:r>
      <w:r w:rsidRPr="00A75888">
        <w:rPr>
          <w:lang w:val="fr-CA"/>
        </w:rPr>
        <w:t xml:space="preserve"> S</w:t>
      </w:r>
      <w:r w:rsidR="00ED588B" w:rsidRPr="00A75888">
        <w:rPr>
          <w:lang w:val="fr-CA"/>
        </w:rPr>
        <w:t>H</w:t>
      </w:r>
      <w:r w:rsidRPr="00A75888">
        <w:rPr>
          <w:lang w:val="fr-CA"/>
        </w:rPr>
        <w:t>DS peuvent être soumis en personne</w:t>
      </w:r>
      <w:r w:rsidR="00ED588B" w:rsidRPr="00A75888">
        <w:rPr>
          <w:lang w:val="fr-CA"/>
        </w:rPr>
        <w:t xml:space="preserve"> ou</w:t>
      </w:r>
      <w:r w:rsidRPr="00A75888">
        <w:rPr>
          <w:lang w:val="fr-CA"/>
        </w:rPr>
        <w:t xml:space="preserve"> par courrier, courriel ou téléphone. D</w:t>
      </w:r>
      <w:r w:rsidR="007D5A04" w:rsidRPr="00A75888">
        <w:rPr>
          <w:lang w:val="fr-CA"/>
        </w:rPr>
        <w:t>’</w:t>
      </w:r>
      <w:r w:rsidRPr="00A75888">
        <w:rPr>
          <w:lang w:val="fr-CA"/>
        </w:rPr>
        <w:t>autres formats sont disponibles sur demande. Les plaintes sont traitées conformément à la politique de</w:t>
      </w:r>
      <w:r w:rsidR="00ED588B" w:rsidRPr="00A75888">
        <w:rPr>
          <w:lang w:val="fr-CA"/>
        </w:rPr>
        <w:t>s</w:t>
      </w:r>
      <w:r w:rsidRPr="00A75888">
        <w:rPr>
          <w:lang w:val="fr-CA"/>
        </w:rPr>
        <w:t xml:space="preserve"> S</w:t>
      </w:r>
      <w:r w:rsidR="00ED588B" w:rsidRPr="00A75888">
        <w:rPr>
          <w:lang w:val="fr-CA"/>
        </w:rPr>
        <w:t>H</w:t>
      </w:r>
      <w:r w:rsidRPr="00A75888">
        <w:rPr>
          <w:lang w:val="fr-CA"/>
        </w:rPr>
        <w:t>DS en matière de commentaires et de plaintes.</w:t>
      </w:r>
    </w:p>
    <w:p w14:paraId="07A62B3D" w14:textId="77777777" w:rsidR="004E0120" w:rsidRPr="00A75888" w:rsidRDefault="004E0120" w:rsidP="004E0120">
      <w:pPr>
        <w:spacing w:after="0" w:line="240" w:lineRule="auto"/>
        <w:ind w:left="0" w:right="0"/>
        <w:rPr>
          <w:lang w:val="fr-CA"/>
        </w:rPr>
      </w:pPr>
    </w:p>
    <w:p w14:paraId="0CD573A4" w14:textId="65FC0E83" w:rsidR="004E0120" w:rsidRPr="00A75888" w:rsidRDefault="004E0120" w:rsidP="004E0120">
      <w:pPr>
        <w:pStyle w:val="Heading1"/>
        <w:spacing w:before="0" w:after="0" w:line="240" w:lineRule="auto"/>
        <w:ind w:left="370" w:right="0"/>
        <w:rPr>
          <w:rFonts w:ascii="Times New Roman" w:hAnsi="Times New Roman" w:cs="Times New Roman"/>
          <w:b/>
          <w:bCs/>
          <w:color w:val="auto"/>
          <w:sz w:val="24"/>
          <w:szCs w:val="24"/>
          <w:lang w:val="fr-CA"/>
        </w:rPr>
      </w:pPr>
      <w:r w:rsidRPr="00A75888">
        <w:rPr>
          <w:rFonts w:ascii="Times New Roman" w:hAnsi="Times New Roman" w:cs="Times New Roman"/>
          <w:b/>
          <w:bCs/>
          <w:color w:val="auto"/>
          <w:sz w:val="24"/>
          <w:szCs w:val="24"/>
          <w:lang w:val="fr-CA"/>
        </w:rPr>
        <w:t>ACCESSIBILITÉ À L</w:t>
      </w:r>
      <w:r w:rsidR="00ED588B" w:rsidRPr="00A75888">
        <w:rPr>
          <w:rFonts w:ascii="Times New Roman" w:hAnsi="Times New Roman" w:cs="Times New Roman"/>
          <w:b/>
          <w:bCs/>
          <w:color w:val="auto"/>
          <w:sz w:val="24"/>
          <w:szCs w:val="24"/>
          <w:lang w:val="fr-CA"/>
        </w:rPr>
        <w:t>’</w:t>
      </w:r>
      <w:r w:rsidRPr="00A75888">
        <w:rPr>
          <w:rFonts w:ascii="Times New Roman" w:hAnsi="Times New Roman" w:cs="Times New Roman"/>
          <w:b/>
          <w:bCs/>
          <w:color w:val="auto"/>
          <w:sz w:val="24"/>
          <w:szCs w:val="24"/>
          <w:lang w:val="fr-CA"/>
        </w:rPr>
        <w:t>EMPLOI</w:t>
      </w:r>
    </w:p>
    <w:p w14:paraId="73C2220F" w14:textId="5836994D" w:rsidR="004E0120" w:rsidRPr="00A75888" w:rsidRDefault="00ED588B" w:rsidP="004E0120">
      <w:pPr>
        <w:spacing w:after="0" w:line="240" w:lineRule="auto"/>
        <w:ind w:left="0" w:right="0" w:hanging="10"/>
        <w:rPr>
          <w:lang w:val="fr-CA"/>
        </w:rPr>
      </w:pPr>
      <w:r w:rsidRPr="00A75888">
        <w:rPr>
          <w:lang w:val="fr-CA"/>
        </w:rPr>
        <w:t xml:space="preserve">Les </w:t>
      </w:r>
      <w:r w:rsidR="004E0120" w:rsidRPr="00A75888">
        <w:rPr>
          <w:lang w:val="fr-CA"/>
        </w:rPr>
        <w:t>S</w:t>
      </w:r>
      <w:r w:rsidRPr="00A75888">
        <w:rPr>
          <w:lang w:val="fr-CA"/>
        </w:rPr>
        <w:t>H</w:t>
      </w:r>
      <w:r w:rsidR="004E0120" w:rsidRPr="00A75888">
        <w:rPr>
          <w:lang w:val="fr-CA"/>
        </w:rPr>
        <w:t>DS offre</w:t>
      </w:r>
      <w:r w:rsidRPr="00A75888">
        <w:rPr>
          <w:lang w:val="fr-CA"/>
        </w:rPr>
        <w:t>nt</w:t>
      </w:r>
      <w:r w:rsidR="004E0120" w:rsidRPr="00A75888">
        <w:rPr>
          <w:lang w:val="fr-CA"/>
        </w:rPr>
        <w:t xml:space="preserve"> des pratiques d</w:t>
      </w:r>
      <w:r w:rsidR="007D5A04" w:rsidRPr="00A75888">
        <w:rPr>
          <w:lang w:val="fr-CA"/>
        </w:rPr>
        <w:t>’</w:t>
      </w:r>
      <w:r w:rsidR="004E0120" w:rsidRPr="00A75888">
        <w:rPr>
          <w:lang w:val="fr-CA"/>
        </w:rPr>
        <w:t>emploi équitables et accessibles conformément à la Loi sur l</w:t>
      </w:r>
      <w:r w:rsidR="007D5A04" w:rsidRPr="00A75888">
        <w:rPr>
          <w:lang w:val="fr-CA"/>
        </w:rPr>
        <w:t>’</w:t>
      </w:r>
      <w:r w:rsidR="004E0120" w:rsidRPr="00A75888">
        <w:rPr>
          <w:lang w:val="fr-CA"/>
        </w:rPr>
        <w:t>accessibilité pour les personnes handicapées de l</w:t>
      </w:r>
      <w:r w:rsidR="007D5A04" w:rsidRPr="00A75888">
        <w:rPr>
          <w:lang w:val="fr-CA"/>
        </w:rPr>
        <w:t>’</w:t>
      </w:r>
      <w:r w:rsidR="004E0120" w:rsidRPr="00A75888">
        <w:rPr>
          <w:lang w:val="fr-CA"/>
        </w:rPr>
        <w:t>Ontario (LAPHO) et au Code des droits de la personne de l</w:t>
      </w:r>
      <w:r w:rsidR="007D5A04" w:rsidRPr="00A75888">
        <w:rPr>
          <w:lang w:val="fr-CA"/>
        </w:rPr>
        <w:t>’</w:t>
      </w:r>
      <w:r w:rsidR="004E0120" w:rsidRPr="00A75888">
        <w:rPr>
          <w:lang w:val="fr-CA"/>
        </w:rPr>
        <w:t>Ontario.</w:t>
      </w:r>
    </w:p>
    <w:p w14:paraId="79A17E39" w14:textId="77777777" w:rsidR="004E0120" w:rsidRPr="00A75888" w:rsidRDefault="004E0120" w:rsidP="004E0120">
      <w:pPr>
        <w:spacing w:after="0" w:line="240" w:lineRule="auto"/>
        <w:ind w:left="0" w:right="0"/>
        <w:rPr>
          <w:b/>
          <w:lang w:val="fr-CA"/>
        </w:rPr>
      </w:pPr>
    </w:p>
    <w:p w14:paraId="43745CC0" w14:textId="2D06C0A3" w:rsidR="004E0120" w:rsidRPr="00A75888" w:rsidRDefault="004E0120" w:rsidP="004E0120">
      <w:pPr>
        <w:spacing w:after="0" w:line="240" w:lineRule="auto"/>
        <w:ind w:left="0" w:right="0" w:hanging="10"/>
        <w:rPr>
          <w:lang w:val="fr-CA"/>
        </w:rPr>
      </w:pPr>
      <w:r w:rsidRPr="00A75888">
        <w:rPr>
          <w:b/>
          <w:lang w:val="fr-CA"/>
        </w:rPr>
        <w:t>Recrutement</w:t>
      </w:r>
      <w:r w:rsidR="002569A3" w:rsidRPr="00A75888">
        <w:rPr>
          <w:b/>
          <w:lang w:val="fr-CA"/>
        </w:rPr>
        <w:t xml:space="preserve"> </w:t>
      </w:r>
      <w:r w:rsidRPr="00A75888">
        <w:rPr>
          <w:b/>
          <w:lang w:val="fr-CA"/>
        </w:rPr>
        <w:t>:</w:t>
      </w:r>
      <w:r w:rsidR="002569A3" w:rsidRPr="00A75888">
        <w:rPr>
          <w:b/>
          <w:lang w:val="fr-CA"/>
        </w:rPr>
        <w:t xml:space="preserve"> </w:t>
      </w:r>
      <w:r w:rsidRPr="00A75888">
        <w:rPr>
          <w:lang w:val="fr-CA"/>
        </w:rPr>
        <w:t>Les offres d</w:t>
      </w:r>
      <w:r w:rsidR="007D5A04" w:rsidRPr="00A75888">
        <w:rPr>
          <w:lang w:val="fr-CA"/>
        </w:rPr>
        <w:t>’</w:t>
      </w:r>
      <w:r w:rsidRPr="00A75888">
        <w:rPr>
          <w:lang w:val="fr-CA"/>
        </w:rPr>
        <w:t>emploi précisent que des a</w:t>
      </w:r>
      <w:r w:rsidR="00A75888">
        <w:rPr>
          <w:lang w:val="fr-CA"/>
        </w:rPr>
        <w:t>daptations</w:t>
      </w:r>
      <w:r w:rsidRPr="00A75888">
        <w:rPr>
          <w:lang w:val="fr-CA"/>
        </w:rPr>
        <w:t xml:space="preserve"> sont possibles sur demande. Les candidats retenus sont informés des politiques d</w:t>
      </w:r>
      <w:r w:rsidR="007D5A04" w:rsidRPr="00A75888">
        <w:rPr>
          <w:lang w:val="fr-CA"/>
        </w:rPr>
        <w:t>’</w:t>
      </w:r>
      <w:r w:rsidRPr="00A75888">
        <w:rPr>
          <w:lang w:val="fr-CA"/>
        </w:rPr>
        <w:t>a</w:t>
      </w:r>
      <w:r w:rsidR="00A75888">
        <w:rPr>
          <w:lang w:val="fr-CA"/>
        </w:rPr>
        <w:t>daptation</w:t>
      </w:r>
      <w:r w:rsidRPr="00A75888">
        <w:rPr>
          <w:lang w:val="fr-CA"/>
        </w:rPr>
        <w:t xml:space="preserve"> lors de leur intégration.</w:t>
      </w:r>
    </w:p>
    <w:p w14:paraId="6216F7F5" w14:textId="77777777" w:rsidR="004E0120" w:rsidRPr="00A75888" w:rsidRDefault="004E0120" w:rsidP="004E0120">
      <w:pPr>
        <w:spacing w:after="0" w:line="240" w:lineRule="auto"/>
        <w:ind w:left="0" w:right="0"/>
        <w:rPr>
          <w:b/>
          <w:lang w:val="fr-CA"/>
        </w:rPr>
      </w:pPr>
    </w:p>
    <w:p w14:paraId="2633536A" w14:textId="6D4E1C1D" w:rsidR="004E0120" w:rsidRPr="00A75888" w:rsidRDefault="004E0120" w:rsidP="004E0120">
      <w:pPr>
        <w:spacing w:after="0" w:line="240" w:lineRule="auto"/>
        <w:ind w:left="0" w:right="0" w:hanging="10"/>
        <w:rPr>
          <w:lang w:val="fr-CA"/>
        </w:rPr>
      </w:pPr>
      <w:r w:rsidRPr="00A75888">
        <w:rPr>
          <w:b/>
          <w:lang w:val="fr-CA"/>
        </w:rPr>
        <w:t xml:space="preserve">Plans </w:t>
      </w:r>
      <w:r w:rsidR="00A75888">
        <w:rPr>
          <w:b/>
          <w:lang w:val="fr-CA"/>
        </w:rPr>
        <w:t xml:space="preserve">individuels </w:t>
      </w:r>
      <w:r w:rsidRPr="00A75888">
        <w:rPr>
          <w:b/>
          <w:lang w:val="fr-CA"/>
        </w:rPr>
        <w:t>d</w:t>
      </w:r>
      <w:r w:rsidR="007D5A04" w:rsidRPr="00A75888">
        <w:rPr>
          <w:b/>
          <w:lang w:val="fr-CA"/>
        </w:rPr>
        <w:t>’</w:t>
      </w:r>
      <w:r w:rsidR="00A75888">
        <w:rPr>
          <w:b/>
          <w:lang w:val="fr-CA"/>
        </w:rPr>
        <w:t>adaptation</w:t>
      </w:r>
      <w:r w:rsidRPr="00A75888">
        <w:rPr>
          <w:b/>
          <w:lang w:val="fr-CA"/>
        </w:rPr>
        <w:t> :</w:t>
      </w:r>
      <w:r w:rsidR="002569A3" w:rsidRPr="00A75888">
        <w:rPr>
          <w:b/>
          <w:lang w:val="fr-CA"/>
        </w:rPr>
        <w:t xml:space="preserve"> </w:t>
      </w:r>
      <w:r w:rsidR="00ED588B" w:rsidRPr="00A75888">
        <w:rPr>
          <w:lang w:val="fr-CA"/>
        </w:rPr>
        <w:t>Ils sont é</w:t>
      </w:r>
      <w:r w:rsidR="007D5A04" w:rsidRPr="00A75888">
        <w:rPr>
          <w:lang w:val="fr-CA"/>
        </w:rPr>
        <w:t>tablis</w:t>
      </w:r>
      <w:r w:rsidRPr="00A75888">
        <w:rPr>
          <w:lang w:val="fr-CA"/>
        </w:rPr>
        <w:t xml:space="preserve"> en collaboration avec les </w:t>
      </w:r>
      <w:r w:rsidR="00ED588B" w:rsidRPr="00A75888">
        <w:rPr>
          <w:lang w:val="fr-CA"/>
        </w:rPr>
        <w:t>membres du personnel et cela comprend</w:t>
      </w:r>
      <w:r w:rsidRPr="00A75888">
        <w:rPr>
          <w:lang w:val="fr-CA"/>
        </w:rPr>
        <w:t xml:space="preserve"> les a</w:t>
      </w:r>
      <w:r w:rsidR="00104E32">
        <w:rPr>
          <w:lang w:val="fr-CA"/>
        </w:rPr>
        <w:t>daptations</w:t>
      </w:r>
      <w:r w:rsidRPr="00A75888">
        <w:rPr>
          <w:lang w:val="fr-CA"/>
        </w:rPr>
        <w:t>, les aides à la communication, les informations sur les interventions d</w:t>
      </w:r>
      <w:r w:rsidR="007D5A04" w:rsidRPr="00A75888">
        <w:rPr>
          <w:lang w:val="fr-CA"/>
        </w:rPr>
        <w:t>’</w:t>
      </w:r>
      <w:r w:rsidRPr="00A75888">
        <w:rPr>
          <w:lang w:val="fr-CA"/>
        </w:rPr>
        <w:t>urgence et les échéanciers d</w:t>
      </w:r>
      <w:r w:rsidR="00ED588B" w:rsidRPr="00A75888">
        <w:rPr>
          <w:lang w:val="fr-CA"/>
        </w:rPr>
        <w:t>’examen</w:t>
      </w:r>
      <w:r w:rsidRPr="00A75888">
        <w:rPr>
          <w:lang w:val="fr-CA"/>
        </w:rPr>
        <w:t>.</w:t>
      </w:r>
    </w:p>
    <w:p w14:paraId="1A13C215" w14:textId="77777777" w:rsidR="004E0120" w:rsidRPr="00A75888" w:rsidRDefault="004E0120" w:rsidP="004E0120">
      <w:pPr>
        <w:spacing w:after="0" w:line="240" w:lineRule="auto"/>
        <w:ind w:left="0" w:right="0"/>
        <w:rPr>
          <w:b/>
          <w:lang w:val="fr-CA"/>
        </w:rPr>
      </w:pPr>
    </w:p>
    <w:p w14:paraId="0309586E" w14:textId="76931B7F" w:rsidR="004E0120" w:rsidRPr="00A75888" w:rsidRDefault="004E0120" w:rsidP="004E0120">
      <w:pPr>
        <w:spacing w:after="0" w:line="240" w:lineRule="auto"/>
        <w:ind w:left="0" w:right="0" w:hanging="10"/>
        <w:rPr>
          <w:lang w:val="fr-CA"/>
        </w:rPr>
      </w:pPr>
      <w:r w:rsidRPr="00A75888">
        <w:rPr>
          <w:b/>
          <w:lang w:val="fr-CA"/>
        </w:rPr>
        <w:t>Retour au travail :</w:t>
      </w:r>
      <w:r w:rsidR="002569A3" w:rsidRPr="00A75888">
        <w:rPr>
          <w:b/>
          <w:lang w:val="fr-CA"/>
        </w:rPr>
        <w:t xml:space="preserve"> </w:t>
      </w:r>
      <w:r w:rsidR="00ED588B" w:rsidRPr="00A75888">
        <w:rPr>
          <w:lang w:val="fr-CA"/>
        </w:rPr>
        <w:t>Les SHDS</w:t>
      </w:r>
      <w:r w:rsidRPr="00A75888">
        <w:rPr>
          <w:lang w:val="fr-CA"/>
        </w:rPr>
        <w:t xml:space="preserve"> dispose</w:t>
      </w:r>
      <w:r w:rsidR="00ED588B" w:rsidRPr="00A75888">
        <w:rPr>
          <w:lang w:val="fr-CA"/>
        </w:rPr>
        <w:t>nt</w:t>
      </w:r>
      <w:r w:rsidRPr="00A75888">
        <w:rPr>
          <w:lang w:val="fr-CA"/>
        </w:rPr>
        <w:t xml:space="preserve"> de procédures documentées de retour au travail pour les employés handicapés.</w:t>
      </w:r>
    </w:p>
    <w:p w14:paraId="18921B4D" w14:textId="77777777" w:rsidR="004E0120" w:rsidRPr="00A75888" w:rsidRDefault="004E0120" w:rsidP="004E0120">
      <w:pPr>
        <w:spacing w:after="0" w:line="240" w:lineRule="auto"/>
        <w:ind w:left="0" w:right="0"/>
        <w:rPr>
          <w:lang w:val="fr-CA"/>
        </w:rPr>
      </w:pPr>
    </w:p>
    <w:p w14:paraId="382E1A50" w14:textId="5E37AD41" w:rsidR="004E0120" w:rsidRPr="00A75888" w:rsidRDefault="004E0120" w:rsidP="004E0120">
      <w:pPr>
        <w:spacing w:after="0" w:line="240" w:lineRule="auto"/>
        <w:ind w:left="0" w:right="0" w:hanging="10"/>
        <w:rPr>
          <w:lang w:val="fr-CA"/>
        </w:rPr>
      </w:pPr>
      <w:r w:rsidRPr="00A75888">
        <w:rPr>
          <w:b/>
          <w:lang w:val="fr-CA"/>
        </w:rPr>
        <w:t>Gestion d</w:t>
      </w:r>
      <w:r w:rsidR="00576592" w:rsidRPr="00A75888">
        <w:rPr>
          <w:b/>
          <w:lang w:val="fr-CA"/>
        </w:rPr>
        <w:t>u rendement</w:t>
      </w:r>
      <w:r w:rsidRPr="00A75888">
        <w:rPr>
          <w:b/>
          <w:lang w:val="fr-CA"/>
        </w:rPr>
        <w:t xml:space="preserve"> et développement de carrière :</w:t>
      </w:r>
      <w:r w:rsidR="002569A3" w:rsidRPr="00A75888">
        <w:rPr>
          <w:b/>
          <w:lang w:val="fr-CA"/>
        </w:rPr>
        <w:t xml:space="preserve"> </w:t>
      </w:r>
      <w:r w:rsidR="00576592" w:rsidRPr="00A75888">
        <w:rPr>
          <w:lang w:val="fr-CA"/>
        </w:rPr>
        <w:t>Les SH</w:t>
      </w:r>
      <w:r w:rsidRPr="00A75888">
        <w:rPr>
          <w:lang w:val="fr-CA"/>
        </w:rPr>
        <w:t>DS veille</w:t>
      </w:r>
      <w:r w:rsidR="00576592" w:rsidRPr="00A75888">
        <w:rPr>
          <w:lang w:val="fr-CA"/>
        </w:rPr>
        <w:t>nt</w:t>
      </w:r>
      <w:r w:rsidRPr="00A75888">
        <w:rPr>
          <w:lang w:val="fr-CA"/>
        </w:rPr>
        <w:t xml:space="preserve"> à ce que les besoins d</w:t>
      </w:r>
      <w:r w:rsidR="007D5A04" w:rsidRPr="00A75888">
        <w:rPr>
          <w:lang w:val="fr-CA"/>
        </w:rPr>
        <w:t>’</w:t>
      </w:r>
      <w:r w:rsidRPr="00A75888">
        <w:rPr>
          <w:lang w:val="fr-CA"/>
        </w:rPr>
        <w:t xml:space="preserve">accessibilité soient pris en compte lors des évaluations de </w:t>
      </w:r>
      <w:r w:rsidR="00576592" w:rsidRPr="00A75888">
        <w:rPr>
          <w:lang w:val="fr-CA"/>
        </w:rPr>
        <w:t>rendement</w:t>
      </w:r>
      <w:r w:rsidRPr="00A75888">
        <w:rPr>
          <w:lang w:val="fr-CA"/>
        </w:rPr>
        <w:t>, des promotions et des changements de poste.</w:t>
      </w:r>
    </w:p>
    <w:p w14:paraId="5BB44887" w14:textId="77777777" w:rsidR="004E0120" w:rsidRPr="00A75888" w:rsidRDefault="004E0120" w:rsidP="004E0120">
      <w:pPr>
        <w:spacing w:after="0" w:line="240" w:lineRule="auto"/>
        <w:ind w:left="0" w:right="0"/>
        <w:rPr>
          <w:lang w:val="fr-CA"/>
        </w:rPr>
      </w:pPr>
    </w:p>
    <w:p w14:paraId="2E4F383D" w14:textId="790F4B8D" w:rsidR="004E0120" w:rsidRPr="00A75888" w:rsidRDefault="004E0120" w:rsidP="004E0120">
      <w:pPr>
        <w:spacing w:after="0" w:line="240" w:lineRule="auto"/>
        <w:ind w:left="0" w:right="0" w:hanging="10"/>
        <w:rPr>
          <w:b/>
          <w:bCs/>
          <w:lang w:val="fr-CA"/>
        </w:rPr>
      </w:pPr>
      <w:r w:rsidRPr="00A75888">
        <w:rPr>
          <w:b/>
          <w:bCs/>
          <w:lang w:val="fr-CA"/>
        </w:rPr>
        <w:t>ACCESSIBILITÉ À L</w:t>
      </w:r>
      <w:r w:rsidR="007D5A04" w:rsidRPr="00A75888">
        <w:rPr>
          <w:b/>
          <w:bCs/>
          <w:lang w:val="fr-CA"/>
        </w:rPr>
        <w:t>’</w:t>
      </w:r>
      <w:r w:rsidRPr="00A75888">
        <w:rPr>
          <w:b/>
          <w:bCs/>
          <w:lang w:val="fr-CA"/>
        </w:rPr>
        <w:t>INFORMATION, AUX COMMUNICATIONS ET AUX TECHNOLOGIES</w:t>
      </w:r>
    </w:p>
    <w:p w14:paraId="302D43CB" w14:textId="0FC17B10" w:rsidR="004E0120" w:rsidRPr="00A75888" w:rsidRDefault="004E0120" w:rsidP="004E0120">
      <w:pPr>
        <w:spacing w:after="0" w:line="240" w:lineRule="auto"/>
        <w:ind w:left="0" w:right="0" w:hanging="10"/>
        <w:rPr>
          <w:lang w:val="fr-CA"/>
        </w:rPr>
      </w:pPr>
      <w:r w:rsidRPr="00A75888">
        <w:rPr>
          <w:b/>
          <w:lang w:val="fr-CA"/>
        </w:rPr>
        <w:t>Information accessible :</w:t>
      </w:r>
      <w:r w:rsidR="002569A3" w:rsidRPr="00A75888">
        <w:rPr>
          <w:b/>
          <w:lang w:val="fr-CA"/>
        </w:rPr>
        <w:t xml:space="preserve"> </w:t>
      </w:r>
      <w:r w:rsidR="00576592" w:rsidRPr="00A75888">
        <w:rPr>
          <w:lang w:val="fr-CA"/>
        </w:rPr>
        <w:t>Les SH</w:t>
      </w:r>
      <w:r w:rsidRPr="00A75888">
        <w:rPr>
          <w:lang w:val="fr-CA"/>
        </w:rPr>
        <w:t>DS fourni</w:t>
      </w:r>
      <w:r w:rsidR="00576592" w:rsidRPr="00A75888">
        <w:rPr>
          <w:lang w:val="fr-CA"/>
        </w:rPr>
        <w:t>ssent</w:t>
      </w:r>
      <w:r w:rsidRPr="00A75888">
        <w:rPr>
          <w:lang w:val="fr-CA"/>
        </w:rPr>
        <w:t xml:space="preserve"> sur demande des informations accessibles au public dans des formats accessibles.</w:t>
      </w:r>
    </w:p>
    <w:p w14:paraId="538E8F19" w14:textId="77777777" w:rsidR="004E0120" w:rsidRPr="00A75888" w:rsidRDefault="004E0120" w:rsidP="004E0120">
      <w:pPr>
        <w:spacing w:after="0" w:line="240" w:lineRule="auto"/>
        <w:ind w:left="0" w:right="0"/>
        <w:rPr>
          <w:b/>
          <w:lang w:val="fr-CA"/>
        </w:rPr>
      </w:pPr>
    </w:p>
    <w:p w14:paraId="1F148F72" w14:textId="69372AAB" w:rsidR="004E0120" w:rsidRPr="00A75888" w:rsidRDefault="004E0120" w:rsidP="004E0120">
      <w:pPr>
        <w:spacing w:after="0" w:line="240" w:lineRule="auto"/>
        <w:ind w:left="0" w:right="0" w:hanging="10"/>
        <w:rPr>
          <w:lang w:val="fr-CA"/>
        </w:rPr>
      </w:pPr>
      <w:r w:rsidRPr="00A75888">
        <w:rPr>
          <w:b/>
          <w:lang w:val="fr-CA"/>
        </w:rPr>
        <w:t xml:space="preserve">Accessibilité du site </w:t>
      </w:r>
      <w:r w:rsidR="00576592" w:rsidRPr="00A75888">
        <w:rPr>
          <w:b/>
          <w:lang w:val="fr-CA"/>
        </w:rPr>
        <w:t>W</w:t>
      </w:r>
      <w:r w:rsidRPr="00A75888">
        <w:rPr>
          <w:b/>
          <w:lang w:val="fr-CA"/>
        </w:rPr>
        <w:t>eb :</w:t>
      </w:r>
      <w:r w:rsidR="002569A3" w:rsidRPr="00A75888">
        <w:rPr>
          <w:b/>
          <w:lang w:val="fr-CA"/>
        </w:rPr>
        <w:t xml:space="preserve"> </w:t>
      </w:r>
      <w:r w:rsidRPr="00A75888">
        <w:rPr>
          <w:lang w:val="fr-CA"/>
        </w:rPr>
        <w:t xml:space="preserve">Le site </w:t>
      </w:r>
      <w:r w:rsidR="00576592" w:rsidRPr="00A75888">
        <w:rPr>
          <w:lang w:val="fr-CA"/>
        </w:rPr>
        <w:t>W</w:t>
      </w:r>
      <w:r w:rsidRPr="00A75888">
        <w:rPr>
          <w:lang w:val="fr-CA"/>
        </w:rPr>
        <w:t>eb et le contenu en ligne de</w:t>
      </w:r>
      <w:r w:rsidR="00A75888">
        <w:rPr>
          <w:lang w:val="fr-CA"/>
        </w:rPr>
        <w:t>s</w:t>
      </w:r>
      <w:r w:rsidRPr="00A75888">
        <w:rPr>
          <w:lang w:val="fr-CA"/>
        </w:rPr>
        <w:t xml:space="preserve"> S</w:t>
      </w:r>
      <w:r w:rsidR="00576592" w:rsidRPr="00A75888">
        <w:rPr>
          <w:lang w:val="fr-CA"/>
        </w:rPr>
        <w:t>H</w:t>
      </w:r>
      <w:r w:rsidRPr="00A75888">
        <w:rPr>
          <w:lang w:val="fr-CA"/>
        </w:rPr>
        <w:t>DS sont conformes aux normes WCAG 2.1 de niveau AA, et font l</w:t>
      </w:r>
      <w:r w:rsidR="007D5A04" w:rsidRPr="00A75888">
        <w:rPr>
          <w:lang w:val="fr-CA"/>
        </w:rPr>
        <w:t>’</w:t>
      </w:r>
      <w:r w:rsidRPr="00A75888">
        <w:rPr>
          <w:lang w:val="fr-CA"/>
        </w:rPr>
        <w:t>objet d</w:t>
      </w:r>
      <w:r w:rsidR="00576592" w:rsidRPr="00A75888">
        <w:rPr>
          <w:lang w:val="fr-CA"/>
        </w:rPr>
        <w:t xml:space="preserve">e vérifications périodiques </w:t>
      </w:r>
      <w:r w:rsidR="00A75888">
        <w:rPr>
          <w:lang w:val="fr-CA"/>
        </w:rPr>
        <w:t>touchant</w:t>
      </w:r>
      <w:r w:rsidR="00576592" w:rsidRPr="00A75888">
        <w:rPr>
          <w:lang w:val="fr-CA"/>
        </w:rPr>
        <w:t xml:space="preserve"> l</w:t>
      </w:r>
      <w:r w:rsidR="007D5A04" w:rsidRPr="00A75888">
        <w:rPr>
          <w:lang w:val="fr-CA"/>
        </w:rPr>
        <w:t>’</w:t>
      </w:r>
      <w:r w:rsidRPr="00A75888">
        <w:rPr>
          <w:lang w:val="fr-CA"/>
        </w:rPr>
        <w:t>accessibilité.</w:t>
      </w:r>
    </w:p>
    <w:p w14:paraId="72CFC853" w14:textId="77777777" w:rsidR="004E0120" w:rsidRPr="00A75888" w:rsidRDefault="004E0120" w:rsidP="004E0120">
      <w:pPr>
        <w:spacing w:after="0" w:line="240" w:lineRule="auto"/>
        <w:ind w:left="0" w:right="0"/>
        <w:rPr>
          <w:b/>
          <w:lang w:val="fr-CA"/>
        </w:rPr>
      </w:pPr>
    </w:p>
    <w:p w14:paraId="28451609" w14:textId="45260879" w:rsidR="004E0120" w:rsidRPr="00A75888" w:rsidRDefault="004E0120" w:rsidP="004E0120">
      <w:pPr>
        <w:spacing w:after="0" w:line="240" w:lineRule="auto"/>
        <w:ind w:left="0" w:right="0" w:hanging="10"/>
        <w:rPr>
          <w:lang w:val="fr-CA"/>
        </w:rPr>
      </w:pPr>
      <w:r w:rsidRPr="00A75888">
        <w:rPr>
          <w:b/>
          <w:lang w:val="fr-CA"/>
        </w:rPr>
        <w:t>Processus de rétroaction :</w:t>
      </w:r>
      <w:r w:rsidR="002569A3" w:rsidRPr="00A75888">
        <w:rPr>
          <w:b/>
          <w:lang w:val="fr-CA"/>
        </w:rPr>
        <w:t xml:space="preserve"> </w:t>
      </w:r>
      <w:r w:rsidRPr="00A75888">
        <w:rPr>
          <w:lang w:val="fr-CA"/>
        </w:rPr>
        <w:t>Des mécanismes de r</w:t>
      </w:r>
      <w:r w:rsidR="00576592" w:rsidRPr="00A75888">
        <w:rPr>
          <w:lang w:val="fr-CA"/>
        </w:rPr>
        <w:t>étroaction</w:t>
      </w:r>
      <w:r w:rsidRPr="00A75888">
        <w:rPr>
          <w:lang w:val="fr-CA"/>
        </w:rPr>
        <w:t xml:space="preserve"> sont accessibles à tous et proposés dans d</w:t>
      </w:r>
      <w:r w:rsidR="007D5A04" w:rsidRPr="00A75888">
        <w:rPr>
          <w:lang w:val="fr-CA"/>
        </w:rPr>
        <w:t>’</w:t>
      </w:r>
      <w:r w:rsidRPr="00A75888">
        <w:rPr>
          <w:lang w:val="fr-CA"/>
        </w:rPr>
        <w:t>autres formats selon les besoins.</w:t>
      </w:r>
    </w:p>
    <w:p w14:paraId="7D6B10BC" w14:textId="77777777" w:rsidR="004E0120" w:rsidRPr="00A75888" w:rsidRDefault="004E0120" w:rsidP="004E0120">
      <w:pPr>
        <w:spacing w:after="0" w:line="240" w:lineRule="auto"/>
        <w:ind w:left="0" w:right="0"/>
        <w:rPr>
          <w:lang w:val="fr-CA"/>
        </w:rPr>
      </w:pPr>
    </w:p>
    <w:p w14:paraId="0F6E08B7" w14:textId="4CB85D21" w:rsidR="004E0120" w:rsidRPr="00A75888" w:rsidRDefault="004E0120" w:rsidP="004E0120">
      <w:pPr>
        <w:spacing w:after="0" w:line="240" w:lineRule="auto"/>
        <w:ind w:left="0" w:right="0" w:hanging="10"/>
        <w:rPr>
          <w:lang w:val="fr-CA"/>
        </w:rPr>
      </w:pPr>
      <w:r w:rsidRPr="00A75888">
        <w:rPr>
          <w:b/>
          <w:bCs/>
          <w:lang w:val="fr-CA"/>
        </w:rPr>
        <w:t>Informations d</w:t>
      </w:r>
      <w:r w:rsidR="007D5A04" w:rsidRPr="00A75888">
        <w:rPr>
          <w:b/>
          <w:bCs/>
          <w:lang w:val="fr-CA"/>
        </w:rPr>
        <w:t>’</w:t>
      </w:r>
      <w:r w:rsidRPr="00A75888">
        <w:rPr>
          <w:b/>
          <w:bCs/>
          <w:lang w:val="fr-CA"/>
        </w:rPr>
        <w:t>urgence</w:t>
      </w:r>
      <w:r w:rsidRPr="00A75888">
        <w:rPr>
          <w:lang w:val="fr-CA"/>
        </w:rPr>
        <w:t xml:space="preserve"> : </w:t>
      </w:r>
      <w:r w:rsidR="00576592" w:rsidRPr="00A75888">
        <w:rPr>
          <w:lang w:val="fr-CA"/>
        </w:rPr>
        <w:t>Les SH</w:t>
      </w:r>
      <w:r w:rsidRPr="00A75888">
        <w:rPr>
          <w:lang w:val="fr-CA"/>
        </w:rPr>
        <w:t>DS fourni</w:t>
      </w:r>
      <w:r w:rsidR="00576592" w:rsidRPr="00A75888">
        <w:rPr>
          <w:lang w:val="fr-CA"/>
        </w:rPr>
        <w:t>ssen</w:t>
      </w:r>
      <w:r w:rsidRPr="00A75888">
        <w:rPr>
          <w:lang w:val="fr-CA"/>
        </w:rPr>
        <w:t>t sur demande des procédures d</w:t>
      </w:r>
      <w:r w:rsidR="007D5A04" w:rsidRPr="00A75888">
        <w:rPr>
          <w:lang w:val="fr-CA"/>
        </w:rPr>
        <w:t>’</w:t>
      </w:r>
      <w:r w:rsidRPr="00A75888">
        <w:rPr>
          <w:lang w:val="fr-CA"/>
        </w:rPr>
        <w:t>urgence accessibles et des informations sur la sécurité publique.</w:t>
      </w:r>
    </w:p>
    <w:p w14:paraId="0B51173F" w14:textId="77777777" w:rsidR="004E0120" w:rsidRPr="00A75888" w:rsidRDefault="004E0120" w:rsidP="004E0120">
      <w:pPr>
        <w:spacing w:after="0" w:line="240" w:lineRule="auto"/>
        <w:ind w:left="0" w:right="0"/>
        <w:rPr>
          <w:lang w:val="fr-CA"/>
        </w:rPr>
      </w:pPr>
    </w:p>
    <w:p w14:paraId="40F5794B" w14:textId="330BAD08" w:rsidR="004E0120" w:rsidRPr="00A75888" w:rsidRDefault="004E0120" w:rsidP="001273CD">
      <w:pPr>
        <w:pStyle w:val="Heading1"/>
        <w:spacing w:before="0" w:after="0" w:line="240" w:lineRule="auto"/>
        <w:ind w:left="0" w:right="0" w:firstLine="0"/>
        <w:rPr>
          <w:rFonts w:ascii="Times New Roman" w:hAnsi="Times New Roman" w:cs="Times New Roman"/>
          <w:b/>
          <w:bCs/>
          <w:color w:val="auto"/>
          <w:sz w:val="24"/>
          <w:szCs w:val="24"/>
          <w:lang w:val="fr-CA"/>
        </w:rPr>
      </w:pPr>
      <w:r w:rsidRPr="00A75888">
        <w:rPr>
          <w:rFonts w:ascii="Times New Roman" w:hAnsi="Times New Roman" w:cs="Times New Roman"/>
          <w:b/>
          <w:bCs/>
          <w:color w:val="auto"/>
          <w:sz w:val="24"/>
          <w:szCs w:val="24"/>
          <w:lang w:val="fr-CA"/>
        </w:rPr>
        <w:t>INFORMATIONS SUR L</w:t>
      </w:r>
      <w:r w:rsidR="007D5A04" w:rsidRPr="00A75888">
        <w:rPr>
          <w:rFonts w:ascii="Times New Roman" w:hAnsi="Times New Roman" w:cs="Times New Roman"/>
          <w:b/>
          <w:bCs/>
          <w:color w:val="auto"/>
          <w:sz w:val="24"/>
          <w:szCs w:val="24"/>
          <w:lang w:val="fr-CA"/>
        </w:rPr>
        <w:t>’</w:t>
      </w:r>
      <w:r w:rsidRPr="00A75888">
        <w:rPr>
          <w:rFonts w:ascii="Times New Roman" w:hAnsi="Times New Roman" w:cs="Times New Roman"/>
          <w:b/>
          <w:bCs/>
          <w:color w:val="auto"/>
          <w:sz w:val="24"/>
          <w:szCs w:val="24"/>
          <w:lang w:val="fr-CA"/>
        </w:rPr>
        <w:t xml:space="preserve">ENVIRONNEMENT </w:t>
      </w:r>
      <w:r w:rsidR="00576592" w:rsidRPr="00A75888">
        <w:rPr>
          <w:rFonts w:ascii="Times New Roman" w:hAnsi="Times New Roman" w:cs="Times New Roman"/>
          <w:b/>
          <w:bCs/>
          <w:color w:val="auto"/>
          <w:sz w:val="24"/>
          <w:szCs w:val="24"/>
          <w:lang w:val="fr-CA"/>
        </w:rPr>
        <w:t>BÂTI</w:t>
      </w:r>
      <w:r w:rsidRPr="00A75888">
        <w:rPr>
          <w:rFonts w:ascii="Times New Roman" w:hAnsi="Times New Roman" w:cs="Times New Roman"/>
          <w:b/>
          <w:bCs/>
          <w:color w:val="auto"/>
          <w:sz w:val="24"/>
          <w:szCs w:val="24"/>
          <w:lang w:val="fr-CA"/>
        </w:rPr>
        <w:t>, L</w:t>
      </w:r>
      <w:r w:rsidR="007D5A04" w:rsidRPr="00A75888">
        <w:rPr>
          <w:rFonts w:ascii="Times New Roman" w:hAnsi="Times New Roman" w:cs="Times New Roman"/>
          <w:b/>
          <w:bCs/>
          <w:color w:val="auto"/>
          <w:sz w:val="24"/>
          <w:szCs w:val="24"/>
          <w:lang w:val="fr-CA"/>
        </w:rPr>
        <w:t>’</w:t>
      </w:r>
      <w:r w:rsidRPr="00A75888">
        <w:rPr>
          <w:rFonts w:ascii="Times New Roman" w:hAnsi="Times New Roman" w:cs="Times New Roman"/>
          <w:b/>
          <w:bCs/>
          <w:color w:val="auto"/>
          <w:sz w:val="24"/>
          <w:szCs w:val="24"/>
          <w:lang w:val="fr-CA"/>
        </w:rPr>
        <w:t>APPROVISIONNEMENT ET LES URGENCES</w:t>
      </w:r>
    </w:p>
    <w:p w14:paraId="734C3AD8" w14:textId="77777777" w:rsidR="001273CD" w:rsidRPr="00A75888" w:rsidRDefault="001273CD" w:rsidP="004E0120">
      <w:pPr>
        <w:spacing w:after="0" w:line="240" w:lineRule="auto"/>
        <w:ind w:left="0" w:right="0" w:hanging="10"/>
        <w:rPr>
          <w:b/>
          <w:lang w:val="fr-CA"/>
        </w:rPr>
      </w:pPr>
    </w:p>
    <w:p w14:paraId="27AB83BC" w14:textId="77777777" w:rsidR="00576592" w:rsidRPr="00A75888" w:rsidRDefault="004E0120" w:rsidP="004E0120">
      <w:pPr>
        <w:spacing w:after="0" w:line="240" w:lineRule="auto"/>
        <w:ind w:left="0" w:right="0" w:hanging="10"/>
        <w:rPr>
          <w:lang w:val="fr-CA"/>
        </w:rPr>
      </w:pPr>
      <w:r w:rsidRPr="00A75888">
        <w:rPr>
          <w:b/>
          <w:lang w:val="fr-CA"/>
        </w:rPr>
        <w:t>Environnement bâti :</w:t>
      </w:r>
      <w:r w:rsidR="002569A3" w:rsidRPr="00A75888">
        <w:rPr>
          <w:b/>
          <w:lang w:val="fr-CA"/>
        </w:rPr>
        <w:t xml:space="preserve"> </w:t>
      </w:r>
      <w:r w:rsidRPr="00A75888">
        <w:rPr>
          <w:lang w:val="fr-CA"/>
        </w:rPr>
        <w:t>Toutes les nouvelles constructions et rénovations majeures sont conformes au Code du bâtiment de l’Ontario et aux normes de conception des espaces publics de l’IASR.</w:t>
      </w:r>
    </w:p>
    <w:p w14:paraId="123859A6" w14:textId="77777777" w:rsidR="00576592" w:rsidRPr="00A75888" w:rsidRDefault="00576592" w:rsidP="004E0120">
      <w:pPr>
        <w:spacing w:after="0" w:line="240" w:lineRule="auto"/>
        <w:ind w:left="0" w:right="0" w:hanging="10"/>
        <w:rPr>
          <w:lang w:val="fr-CA"/>
        </w:rPr>
      </w:pPr>
    </w:p>
    <w:p w14:paraId="243B0EEF" w14:textId="79E99CFC" w:rsidR="004E0120" w:rsidRPr="00A75888" w:rsidRDefault="004E0120" w:rsidP="004E0120">
      <w:pPr>
        <w:spacing w:after="0" w:line="240" w:lineRule="auto"/>
        <w:ind w:left="0" w:right="0" w:hanging="10"/>
        <w:rPr>
          <w:lang w:val="fr-CA"/>
        </w:rPr>
      </w:pPr>
      <w:r w:rsidRPr="00A75888">
        <w:rPr>
          <w:b/>
          <w:bCs/>
          <w:lang w:val="fr-CA"/>
        </w:rPr>
        <w:t>Approvisionnement</w:t>
      </w:r>
      <w:r w:rsidRPr="00A75888">
        <w:rPr>
          <w:lang w:val="fr-CA"/>
        </w:rPr>
        <w:t> : L’accessibilité est prise en compte lors de l’acquisition de biens, de services ou d’installations, conformément à la section 5 de l’IASR.</w:t>
      </w:r>
    </w:p>
    <w:p w14:paraId="08B8B4C1" w14:textId="77777777" w:rsidR="004E0120" w:rsidRPr="00A75888" w:rsidRDefault="004E0120" w:rsidP="004E0120">
      <w:pPr>
        <w:spacing w:after="0" w:line="240" w:lineRule="auto"/>
        <w:ind w:left="0" w:right="0"/>
        <w:rPr>
          <w:b/>
          <w:lang w:val="fr-CA"/>
        </w:rPr>
      </w:pPr>
    </w:p>
    <w:p w14:paraId="30FAFFFE" w14:textId="22ED3C66" w:rsidR="004E0120" w:rsidRPr="00A75888" w:rsidRDefault="004E0120" w:rsidP="004E0120">
      <w:pPr>
        <w:spacing w:after="0" w:line="240" w:lineRule="auto"/>
        <w:ind w:left="0" w:right="0" w:hanging="10"/>
        <w:rPr>
          <w:lang w:val="fr-CA"/>
        </w:rPr>
      </w:pPr>
      <w:r w:rsidRPr="00A75888">
        <w:rPr>
          <w:b/>
          <w:lang w:val="fr-CA"/>
        </w:rPr>
        <w:t>Procédures d</w:t>
      </w:r>
      <w:r w:rsidR="007D5A04" w:rsidRPr="00A75888">
        <w:rPr>
          <w:b/>
          <w:lang w:val="fr-CA"/>
        </w:rPr>
        <w:t>’</w:t>
      </w:r>
      <w:r w:rsidRPr="00A75888">
        <w:rPr>
          <w:b/>
          <w:lang w:val="fr-CA"/>
        </w:rPr>
        <w:t>urgence accessibles :</w:t>
      </w:r>
      <w:r w:rsidR="002569A3" w:rsidRPr="00A75888">
        <w:rPr>
          <w:b/>
          <w:lang w:val="fr-CA"/>
        </w:rPr>
        <w:t xml:space="preserve"> </w:t>
      </w:r>
      <w:r w:rsidRPr="00A75888">
        <w:rPr>
          <w:lang w:val="fr-CA"/>
        </w:rPr>
        <w:t>Les employés handicapés reçoivent des informations personnalisées sur les interventions d</w:t>
      </w:r>
      <w:r w:rsidR="007D5A04" w:rsidRPr="00A75888">
        <w:rPr>
          <w:lang w:val="fr-CA"/>
        </w:rPr>
        <w:t>’</w:t>
      </w:r>
      <w:r w:rsidRPr="00A75888">
        <w:rPr>
          <w:lang w:val="fr-CA"/>
        </w:rPr>
        <w:t>urgence dans le cadre de leur plan d</w:t>
      </w:r>
      <w:r w:rsidR="007D5A04" w:rsidRPr="00A75888">
        <w:rPr>
          <w:lang w:val="fr-CA"/>
        </w:rPr>
        <w:t>’</w:t>
      </w:r>
      <w:r w:rsidRPr="00A75888">
        <w:rPr>
          <w:lang w:val="fr-CA"/>
        </w:rPr>
        <w:t>a</w:t>
      </w:r>
      <w:r w:rsidR="00104E32">
        <w:rPr>
          <w:lang w:val="fr-CA"/>
        </w:rPr>
        <w:t>daptation</w:t>
      </w:r>
      <w:r w:rsidRPr="00A75888">
        <w:rPr>
          <w:lang w:val="fr-CA"/>
        </w:rPr>
        <w:t>.</w:t>
      </w:r>
    </w:p>
    <w:p w14:paraId="283B8FBD" w14:textId="77777777" w:rsidR="004E0120" w:rsidRPr="00A75888" w:rsidRDefault="004E0120" w:rsidP="004E0120">
      <w:pPr>
        <w:spacing w:after="0" w:line="240" w:lineRule="auto"/>
        <w:ind w:left="0" w:right="0"/>
        <w:rPr>
          <w:lang w:val="fr-CA"/>
        </w:rPr>
      </w:pPr>
    </w:p>
    <w:p w14:paraId="1005FEAF" w14:textId="77777777" w:rsidR="004E0120" w:rsidRPr="00A75888" w:rsidRDefault="004E0120" w:rsidP="004E0120">
      <w:pPr>
        <w:pStyle w:val="Heading2"/>
        <w:spacing w:before="0" w:after="0" w:line="240" w:lineRule="auto"/>
        <w:ind w:left="0" w:right="0" w:hanging="10"/>
        <w:rPr>
          <w:rFonts w:ascii="Times New Roman" w:hAnsi="Times New Roman" w:cs="Times New Roman"/>
          <w:b/>
          <w:bCs/>
          <w:color w:val="auto"/>
          <w:sz w:val="24"/>
          <w:szCs w:val="24"/>
          <w:lang w:val="fr-CA"/>
        </w:rPr>
      </w:pPr>
      <w:r w:rsidRPr="00A75888">
        <w:rPr>
          <w:rFonts w:ascii="Times New Roman" w:hAnsi="Times New Roman" w:cs="Times New Roman"/>
          <w:b/>
          <w:bCs/>
          <w:color w:val="auto"/>
          <w:sz w:val="24"/>
          <w:szCs w:val="24"/>
          <w:lang w:val="fr-CA"/>
        </w:rPr>
        <w:t>GOUVERNANCE, RAPPORTS ET PLAN PLURIANNUEL</w:t>
      </w:r>
    </w:p>
    <w:p w14:paraId="51083BD1" w14:textId="77777777" w:rsidR="004E0120" w:rsidRPr="00A75888" w:rsidRDefault="004E0120" w:rsidP="004E0120">
      <w:pPr>
        <w:spacing w:after="0" w:line="240" w:lineRule="auto"/>
        <w:ind w:left="0" w:right="0"/>
        <w:rPr>
          <w:b/>
          <w:color w:val="auto"/>
          <w:lang w:val="fr-CA"/>
        </w:rPr>
      </w:pPr>
    </w:p>
    <w:p w14:paraId="40D6A04A" w14:textId="713AC604" w:rsidR="004E0120" w:rsidRPr="00A75888" w:rsidRDefault="004E0120" w:rsidP="004E0120">
      <w:pPr>
        <w:spacing w:after="0" w:line="240" w:lineRule="auto"/>
        <w:ind w:left="0" w:right="0" w:hanging="10"/>
        <w:rPr>
          <w:lang w:val="fr-CA"/>
        </w:rPr>
      </w:pPr>
      <w:r w:rsidRPr="00A75888">
        <w:rPr>
          <w:b/>
          <w:lang w:val="fr-CA"/>
        </w:rPr>
        <w:t>Responsabilité</w:t>
      </w:r>
      <w:r w:rsidR="002569A3" w:rsidRPr="00A75888">
        <w:rPr>
          <w:b/>
          <w:lang w:val="fr-CA"/>
        </w:rPr>
        <w:t xml:space="preserve"> </w:t>
      </w:r>
      <w:r w:rsidRPr="00A75888">
        <w:rPr>
          <w:b/>
          <w:lang w:val="fr-CA"/>
        </w:rPr>
        <w:t>:</w:t>
      </w:r>
      <w:r w:rsidR="002569A3" w:rsidRPr="00A75888">
        <w:rPr>
          <w:b/>
          <w:lang w:val="fr-CA"/>
        </w:rPr>
        <w:t xml:space="preserve"> </w:t>
      </w:r>
      <w:r w:rsidRPr="00A75888">
        <w:rPr>
          <w:lang w:val="fr-CA"/>
        </w:rPr>
        <w:t>L</w:t>
      </w:r>
      <w:r w:rsidR="00576592" w:rsidRPr="00A75888">
        <w:rPr>
          <w:lang w:val="fr-CA"/>
        </w:rPr>
        <w:t>a</w:t>
      </w:r>
      <w:r w:rsidRPr="00A75888">
        <w:rPr>
          <w:lang w:val="fr-CA"/>
        </w:rPr>
        <w:t xml:space="preserve"> direct</w:t>
      </w:r>
      <w:r w:rsidR="00576592" w:rsidRPr="00A75888">
        <w:rPr>
          <w:lang w:val="fr-CA"/>
        </w:rPr>
        <w:t>rice générale</w:t>
      </w:r>
      <w:r w:rsidRPr="00A75888">
        <w:rPr>
          <w:lang w:val="fr-CA"/>
        </w:rPr>
        <w:t xml:space="preserve"> est responsable de l</w:t>
      </w:r>
      <w:r w:rsidR="007D5A04" w:rsidRPr="00A75888">
        <w:rPr>
          <w:lang w:val="fr-CA"/>
        </w:rPr>
        <w:t>’</w:t>
      </w:r>
      <w:r w:rsidRPr="00A75888">
        <w:rPr>
          <w:lang w:val="fr-CA"/>
        </w:rPr>
        <w:t>accessibilité et de la protection de la vie privée</w:t>
      </w:r>
      <w:r w:rsidR="00576592" w:rsidRPr="00A75888">
        <w:rPr>
          <w:lang w:val="fr-CA"/>
        </w:rPr>
        <w:t xml:space="preserve">, </w:t>
      </w:r>
      <w:r w:rsidRPr="00A75888">
        <w:rPr>
          <w:lang w:val="fr-CA"/>
        </w:rPr>
        <w:t xml:space="preserve">de la mise en œuvre, du respect des règles et du suivi. Le </w:t>
      </w:r>
      <w:r w:rsidR="00576592" w:rsidRPr="00A75888">
        <w:rPr>
          <w:lang w:val="fr-CA"/>
        </w:rPr>
        <w:t>C</w:t>
      </w:r>
      <w:r w:rsidRPr="00A75888">
        <w:rPr>
          <w:lang w:val="fr-CA"/>
        </w:rPr>
        <w:t>onseil d</w:t>
      </w:r>
      <w:r w:rsidR="007D5A04" w:rsidRPr="00A75888">
        <w:rPr>
          <w:lang w:val="fr-CA"/>
        </w:rPr>
        <w:t>’</w:t>
      </w:r>
      <w:r w:rsidRPr="00A75888">
        <w:rPr>
          <w:lang w:val="fr-CA"/>
        </w:rPr>
        <w:t xml:space="preserve">administration assure la supervision de la gouvernance, approuve le </w:t>
      </w:r>
      <w:r w:rsidR="00576592" w:rsidRPr="00A75888">
        <w:rPr>
          <w:lang w:val="fr-CA"/>
        </w:rPr>
        <w:t>P</w:t>
      </w:r>
      <w:r w:rsidRPr="00A75888">
        <w:rPr>
          <w:lang w:val="fr-CA"/>
        </w:rPr>
        <w:t>lan pluriannuel et reçoit des mises à jour annuelles.</w:t>
      </w:r>
    </w:p>
    <w:p w14:paraId="04D00A95" w14:textId="77777777" w:rsidR="004E0120" w:rsidRPr="00A75888" w:rsidRDefault="004E0120" w:rsidP="004E0120">
      <w:pPr>
        <w:spacing w:after="0" w:line="240" w:lineRule="auto"/>
        <w:ind w:left="0" w:right="0"/>
        <w:rPr>
          <w:b/>
          <w:lang w:val="fr-CA"/>
        </w:rPr>
      </w:pPr>
    </w:p>
    <w:p w14:paraId="3C32A57C" w14:textId="26E849B1" w:rsidR="004E0120" w:rsidRPr="00A75888" w:rsidRDefault="004E0120" w:rsidP="004E0120">
      <w:pPr>
        <w:spacing w:after="0" w:line="240" w:lineRule="auto"/>
        <w:ind w:left="0" w:right="0" w:hanging="10"/>
        <w:rPr>
          <w:lang w:val="fr-CA"/>
        </w:rPr>
      </w:pPr>
      <w:r w:rsidRPr="00A75888">
        <w:rPr>
          <w:b/>
          <w:lang w:val="fr-CA"/>
        </w:rPr>
        <w:t>Examen et compte rendu :</w:t>
      </w:r>
      <w:r w:rsidR="002569A3" w:rsidRPr="00A75888">
        <w:rPr>
          <w:b/>
          <w:lang w:val="fr-CA"/>
        </w:rPr>
        <w:t xml:space="preserve"> </w:t>
      </w:r>
      <w:r w:rsidR="00576592" w:rsidRPr="00A75888">
        <w:rPr>
          <w:lang w:val="fr-CA"/>
        </w:rPr>
        <w:t>Les S</w:t>
      </w:r>
      <w:r w:rsidRPr="00A75888">
        <w:rPr>
          <w:lang w:val="fr-CA"/>
        </w:rPr>
        <w:t>D</w:t>
      </w:r>
      <w:r w:rsidR="00576592" w:rsidRPr="00A75888">
        <w:rPr>
          <w:lang w:val="fr-CA"/>
        </w:rPr>
        <w:t>H</w:t>
      </w:r>
      <w:r w:rsidRPr="00A75888">
        <w:rPr>
          <w:lang w:val="fr-CA"/>
        </w:rPr>
        <w:t xml:space="preserve">S </w:t>
      </w:r>
      <w:r w:rsidR="00576592" w:rsidRPr="00A75888">
        <w:rPr>
          <w:lang w:val="fr-CA"/>
        </w:rPr>
        <w:t>examinent</w:t>
      </w:r>
      <w:r w:rsidRPr="00A75888">
        <w:rPr>
          <w:lang w:val="fr-CA"/>
        </w:rPr>
        <w:t xml:space="preserve"> ce plan annuellement et le met</w:t>
      </w:r>
      <w:r w:rsidR="007D5A04" w:rsidRPr="00A75888">
        <w:rPr>
          <w:lang w:val="fr-CA"/>
        </w:rPr>
        <w:t>tent</w:t>
      </w:r>
      <w:r w:rsidRPr="00A75888">
        <w:rPr>
          <w:lang w:val="fr-CA"/>
        </w:rPr>
        <w:t xml:space="preserve"> à jour tous les cinq ans. Les rapports de conformité en matière d</w:t>
      </w:r>
      <w:r w:rsidR="007D5A04" w:rsidRPr="00A75888">
        <w:rPr>
          <w:lang w:val="fr-CA"/>
        </w:rPr>
        <w:t>’</w:t>
      </w:r>
      <w:r w:rsidRPr="00A75888">
        <w:rPr>
          <w:lang w:val="fr-CA"/>
        </w:rPr>
        <w:t>accessibilité sont déposés auprès du gouvernement de l</w:t>
      </w:r>
      <w:r w:rsidR="007D5A04" w:rsidRPr="00A75888">
        <w:rPr>
          <w:lang w:val="fr-CA"/>
        </w:rPr>
        <w:t>’</w:t>
      </w:r>
      <w:r w:rsidRPr="00A75888">
        <w:rPr>
          <w:lang w:val="fr-CA"/>
        </w:rPr>
        <w:t>Ontario, conformément aux exigences.</w:t>
      </w:r>
    </w:p>
    <w:p w14:paraId="7E035817" w14:textId="77777777" w:rsidR="004E0120" w:rsidRPr="00A75888" w:rsidRDefault="004E0120" w:rsidP="004E0120">
      <w:pPr>
        <w:spacing w:after="0" w:line="240" w:lineRule="auto"/>
        <w:ind w:left="0" w:right="0"/>
        <w:rPr>
          <w:b/>
          <w:lang w:val="fr-CA"/>
        </w:rPr>
      </w:pPr>
    </w:p>
    <w:p w14:paraId="61576696" w14:textId="0232DFD6" w:rsidR="004E0120" w:rsidRPr="00A75888" w:rsidRDefault="004E0120" w:rsidP="004E0120">
      <w:pPr>
        <w:spacing w:after="0" w:line="240" w:lineRule="auto"/>
        <w:ind w:left="0" w:right="0" w:hanging="10"/>
        <w:rPr>
          <w:lang w:val="fr-CA"/>
        </w:rPr>
      </w:pPr>
      <w:r w:rsidRPr="00A75888">
        <w:rPr>
          <w:b/>
          <w:lang w:val="fr-CA"/>
        </w:rPr>
        <w:t>Publication</w:t>
      </w:r>
      <w:r w:rsidR="002569A3" w:rsidRPr="00A75888">
        <w:rPr>
          <w:b/>
          <w:lang w:val="fr-CA"/>
        </w:rPr>
        <w:t xml:space="preserve"> </w:t>
      </w:r>
      <w:r w:rsidRPr="00A75888">
        <w:rPr>
          <w:b/>
          <w:lang w:val="fr-CA"/>
        </w:rPr>
        <w:t>:</w:t>
      </w:r>
      <w:r w:rsidR="002569A3" w:rsidRPr="00A75888">
        <w:rPr>
          <w:b/>
          <w:lang w:val="fr-CA"/>
        </w:rPr>
        <w:t xml:space="preserve"> </w:t>
      </w:r>
      <w:r w:rsidRPr="00A75888">
        <w:rPr>
          <w:lang w:val="fr-CA"/>
        </w:rPr>
        <w:t>Cette politique et ce plan sont affichés sur le site Web de</w:t>
      </w:r>
      <w:r w:rsidR="00104E32">
        <w:rPr>
          <w:lang w:val="fr-CA"/>
        </w:rPr>
        <w:t>s</w:t>
      </w:r>
      <w:r w:rsidRPr="00A75888">
        <w:rPr>
          <w:lang w:val="fr-CA"/>
        </w:rPr>
        <w:t xml:space="preserve"> S</w:t>
      </w:r>
      <w:r w:rsidR="00576592" w:rsidRPr="00A75888">
        <w:rPr>
          <w:lang w:val="fr-CA"/>
        </w:rPr>
        <w:t>H</w:t>
      </w:r>
      <w:r w:rsidRPr="00A75888">
        <w:rPr>
          <w:lang w:val="fr-CA"/>
        </w:rPr>
        <w:t>DS et sont disponibles dans des formats accessibles sur demande.</w:t>
      </w:r>
    </w:p>
    <w:p w14:paraId="2FF02D5F" w14:textId="77777777" w:rsidR="002569A3" w:rsidRPr="00A75888" w:rsidRDefault="002569A3" w:rsidP="004E0120">
      <w:pPr>
        <w:spacing w:after="0" w:line="240" w:lineRule="auto"/>
        <w:ind w:left="0" w:right="0" w:hanging="10"/>
        <w:rPr>
          <w:lang w:val="fr-CA"/>
        </w:rPr>
      </w:pPr>
    </w:p>
    <w:p w14:paraId="37F6EBA2" w14:textId="16BA8038" w:rsidR="002569A3" w:rsidRPr="00A75888" w:rsidRDefault="002569A3" w:rsidP="004E0120">
      <w:pPr>
        <w:spacing w:after="0" w:line="240" w:lineRule="auto"/>
        <w:ind w:left="0" w:right="0" w:hanging="10"/>
        <w:rPr>
          <w:b/>
          <w:bCs/>
          <w:sz w:val="22"/>
          <w:szCs w:val="22"/>
          <w:lang w:val="fr-CA"/>
        </w:rPr>
      </w:pPr>
      <w:r w:rsidRPr="00A75888">
        <w:rPr>
          <w:b/>
          <w:bCs/>
          <w:sz w:val="22"/>
          <w:szCs w:val="22"/>
          <w:lang w:val="fr-CA"/>
        </w:rPr>
        <w:t>Annexe A – Objectifs et obstacles à l’accessibilité (2025-2028)</w:t>
      </w:r>
    </w:p>
    <w:p w14:paraId="1C846115" w14:textId="77777777" w:rsidR="002569A3" w:rsidRPr="00A75888" w:rsidRDefault="002569A3" w:rsidP="004E0120">
      <w:pPr>
        <w:spacing w:after="0" w:line="240" w:lineRule="auto"/>
        <w:ind w:left="0" w:right="0" w:hanging="10"/>
        <w:rPr>
          <w:lang w:val="fr-CA"/>
        </w:rPr>
      </w:pPr>
    </w:p>
    <w:p w14:paraId="55E4BD1A" w14:textId="48A7E723" w:rsidR="00576592" w:rsidRPr="00A75888" w:rsidRDefault="00576592" w:rsidP="004E0120">
      <w:pPr>
        <w:spacing w:after="0" w:line="240" w:lineRule="auto"/>
        <w:ind w:left="0" w:right="0" w:hanging="10"/>
        <w:rPr>
          <w:b/>
          <w:bCs/>
          <w:lang w:val="fr-CA"/>
        </w:rPr>
      </w:pPr>
      <w:r w:rsidRPr="00A75888">
        <w:rPr>
          <w:b/>
          <w:bCs/>
          <w:lang w:val="fr-CA"/>
        </w:rPr>
        <w:t>Barrière identifiée</w:t>
      </w:r>
      <w:r w:rsidRPr="00A75888">
        <w:rPr>
          <w:b/>
          <w:bCs/>
          <w:lang w:val="fr-CA"/>
        </w:rPr>
        <w:tab/>
      </w:r>
      <w:r w:rsidRPr="00A75888">
        <w:rPr>
          <w:b/>
          <w:bCs/>
          <w:lang w:val="fr-CA"/>
        </w:rPr>
        <w:tab/>
        <w:t>Action prévue</w:t>
      </w:r>
      <w:r w:rsidRPr="00A75888">
        <w:rPr>
          <w:b/>
          <w:bCs/>
          <w:lang w:val="fr-CA"/>
        </w:rPr>
        <w:tab/>
      </w:r>
      <w:r w:rsidRPr="00A75888">
        <w:rPr>
          <w:b/>
          <w:bCs/>
          <w:lang w:val="fr-CA"/>
        </w:rPr>
        <w:tab/>
        <w:t>Calendrier d’achèvement</w:t>
      </w:r>
      <w:r w:rsidRPr="00A75888">
        <w:rPr>
          <w:b/>
          <w:bCs/>
          <w:lang w:val="fr-CA"/>
        </w:rPr>
        <w:tab/>
      </w:r>
      <w:r w:rsidRPr="00A75888">
        <w:rPr>
          <w:b/>
          <w:bCs/>
          <w:lang w:val="fr-CA"/>
        </w:rPr>
        <w:tab/>
        <w:t>Statut</w:t>
      </w:r>
      <w:r w:rsidRPr="00A75888">
        <w:rPr>
          <w:b/>
          <w:bCs/>
          <w:lang w:val="fr-CA"/>
        </w:rPr>
        <w:tab/>
      </w:r>
    </w:p>
    <w:tbl>
      <w:tblPr>
        <w:tblStyle w:val="TableGrid0"/>
        <w:tblW w:w="0" w:type="auto"/>
        <w:tblLook w:val="04A0" w:firstRow="1" w:lastRow="0" w:firstColumn="1" w:lastColumn="0" w:noHBand="0" w:noVBand="1"/>
      </w:tblPr>
      <w:tblGrid>
        <w:gridCol w:w="2774"/>
        <w:gridCol w:w="2774"/>
        <w:gridCol w:w="2774"/>
        <w:gridCol w:w="2774"/>
      </w:tblGrid>
      <w:tr w:rsidR="00576592" w:rsidRPr="00A75888" w14:paraId="0A6F501E" w14:textId="77777777" w:rsidTr="00576592">
        <w:tc>
          <w:tcPr>
            <w:tcW w:w="2774" w:type="dxa"/>
          </w:tcPr>
          <w:p w14:paraId="4F1FD128" w14:textId="7EF4C473" w:rsidR="00576592" w:rsidRPr="00A75888" w:rsidRDefault="00576592" w:rsidP="004E0120">
            <w:pPr>
              <w:spacing w:after="0" w:line="240" w:lineRule="auto"/>
              <w:ind w:left="0" w:right="0" w:firstLine="0"/>
              <w:rPr>
                <w:sz w:val="22"/>
                <w:szCs w:val="22"/>
                <w:lang w:val="fr-CA"/>
              </w:rPr>
            </w:pPr>
            <w:r w:rsidRPr="00A75888">
              <w:rPr>
                <w:sz w:val="22"/>
                <w:szCs w:val="22"/>
                <w:lang w:val="fr-CA"/>
              </w:rPr>
              <w:t>A</w:t>
            </w:r>
            <w:r w:rsidR="00DF5365" w:rsidRPr="00A75888">
              <w:rPr>
                <w:sz w:val="22"/>
                <w:szCs w:val="22"/>
                <w:lang w:val="fr-CA"/>
              </w:rPr>
              <w:t>c</w:t>
            </w:r>
            <w:r w:rsidRPr="00A75888">
              <w:rPr>
                <w:sz w:val="22"/>
                <w:szCs w:val="22"/>
                <w:lang w:val="fr-CA"/>
              </w:rPr>
              <w:t>cessibilité</w:t>
            </w:r>
            <w:r w:rsidR="00DF5365" w:rsidRPr="00A75888">
              <w:rPr>
                <w:sz w:val="22"/>
                <w:szCs w:val="22"/>
                <w:lang w:val="fr-CA"/>
              </w:rPr>
              <w:t xml:space="preserve"> dans certains lieux du programme</w:t>
            </w:r>
            <w:r w:rsidRPr="00A75888">
              <w:rPr>
                <w:sz w:val="22"/>
                <w:szCs w:val="22"/>
                <w:lang w:val="fr-CA"/>
              </w:rPr>
              <w:t xml:space="preserve"> </w:t>
            </w:r>
          </w:p>
        </w:tc>
        <w:tc>
          <w:tcPr>
            <w:tcW w:w="2774" w:type="dxa"/>
          </w:tcPr>
          <w:p w14:paraId="12A7D1D0" w14:textId="4AC30BA7" w:rsidR="00576592" w:rsidRPr="00A75888" w:rsidRDefault="00DF5365" w:rsidP="004E0120">
            <w:pPr>
              <w:spacing w:after="0" w:line="240" w:lineRule="auto"/>
              <w:ind w:left="0" w:right="0" w:firstLine="0"/>
              <w:rPr>
                <w:sz w:val="22"/>
                <w:szCs w:val="22"/>
                <w:lang w:val="fr-CA"/>
              </w:rPr>
            </w:pPr>
            <w:r w:rsidRPr="00A75888">
              <w:rPr>
                <w:sz w:val="22"/>
                <w:szCs w:val="22"/>
                <w:lang w:val="fr-CA"/>
              </w:rPr>
              <w:t>Réaliser des vérifications de l’environnement bâti. Effectuer une vérification de l’accessibilité de tou</w:t>
            </w:r>
            <w:r w:rsidR="007D5A04" w:rsidRPr="00A75888">
              <w:rPr>
                <w:sz w:val="22"/>
                <w:szCs w:val="22"/>
                <w:lang w:val="fr-CA"/>
              </w:rPr>
              <w:t>te</w:t>
            </w:r>
            <w:r w:rsidRPr="00A75888">
              <w:rPr>
                <w:sz w:val="22"/>
                <w:szCs w:val="22"/>
                <w:lang w:val="fr-CA"/>
              </w:rPr>
              <w:t>s les installations (stationnement, toilettes, entrées, etc.</w:t>
            </w:r>
            <w:r w:rsidR="00104E32">
              <w:rPr>
                <w:sz w:val="22"/>
                <w:szCs w:val="22"/>
                <w:lang w:val="fr-CA"/>
              </w:rPr>
              <w:t>).</w:t>
            </w:r>
            <w:r w:rsidRPr="00A75888">
              <w:rPr>
                <w:sz w:val="22"/>
                <w:szCs w:val="22"/>
                <w:lang w:val="fr-CA"/>
              </w:rPr>
              <w:t xml:space="preserve"> </w:t>
            </w:r>
          </w:p>
        </w:tc>
        <w:tc>
          <w:tcPr>
            <w:tcW w:w="2774" w:type="dxa"/>
          </w:tcPr>
          <w:p w14:paraId="4B28C9B7" w14:textId="455C0D38" w:rsidR="00576592" w:rsidRPr="00A75888" w:rsidRDefault="00DF5365" w:rsidP="004E0120">
            <w:pPr>
              <w:spacing w:after="0" w:line="240" w:lineRule="auto"/>
              <w:ind w:left="0" w:right="0" w:firstLine="0"/>
              <w:rPr>
                <w:sz w:val="22"/>
                <w:szCs w:val="22"/>
                <w:lang w:val="fr-CA"/>
              </w:rPr>
            </w:pPr>
            <w:r w:rsidRPr="00A75888">
              <w:rPr>
                <w:sz w:val="22"/>
                <w:szCs w:val="22"/>
                <w:lang w:val="fr-CA"/>
              </w:rPr>
              <w:t>2026-2028</w:t>
            </w:r>
          </w:p>
        </w:tc>
        <w:tc>
          <w:tcPr>
            <w:tcW w:w="2774" w:type="dxa"/>
          </w:tcPr>
          <w:p w14:paraId="76CF5150" w14:textId="4CBEC9EC" w:rsidR="00576592" w:rsidRPr="00A75888" w:rsidRDefault="00DF5365" w:rsidP="004E0120">
            <w:pPr>
              <w:spacing w:after="0" w:line="240" w:lineRule="auto"/>
              <w:ind w:left="0" w:right="0" w:firstLine="0"/>
              <w:rPr>
                <w:sz w:val="22"/>
                <w:szCs w:val="22"/>
                <w:lang w:val="fr-CA"/>
              </w:rPr>
            </w:pPr>
            <w:r w:rsidRPr="00A75888">
              <w:rPr>
                <w:sz w:val="22"/>
                <w:szCs w:val="22"/>
                <w:lang w:val="fr-CA"/>
              </w:rPr>
              <w:t>En cours</w:t>
            </w:r>
          </w:p>
        </w:tc>
      </w:tr>
      <w:tr w:rsidR="00DF5365" w:rsidRPr="00A75888" w14:paraId="4FAAC518" w14:textId="77777777" w:rsidTr="00576592">
        <w:tc>
          <w:tcPr>
            <w:tcW w:w="2774" w:type="dxa"/>
          </w:tcPr>
          <w:p w14:paraId="480AD7A8" w14:textId="77777777" w:rsidR="00DF5365" w:rsidRPr="00A75888" w:rsidRDefault="00DF5365" w:rsidP="00DF5365">
            <w:pPr>
              <w:spacing w:after="0" w:line="240" w:lineRule="auto"/>
              <w:ind w:left="0" w:right="0" w:firstLine="0"/>
              <w:rPr>
                <w:sz w:val="22"/>
                <w:szCs w:val="22"/>
                <w:lang w:val="fr-CA"/>
              </w:rPr>
            </w:pPr>
            <w:r w:rsidRPr="00A75888">
              <w:rPr>
                <w:sz w:val="22"/>
                <w:szCs w:val="22"/>
                <w:lang w:val="fr-CA"/>
              </w:rPr>
              <w:t>Site Web conforme aux normes WCAG</w:t>
            </w:r>
          </w:p>
          <w:p w14:paraId="3C004ABA" w14:textId="63001761" w:rsidR="00DF5365" w:rsidRPr="00A75888" w:rsidRDefault="00DF5365" w:rsidP="00DF5365">
            <w:pPr>
              <w:spacing w:after="0" w:line="240" w:lineRule="auto"/>
              <w:ind w:left="0" w:right="0" w:firstLine="0"/>
              <w:rPr>
                <w:sz w:val="22"/>
                <w:szCs w:val="22"/>
                <w:lang w:val="fr-CA"/>
              </w:rPr>
            </w:pPr>
            <w:r w:rsidRPr="00A75888">
              <w:rPr>
                <w:sz w:val="22"/>
                <w:szCs w:val="22"/>
                <w:lang w:val="fr-CA"/>
              </w:rPr>
              <w:t>Mise à jour 2.1</w:t>
            </w:r>
          </w:p>
        </w:tc>
        <w:tc>
          <w:tcPr>
            <w:tcW w:w="2774" w:type="dxa"/>
          </w:tcPr>
          <w:p w14:paraId="723F98B6" w14:textId="41F7DC9D" w:rsidR="00DF5365" w:rsidRPr="00A75888" w:rsidRDefault="00DF5365" w:rsidP="00DF5365">
            <w:pPr>
              <w:spacing w:after="0" w:line="240" w:lineRule="auto"/>
              <w:ind w:left="0" w:right="0" w:firstLine="0"/>
              <w:rPr>
                <w:sz w:val="22"/>
                <w:szCs w:val="22"/>
                <w:lang w:val="fr-CA"/>
              </w:rPr>
            </w:pPr>
            <w:r w:rsidRPr="00A75888">
              <w:rPr>
                <w:sz w:val="22"/>
                <w:szCs w:val="22"/>
                <w:lang w:val="fr-CA"/>
              </w:rPr>
              <w:t>Effectuer une vérification du Web et mettre en œuvre des améliorations de l’accessibilité.</w:t>
            </w:r>
          </w:p>
        </w:tc>
        <w:tc>
          <w:tcPr>
            <w:tcW w:w="2774" w:type="dxa"/>
          </w:tcPr>
          <w:p w14:paraId="0CD2617A" w14:textId="09DF5B52" w:rsidR="00DF5365" w:rsidRPr="00A75888" w:rsidRDefault="00DF5365" w:rsidP="004E0120">
            <w:pPr>
              <w:spacing w:after="0" w:line="240" w:lineRule="auto"/>
              <w:ind w:left="0" w:right="0" w:firstLine="0"/>
              <w:rPr>
                <w:sz w:val="22"/>
                <w:szCs w:val="22"/>
                <w:lang w:val="fr-CA"/>
              </w:rPr>
            </w:pPr>
            <w:r w:rsidRPr="00A75888">
              <w:rPr>
                <w:sz w:val="22"/>
                <w:szCs w:val="22"/>
                <w:lang w:val="fr-CA"/>
              </w:rPr>
              <w:t>2026-2028</w:t>
            </w:r>
          </w:p>
        </w:tc>
        <w:tc>
          <w:tcPr>
            <w:tcW w:w="2774" w:type="dxa"/>
          </w:tcPr>
          <w:p w14:paraId="7DF23366" w14:textId="77777777" w:rsidR="00DF5365" w:rsidRPr="00A75888" w:rsidRDefault="00DF5365" w:rsidP="004E0120">
            <w:pPr>
              <w:spacing w:after="0" w:line="240" w:lineRule="auto"/>
              <w:ind w:left="0" w:right="0" w:firstLine="0"/>
              <w:rPr>
                <w:sz w:val="22"/>
                <w:szCs w:val="22"/>
                <w:lang w:val="fr-CA"/>
              </w:rPr>
            </w:pPr>
          </w:p>
        </w:tc>
      </w:tr>
      <w:tr w:rsidR="00DF5365" w:rsidRPr="00A75888" w14:paraId="68423F51" w14:textId="77777777" w:rsidTr="00576592">
        <w:tc>
          <w:tcPr>
            <w:tcW w:w="2774" w:type="dxa"/>
          </w:tcPr>
          <w:p w14:paraId="07D4E80C" w14:textId="283452E7" w:rsidR="00DF5365" w:rsidRPr="00A75888" w:rsidRDefault="001568C0" w:rsidP="00DF5365">
            <w:pPr>
              <w:spacing w:after="0" w:line="240" w:lineRule="auto"/>
              <w:ind w:left="0" w:right="0" w:firstLine="0"/>
              <w:rPr>
                <w:sz w:val="22"/>
                <w:szCs w:val="22"/>
                <w:lang w:val="fr-CA"/>
              </w:rPr>
            </w:pPr>
            <w:r w:rsidRPr="00A75888">
              <w:rPr>
                <w:sz w:val="22"/>
                <w:szCs w:val="22"/>
                <w:lang w:val="fr-CA"/>
              </w:rPr>
              <w:t>Sensibilisation et formation du personnel</w:t>
            </w:r>
          </w:p>
        </w:tc>
        <w:tc>
          <w:tcPr>
            <w:tcW w:w="2774" w:type="dxa"/>
          </w:tcPr>
          <w:p w14:paraId="0DD6C0A5" w14:textId="491615C6" w:rsidR="00DF5365" w:rsidRPr="00A75888" w:rsidRDefault="001568C0" w:rsidP="00DF5365">
            <w:pPr>
              <w:spacing w:after="0" w:line="240" w:lineRule="auto"/>
              <w:ind w:left="0" w:right="0" w:firstLine="0"/>
              <w:rPr>
                <w:sz w:val="22"/>
                <w:szCs w:val="22"/>
                <w:lang w:val="fr-CA"/>
              </w:rPr>
            </w:pPr>
            <w:r w:rsidRPr="00A75888">
              <w:rPr>
                <w:sz w:val="22"/>
                <w:szCs w:val="22"/>
                <w:lang w:val="fr-CA"/>
              </w:rPr>
              <w:t>Assurer un taux de formation de 100 % aux séances annuelles de formation</w:t>
            </w:r>
            <w:r w:rsidR="007D5A04" w:rsidRPr="00A75888">
              <w:rPr>
                <w:sz w:val="22"/>
                <w:szCs w:val="22"/>
                <w:lang w:val="fr-CA"/>
              </w:rPr>
              <w:t>.</w:t>
            </w:r>
          </w:p>
        </w:tc>
        <w:tc>
          <w:tcPr>
            <w:tcW w:w="2774" w:type="dxa"/>
          </w:tcPr>
          <w:p w14:paraId="02A93AD5" w14:textId="0AAEED0D" w:rsidR="00DF5365" w:rsidRPr="00A75888" w:rsidRDefault="001568C0" w:rsidP="004E0120">
            <w:pPr>
              <w:spacing w:after="0" w:line="240" w:lineRule="auto"/>
              <w:ind w:left="0" w:right="0" w:firstLine="0"/>
              <w:rPr>
                <w:lang w:val="fr-CA"/>
              </w:rPr>
            </w:pPr>
            <w:r w:rsidRPr="00A75888">
              <w:rPr>
                <w:lang w:val="fr-CA"/>
              </w:rPr>
              <w:t>En cours</w:t>
            </w:r>
          </w:p>
        </w:tc>
        <w:tc>
          <w:tcPr>
            <w:tcW w:w="2774" w:type="dxa"/>
          </w:tcPr>
          <w:p w14:paraId="3142BC65" w14:textId="4068E437" w:rsidR="00DF5365" w:rsidRPr="00A75888" w:rsidRDefault="001568C0" w:rsidP="004E0120">
            <w:pPr>
              <w:spacing w:after="0" w:line="240" w:lineRule="auto"/>
              <w:ind w:left="0" w:right="0" w:firstLine="0"/>
              <w:rPr>
                <w:lang w:val="fr-CA"/>
              </w:rPr>
            </w:pPr>
            <w:r w:rsidRPr="00A75888">
              <w:rPr>
                <w:lang w:val="fr-CA"/>
              </w:rPr>
              <w:t>Actif</w:t>
            </w:r>
          </w:p>
        </w:tc>
      </w:tr>
      <w:tr w:rsidR="001568C0" w:rsidRPr="00A75888" w14:paraId="70C336CB" w14:textId="77777777" w:rsidTr="00576592">
        <w:tc>
          <w:tcPr>
            <w:tcW w:w="2774" w:type="dxa"/>
          </w:tcPr>
          <w:p w14:paraId="7C6C2D09" w14:textId="7D9E5C0C" w:rsidR="001568C0" w:rsidRPr="00A75888" w:rsidRDefault="001568C0" w:rsidP="00DF5365">
            <w:pPr>
              <w:spacing w:after="0" w:line="240" w:lineRule="auto"/>
              <w:ind w:left="0" w:right="0" w:firstLine="0"/>
              <w:rPr>
                <w:sz w:val="22"/>
                <w:szCs w:val="22"/>
                <w:lang w:val="fr-CA"/>
              </w:rPr>
            </w:pPr>
            <w:r w:rsidRPr="00A75888">
              <w:rPr>
                <w:sz w:val="22"/>
                <w:szCs w:val="22"/>
                <w:lang w:val="fr-CA"/>
              </w:rPr>
              <w:t>Pratiques inclusives d’embauche</w:t>
            </w:r>
          </w:p>
        </w:tc>
        <w:tc>
          <w:tcPr>
            <w:tcW w:w="2774" w:type="dxa"/>
          </w:tcPr>
          <w:p w14:paraId="5D08AB6D" w14:textId="0B655261" w:rsidR="001568C0" w:rsidRPr="00A75888" w:rsidRDefault="001568C0" w:rsidP="00DF5365">
            <w:pPr>
              <w:spacing w:after="0" w:line="240" w:lineRule="auto"/>
              <w:ind w:left="0" w:right="0" w:firstLine="0"/>
              <w:rPr>
                <w:sz w:val="22"/>
                <w:szCs w:val="22"/>
                <w:lang w:val="fr-CA"/>
              </w:rPr>
            </w:pPr>
            <w:r w:rsidRPr="00A75888">
              <w:rPr>
                <w:sz w:val="22"/>
                <w:szCs w:val="22"/>
                <w:lang w:val="fr-CA"/>
              </w:rPr>
              <w:t>Améliorer la représentation et l’embauche inclusive</w:t>
            </w:r>
            <w:r w:rsidR="007D5A04" w:rsidRPr="00A75888">
              <w:rPr>
                <w:sz w:val="22"/>
                <w:szCs w:val="22"/>
                <w:lang w:val="fr-CA"/>
              </w:rPr>
              <w:t>.</w:t>
            </w:r>
          </w:p>
        </w:tc>
        <w:tc>
          <w:tcPr>
            <w:tcW w:w="2774" w:type="dxa"/>
          </w:tcPr>
          <w:p w14:paraId="30A569DD" w14:textId="1164A44C" w:rsidR="001568C0" w:rsidRPr="00A75888" w:rsidRDefault="001568C0" w:rsidP="004E0120">
            <w:pPr>
              <w:spacing w:after="0" w:line="240" w:lineRule="auto"/>
              <w:ind w:left="0" w:right="0" w:firstLine="0"/>
              <w:rPr>
                <w:lang w:val="fr-CA"/>
              </w:rPr>
            </w:pPr>
            <w:r w:rsidRPr="00A75888">
              <w:rPr>
                <w:lang w:val="fr-CA"/>
              </w:rPr>
              <w:t>2027-2028</w:t>
            </w:r>
          </w:p>
        </w:tc>
        <w:tc>
          <w:tcPr>
            <w:tcW w:w="2774" w:type="dxa"/>
          </w:tcPr>
          <w:p w14:paraId="54DB0106" w14:textId="77777777" w:rsidR="001568C0" w:rsidRPr="00A75888" w:rsidRDefault="001568C0" w:rsidP="004E0120">
            <w:pPr>
              <w:spacing w:after="0" w:line="240" w:lineRule="auto"/>
              <w:ind w:left="0" w:right="0" w:firstLine="0"/>
              <w:rPr>
                <w:lang w:val="fr-CA"/>
              </w:rPr>
            </w:pPr>
          </w:p>
        </w:tc>
      </w:tr>
      <w:tr w:rsidR="001568C0" w:rsidRPr="00A75888" w14:paraId="03EED91D" w14:textId="77777777" w:rsidTr="00576592">
        <w:tc>
          <w:tcPr>
            <w:tcW w:w="2774" w:type="dxa"/>
          </w:tcPr>
          <w:p w14:paraId="05C76CAD" w14:textId="12E57D90" w:rsidR="001568C0" w:rsidRPr="00A75888" w:rsidRDefault="001568C0" w:rsidP="00DF5365">
            <w:pPr>
              <w:spacing w:after="0" w:line="240" w:lineRule="auto"/>
              <w:ind w:left="0" w:right="0" w:firstLine="0"/>
              <w:rPr>
                <w:sz w:val="22"/>
                <w:szCs w:val="22"/>
                <w:lang w:val="fr-CA"/>
              </w:rPr>
            </w:pPr>
            <w:r w:rsidRPr="00A75888">
              <w:rPr>
                <w:sz w:val="22"/>
                <w:szCs w:val="22"/>
                <w:lang w:val="fr-CA"/>
              </w:rPr>
              <w:t>Élargissement de la participation communautaire</w:t>
            </w:r>
          </w:p>
        </w:tc>
        <w:tc>
          <w:tcPr>
            <w:tcW w:w="2774" w:type="dxa"/>
          </w:tcPr>
          <w:p w14:paraId="4EA0D953" w14:textId="7EFE3F62" w:rsidR="001568C0" w:rsidRPr="00A75888" w:rsidRDefault="007D5A04" w:rsidP="00DF5365">
            <w:pPr>
              <w:spacing w:after="0" w:line="240" w:lineRule="auto"/>
              <w:ind w:left="0" w:right="0" w:firstLine="0"/>
              <w:rPr>
                <w:sz w:val="22"/>
                <w:szCs w:val="22"/>
                <w:lang w:val="fr-CA"/>
              </w:rPr>
            </w:pPr>
            <w:r w:rsidRPr="00A75888">
              <w:rPr>
                <w:sz w:val="22"/>
                <w:szCs w:val="22"/>
                <w:lang w:val="fr-CA"/>
              </w:rPr>
              <w:t>Créer des groupes de discussion afin d’identifier les obstacles et les solutions reposant sur l’expérience vécue.</w:t>
            </w:r>
          </w:p>
        </w:tc>
        <w:tc>
          <w:tcPr>
            <w:tcW w:w="2774" w:type="dxa"/>
          </w:tcPr>
          <w:p w14:paraId="0BBE3300" w14:textId="6E7696EA" w:rsidR="001568C0" w:rsidRPr="00A75888" w:rsidRDefault="001568C0" w:rsidP="004E0120">
            <w:pPr>
              <w:spacing w:after="0" w:line="240" w:lineRule="auto"/>
              <w:ind w:left="0" w:right="0" w:firstLine="0"/>
              <w:rPr>
                <w:lang w:val="fr-CA"/>
              </w:rPr>
            </w:pPr>
            <w:r w:rsidRPr="00A75888">
              <w:rPr>
                <w:lang w:val="fr-CA"/>
              </w:rPr>
              <w:t>2027-2028</w:t>
            </w:r>
          </w:p>
        </w:tc>
        <w:tc>
          <w:tcPr>
            <w:tcW w:w="2774" w:type="dxa"/>
          </w:tcPr>
          <w:p w14:paraId="1AB7456B" w14:textId="77777777" w:rsidR="001568C0" w:rsidRPr="00A75888" w:rsidRDefault="001568C0" w:rsidP="004E0120">
            <w:pPr>
              <w:spacing w:after="0" w:line="240" w:lineRule="auto"/>
              <w:ind w:left="0" w:right="0" w:firstLine="0"/>
              <w:rPr>
                <w:lang w:val="fr-CA"/>
              </w:rPr>
            </w:pPr>
          </w:p>
        </w:tc>
      </w:tr>
    </w:tbl>
    <w:p w14:paraId="578459A4" w14:textId="77777777" w:rsidR="004E0120" w:rsidRPr="00A75888" w:rsidRDefault="004E0120" w:rsidP="007D5A04">
      <w:pPr>
        <w:spacing w:after="0"/>
        <w:ind w:left="0" w:right="0"/>
        <w:rPr>
          <w:sz w:val="22"/>
          <w:szCs w:val="22"/>
          <w:lang w:val="fr-CA"/>
        </w:rPr>
      </w:pPr>
    </w:p>
    <w:sectPr w:rsidR="004E0120" w:rsidRPr="00A75888" w:rsidSect="001273CD">
      <w:footerReference w:type="even" r:id="rId7"/>
      <w:footerReference w:type="default" r:id="rId8"/>
      <w:footerReference w:type="first" r:id="rId9"/>
      <w:pgSz w:w="12240" w:h="15840"/>
      <w:pgMar w:top="567" w:right="567" w:bottom="567" w:left="567"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F73F" w14:textId="77777777" w:rsidR="00774B69" w:rsidRDefault="00774B69">
      <w:pPr>
        <w:spacing w:after="0" w:line="240" w:lineRule="auto"/>
      </w:pPr>
      <w:r>
        <w:separator/>
      </w:r>
    </w:p>
  </w:endnote>
  <w:endnote w:type="continuationSeparator" w:id="0">
    <w:p w14:paraId="413ED0FC" w14:textId="77777777" w:rsidR="00774B69" w:rsidRDefault="0077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F0CC" w14:textId="77777777" w:rsidR="004E0120" w:rsidRDefault="004E0120">
    <w:pPr>
      <w:spacing w:after="470" w:line="259" w:lineRule="auto"/>
      <w:ind w:left="0" w:right="16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083EA6">
      <w:fldChar w:fldCharType="begin"/>
    </w:r>
    <w:r w:rsidR="00083EA6">
      <w:instrText xml:space="preserve"> NUMPAGES   \* MERGEFORMAT </w:instrText>
    </w:r>
    <w:r w:rsidR="00083EA6">
      <w:fldChar w:fldCharType="separate"/>
    </w:r>
    <w:r>
      <w:rPr>
        <w:b/>
      </w:rPr>
      <w:t>3</w:t>
    </w:r>
    <w:r w:rsidR="00083EA6">
      <w:rPr>
        <w:b/>
      </w:rPr>
      <w:fldChar w:fldCharType="end"/>
    </w:r>
  </w:p>
  <w:p w14:paraId="53FB98A7" w14:textId="77777777" w:rsidR="004E0120" w:rsidRDefault="004E0120">
    <w:pPr>
      <w:tabs>
        <w:tab w:val="center" w:pos="4277"/>
        <w:tab w:val="center" w:pos="8751"/>
      </w:tabs>
      <w:spacing w:after="0" w:line="259" w:lineRule="auto"/>
      <w:ind w:left="0" w:righ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sidR="00083EA6">
      <w:fldChar w:fldCharType="begin"/>
    </w:r>
    <w:r w:rsidR="00083EA6">
      <w:instrText xml:space="preserve"> NUMPAGES   \* MERGEFORMAT </w:instrText>
    </w:r>
    <w:r w:rsidR="00083EA6">
      <w:fldChar w:fldCharType="separate"/>
    </w:r>
    <w:r>
      <w:rPr>
        <w:rFonts w:ascii="Arial" w:eastAsia="Arial" w:hAnsi="Arial" w:cs="Arial"/>
        <w:sz w:val="18"/>
      </w:rPr>
      <w:t>3</w:t>
    </w:r>
    <w:r w:rsidR="00083EA6">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62541"/>
      <w:docPartObj>
        <w:docPartGallery w:val="Page Numbers (Bottom of Page)"/>
        <w:docPartUnique/>
      </w:docPartObj>
    </w:sdtPr>
    <w:sdtEndPr>
      <w:rPr>
        <w:noProof/>
      </w:rPr>
    </w:sdtEndPr>
    <w:sdtContent>
      <w:p w14:paraId="65FFE0CF" w14:textId="1FBA8221" w:rsidR="00083EA6" w:rsidRDefault="00083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B7327B" w14:textId="53FE834C" w:rsidR="004E0120" w:rsidRDefault="004E0120">
    <w:pPr>
      <w:tabs>
        <w:tab w:val="center" w:pos="4277"/>
        <w:tab w:val="center" w:pos="8751"/>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40B9" w14:textId="77777777" w:rsidR="004E0120" w:rsidRDefault="004E0120">
    <w:pPr>
      <w:spacing w:after="470" w:line="259" w:lineRule="auto"/>
      <w:ind w:left="0" w:right="160"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083EA6">
      <w:fldChar w:fldCharType="begin"/>
    </w:r>
    <w:r w:rsidR="00083EA6">
      <w:instrText xml:space="preserve"> NUMPAGES   \* MERGEFORMAT </w:instrText>
    </w:r>
    <w:r w:rsidR="00083EA6">
      <w:fldChar w:fldCharType="separate"/>
    </w:r>
    <w:r>
      <w:rPr>
        <w:b/>
      </w:rPr>
      <w:t>3</w:t>
    </w:r>
    <w:r w:rsidR="00083EA6">
      <w:rPr>
        <w:b/>
      </w:rPr>
      <w:fldChar w:fldCharType="end"/>
    </w:r>
  </w:p>
  <w:p w14:paraId="12AEB2FB" w14:textId="77777777" w:rsidR="004E0120" w:rsidRDefault="004E0120">
    <w:pPr>
      <w:tabs>
        <w:tab w:val="center" w:pos="4277"/>
        <w:tab w:val="center" w:pos="8751"/>
      </w:tabs>
      <w:spacing w:after="0" w:line="259" w:lineRule="auto"/>
      <w:ind w:left="0" w:righ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sidR="00083EA6">
      <w:fldChar w:fldCharType="begin"/>
    </w:r>
    <w:r w:rsidR="00083EA6">
      <w:instrText xml:space="preserve"> NUMPAGES   \* MERGEFORMAT </w:instrText>
    </w:r>
    <w:r w:rsidR="00083EA6">
      <w:fldChar w:fldCharType="separate"/>
    </w:r>
    <w:r>
      <w:rPr>
        <w:rFonts w:ascii="Arial" w:eastAsia="Arial" w:hAnsi="Arial" w:cs="Arial"/>
        <w:sz w:val="18"/>
      </w:rPr>
      <w:t>3</w:t>
    </w:r>
    <w:r w:rsidR="00083EA6">
      <w:rPr>
        <w:rFonts w:ascii="Arial" w:eastAsia="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848E" w14:textId="77777777" w:rsidR="00774B69" w:rsidRDefault="00774B69">
      <w:pPr>
        <w:spacing w:after="0" w:line="240" w:lineRule="auto"/>
      </w:pPr>
      <w:r>
        <w:separator/>
      </w:r>
    </w:p>
  </w:footnote>
  <w:footnote w:type="continuationSeparator" w:id="0">
    <w:p w14:paraId="151182D7" w14:textId="77777777" w:rsidR="00774B69" w:rsidRDefault="00774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C50"/>
    <w:multiLevelType w:val="hybridMultilevel"/>
    <w:tmpl w:val="5F8ACB18"/>
    <w:lvl w:ilvl="0" w:tplc="FCA28B34">
      <w:start w:val="1"/>
      <w:numFmt w:val="bullet"/>
      <w:lvlText w:val="-"/>
      <w:lvlJc w:val="left"/>
      <w:pPr>
        <w:ind w:left="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CAFD0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6EDF1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24EA6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CCF8C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A2D6D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70D95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A58D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DA564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20"/>
    <w:rsid w:val="00083EA6"/>
    <w:rsid w:val="00104E32"/>
    <w:rsid w:val="001273CD"/>
    <w:rsid w:val="001568C0"/>
    <w:rsid w:val="002569A3"/>
    <w:rsid w:val="004E0120"/>
    <w:rsid w:val="0051481E"/>
    <w:rsid w:val="00576592"/>
    <w:rsid w:val="00633D1A"/>
    <w:rsid w:val="007666EC"/>
    <w:rsid w:val="00774B69"/>
    <w:rsid w:val="007D5A04"/>
    <w:rsid w:val="009139D9"/>
    <w:rsid w:val="00A75888"/>
    <w:rsid w:val="00DF5365"/>
    <w:rsid w:val="00E62569"/>
    <w:rsid w:val="00ED588B"/>
    <w:rsid w:val="00FB1C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9438"/>
  <w15:chartTrackingRefBased/>
  <w15:docId w15:val="{76F7BB96-22A2-4EED-85F6-ABC5F57D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120"/>
    <w:pPr>
      <w:spacing w:after="3" w:line="249" w:lineRule="auto"/>
      <w:ind w:left="1372" w:right="143" w:hanging="370"/>
    </w:pPr>
    <w:rPr>
      <w:rFonts w:ascii="Times New Roman" w:eastAsia="Times New Roman" w:hAnsi="Times New Roman" w:cs="Times New Roman"/>
      <w:color w:val="000000"/>
      <w:sz w:val="24"/>
      <w:szCs w:val="24"/>
      <w:lang w:eastAsia="en-CA"/>
    </w:rPr>
  </w:style>
  <w:style w:type="paragraph" w:styleId="Heading1">
    <w:name w:val="heading 1"/>
    <w:basedOn w:val="Normal"/>
    <w:next w:val="Normal"/>
    <w:link w:val="Heading1Char"/>
    <w:uiPriority w:val="9"/>
    <w:qFormat/>
    <w:rsid w:val="004E01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E01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01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E01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01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0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1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E01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E01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E01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01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0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120"/>
    <w:rPr>
      <w:rFonts w:eastAsiaTheme="majorEastAsia" w:cstheme="majorBidi"/>
      <w:color w:val="272727" w:themeColor="text1" w:themeTint="D8"/>
    </w:rPr>
  </w:style>
  <w:style w:type="paragraph" w:styleId="Title">
    <w:name w:val="Title"/>
    <w:basedOn w:val="Normal"/>
    <w:next w:val="Normal"/>
    <w:link w:val="TitleChar"/>
    <w:uiPriority w:val="10"/>
    <w:qFormat/>
    <w:rsid w:val="004E0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120"/>
    <w:pPr>
      <w:numPr>
        <w:ilvl w:val="1"/>
      </w:numPr>
      <w:ind w:left="1372"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120"/>
    <w:pPr>
      <w:spacing w:before="160"/>
      <w:jc w:val="center"/>
    </w:pPr>
    <w:rPr>
      <w:i/>
      <w:iCs/>
      <w:color w:val="404040" w:themeColor="text1" w:themeTint="BF"/>
    </w:rPr>
  </w:style>
  <w:style w:type="character" w:customStyle="1" w:styleId="QuoteChar">
    <w:name w:val="Quote Char"/>
    <w:basedOn w:val="DefaultParagraphFont"/>
    <w:link w:val="Quote"/>
    <w:uiPriority w:val="29"/>
    <w:rsid w:val="004E0120"/>
    <w:rPr>
      <w:i/>
      <w:iCs/>
      <w:color w:val="404040" w:themeColor="text1" w:themeTint="BF"/>
    </w:rPr>
  </w:style>
  <w:style w:type="paragraph" w:styleId="ListParagraph">
    <w:name w:val="List Paragraph"/>
    <w:basedOn w:val="Normal"/>
    <w:uiPriority w:val="34"/>
    <w:qFormat/>
    <w:rsid w:val="004E0120"/>
    <w:pPr>
      <w:ind w:left="720"/>
      <w:contextualSpacing/>
    </w:pPr>
  </w:style>
  <w:style w:type="character" w:styleId="IntenseEmphasis">
    <w:name w:val="Intense Emphasis"/>
    <w:basedOn w:val="DefaultParagraphFont"/>
    <w:uiPriority w:val="21"/>
    <w:qFormat/>
    <w:rsid w:val="004E0120"/>
    <w:rPr>
      <w:i/>
      <w:iCs/>
      <w:color w:val="2E74B5" w:themeColor="accent1" w:themeShade="BF"/>
    </w:rPr>
  </w:style>
  <w:style w:type="paragraph" w:styleId="IntenseQuote">
    <w:name w:val="Intense Quote"/>
    <w:basedOn w:val="Normal"/>
    <w:next w:val="Normal"/>
    <w:link w:val="IntenseQuoteChar"/>
    <w:uiPriority w:val="30"/>
    <w:qFormat/>
    <w:rsid w:val="004E01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0120"/>
    <w:rPr>
      <w:i/>
      <w:iCs/>
      <w:color w:val="2E74B5" w:themeColor="accent1" w:themeShade="BF"/>
    </w:rPr>
  </w:style>
  <w:style w:type="character" w:styleId="IntenseReference">
    <w:name w:val="Intense Reference"/>
    <w:basedOn w:val="DefaultParagraphFont"/>
    <w:uiPriority w:val="32"/>
    <w:qFormat/>
    <w:rsid w:val="004E0120"/>
    <w:rPr>
      <w:b/>
      <w:bCs/>
      <w:smallCaps/>
      <w:color w:val="2E74B5" w:themeColor="accent1" w:themeShade="BF"/>
      <w:spacing w:val="5"/>
    </w:rPr>
  </w:style>
  <w:style w:type="table" w:customStyle="1" w:styleId="TableGrid">
    <w:name w:val="TableGrid"/>
    <w:rsid w:val="004E0120"/>
    <w:pPr>
      <w:spacing w:after="0" w:line="240" w:lineRule="auto"/>
    </w:pPr>
    <w:rPr>
      <w:rFonts w:eastAsiaTheme="minorEastAsia"/>
      <w:sz w:val="24"/>
      <w:szCs w:val="24"/>
      <w:lang w:eastAsia="en-CA"/>
    </w:rPr>
    <w:tblPr>
      <w:tblCellMar>
        <w:top w:w="0" w:type="dxa"/>
        <w:left w:w="0" w:type="dxa"/>
        <w:bottom w:w="0" w:type="dxa"/>
        <w:right w:w="0" w:type="dxa"/>
      </w:tblCellMar>
    </w:tblPr>
  </w:style>
  <w:style w:type="table" w:styleId="TableGrid0">
    <w:name w:val="Table Grid"/>
    <w:basedOn w:val="TableNormal"/>
    <w:uiPriority w:val="39"/>
    <w:rsid w:val="0057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A04"/>
    <w:rPr>
      <w:rFonts w:ascii="Times New Roman" w:eastAsia="Times New Roman" w:hAnsi="Times New Roman" w:cs="Times New Roman"/>
      <w:color w:val="000000"/>
      <w:sz w:val="24"/>
      <w:szCs w:val="24"/>
      <w:lang w:eastAsia="en-CA"/>
    </w:rPr>
  </w:style>
  <w:style w:type="paragraph" w:styleId="Footer">
    <w:name w:val="footer"/>
    <w:basedOn w:val="Normal"/>
    <w:link w:val="FooterChar"/>
    <w:uiPriority w:val="99"/>
    <w:unhideWhenUsed/>
    <w:rsid w:val="00083EA6"/>
    <w:pPr>
      <w:tabs>
        <w:tab w:val="center" w:pos="4680"/>
        <w:tab w:val="right" w:pos="9360"/>
      </w:tabs>
      <w:spacing w:after="0" w:line="240" w:lineRule="auto"/>
      <w:ind w:left="0" w:right="0" w:firstLine="0"/>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083EA6"/>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1230</Words>
  <Characters>7011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SDS</dc:creator>
  <cp:keywords/>
  <dc:description/>
  <cp:lastModifiedBy>Jacinte Martin</cp:lastModifiedBy>
  <cp:revision>2</cp:revision>
  <dcterms:created xsi:type="dcterms:W3CDTF">2026-02-13T19:47:00Z</dcterms:created>
  <dcterms:modified xsi:type="dcterms:W3CDTF">2026-02-13T19:47:00Z</dcterms:modified>
</cp:coreProperties>
</file>