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147A" w14:textId="77777777" w:rsidR="003C7344" w:rsidRDefault="003C7344" w:rsidP="00B65F26">
      <w:pPr>
        <w:spacing w:before="100" w:beforeAutospacing="1" w:after="0" w:line="240" w:lineRule="auto"/>
        <w:ind w:left="577" w:right="0"/>
        <w:rPr>
          <w:rFonts w:ascii="Times New Roman" w:hAnsi="Times New Roman"/>
          <w:b/>
          <w:lang w:val="fr-CA"/>
        </w:rPr>
      </w:pPr>
    </w:p>
    <w:tbl>
      <w:tblPr>
        <w:tblStyle w:val="TableGrid"/>
        <w:tblW w:w="10000" w:type="dxa"/>
        <w:tblInd w:w="850" w:type="dxa"/>
        <w:tblCellMar>
          <w:top w:w="70" w:type="dxa"/>
          <w:right w:w="75" w:type="dxa"/>
        </w:tblCellMar>
        <w:tblLook w:val="04A0" w:firstRow="1" w:lastRow="0" w:firstColumn="1" w:lastColumn="0" w:noHBand="0" w:noVBand="1"/>
      </w:tblPr>
      <w:tblGrid>
        <w:gridCol w:w="1555"/>
        <w:gridCol w:w="2469"/>
        <w:gridCol w:w="1494"/>
        <w:gridCol w:w="1493"/>
        <w:gridCol w:w="1493"/>
        <w:gridCol w:w="1496"/>
      </w:tblGrid>
      <w:tr w:rsidR="003C7344" w:rsidRPr="003C7344" w14:paraId="3502B325" w14:textId="77777777" w:rsidTr="00F36A1A">
        <w:trPr>
          <w:trHeight w:val="348"/>
        </w:trPr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EEEB81C" w14:textId="0A24BEF4" w:rsidR="003C7344" w:rsidRPr="003C7344" w:rsidRDefault="003C7344" w:rsidP="00F36A1A">
            <w:pPr>
              <w:spacing w:after="0" w:line="240" w:lineRule="auto"/>
              <w:ind w:left="233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POLITIQUE </w:t>
            </w:r>
          </w:p>
        </w:tc>
        <w:tc>
          <w:tcPr>
            <w:tcW w:w="849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44F8666" w14:textId="77777777" w:rsidR="003C7344" w:rsidRPr="003C7344" w:rsidRDefault="003C7344" w:rsidP="003C7344">
            <w:pPr>
              <w:spacing w:before="100" w:beforeAutospacing="1" w:after="0" w:line="240" w:lineRule="auto"/>
              <w:ind w:left="577" w:right="0"/>
              <w:rPr>
                <w:rFonts w:ascii="Times New Roman" w:hAnsi="Times New Roman" w:cs="Times New Roman"/>
                <w:b/>
                <w:bCs/>
                <w:szCs w:val="24"/>
                <w:lang w:val="fr-CA"/>
              </w:rPr>
            </w:pPr>
            <w:r w:rsidRPr="003C7344">
              <w:rPr>
                <w:rFonts w:ascii="Times New Roman" w:hAnsi="Times New Roman"/>
                <w:b/>
                <w:lang w:val="fr-CA"/>
              </w:rPr>
              <w:t>Politique sur les dépenses/remboursements et les frais relatifs aux employés</w:t>
            </w:r>
          </w:p>
          <w:p w14:paraId="7719D4B9" w14:textId="060B82C7" w:rsidR="003C7344" w:rsidRPr="003C7344" w:rsidRDefault="003C7344" w:rsidP="00F36A1A">
            <w:pPr>
              <w:spacing w:after="0" w:line="240" w:lineRule="auto"/>
              <w:ind w:left="77" w:right="0" w:firstLine="0"/>
              <w:jc w:val="center"/>
              <w:rPr>
                <w:rFonts w:ascii="Times New Roman" w:hAnsi="Times New Roman" w:cs="Times New Roman"/>
                <w:sz w:val="22"/>
                <w:lang w:val="fr-CA"/>
              </w:rPr>
            </w:pPr>
          </w:p>
        </w:tc>
      </w:tr>
      <w:tr w:rsidR="003C7344" w:rsidRPr="003C7344" w14:paraId="344F1287" w14:textId="77777777" w:rsidTr="00F36A1A">
        <w:trPr>
          <w:trHeight w:val="1059"/>
        </w:trPr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8EE2CB6" w14:textId="77777777" w:rsidR="003C7344" w:rsidRDefault="003C7344" w:rsidP="00F36A1A">
            <w:pPr>
              <w:spacing w:after="0" w:line="240" w:lineRule="auto"/>
              <w:ind w:left="0" w:right="0" w:firstLine="0"/>
              <w:rPr>
                <w:rFonts w:ascii="Times New Roman" w:eastAsia="Arial" w:hAnsi="Times New Roman" w:cs="Times New Roman"/>
                <w:b/>
                <w:sz w:val="22"/>
                <w:lang w:val="fr-CA"/>
              </w:rPr>
            </w:pP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>Politique n</w:t>
            </w:r>
            <w:r w:rsidRPr="003C7344">
              <w:rPr>
                <w:rFonts w:ascii="Times New Roman" w:eastAsia="Arial" w:hAnsi="Times New Roman" w:cs="Times New Roman"/>
                <w:b/>
                <w:sz w:val="22"/>
                <w:vertAlign w:val="superscript"/>
                <w:lang w:val="fr-CA"/>
              </w:rPr>
              <w:t>o</w:t>
            </w: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 : </w:t>
            </w:r>
          </w:p>
          <w:p w14:paraId="11198FD9" w14:textId="77777777" w:rsidR="00712D6C" w:rsidRDefault="00712D6C" w:rsidP="00F36A1A">
            <w:pPr>
              <w:spacing w:after="0" w:line="240" w:lineRule="auto"/>
              <w:ind w:left="0" w:right="0" w:firstLine="0"/>
              <w:rPr>
                <w:rFonts w:ascii="Times New Roman" w:eastAsia="Arial" w:hAnsi="Times New Roman" w:cs="Times New Roman"/>
                <w:b/>
                <w:sz w:val="22"/>
                <w:lang w:val="fr-CA"/>
              </w:rPr>
            </w:pPr>
          </w:p>
          <w:p w14:paraId="4C76B760" w14:textId="77777777" w:rsidR="00712D6C" w:rsidRDefault="00712D6C" w:rsidP="00F36A1A">
            <w:pPr>
              <w:spacing w:after="0" w:line="240" w:lineRule="auto"/>
              <w:ind w:left="0" w:right="0" w:firstLine="0"/>
              <w:rPr>
                <w:rFonts w:ascii="Times New Roman" w:eastAsia="Arial" w:hAnsi="Times New Roman" w:cs="Times New Roman"/>
                <w:b/>
                <w:sz w:val="22"/>
                <w:lang w:val="fr-CA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      </w:t>
            </w:r>
          </w:p>
          <w:p w14:paraId="355A03C2" w14:textId="77777777" w:rsidR="00712D6C" w:rsidRDefault="00712D6C" w:rsidP="00F36A1A">
            <w:pPr>
              <w:spacing w:after="0" w:line="240" w:lineRule="auto"/>
              <w:ind w:left="0" w:right="0" w:firstLine="0"/>
              <w:rPr>
                <w:rFonts w:ascii="Times New Roman" w:eastAsia="Arial" w:hAnsi="Times New Roman" w:cs="Times New Roman"/>
                <w:b/>
                <w:sz w:val="22"/>
                <w:lang w:val="fr-CA"/>
              </w:rPr>
            </w:pPr>
          </w:p>
          <w:p w14:paraId="439F68AF" w14:textId="41E3CD8C" w:rsidR="00712D6C" w:rsidRPr="003C7344" w:rsidRDefault="00712D6C" w:rsidP="00F36A1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       8-8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DE09" w14:textId="4769E194" w:rsidR="003C7344" w:rsidRPr="003C7344" w:rsidRDefault="003C7344" w:rsidP="00F36A1A">
            <w:pPr>
              <w:spacing w:after="479" w:line="240" w:lineRule="auto"/>
              <w:ind w:left="-2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Section : </w:t>
            </w:r>
          </w:p>
          <w:p w14:paraId="2575DEA8" w14:textId="77777777" w:rsidR="003C7344" w:rsidRPr="003C7344" w:rsidRDefault="003C7344" w:rsidP="003C7344">
            <w:pPr>
              <w:spacing w:after="0" w:line="240" w:lineRule="auto"/>
              <w:ind w:left="73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3C7344"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Section 8 – Finance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B8F46" w14:textId="053907E0" w:rsidR="003C7344" w:rsidRPr="003C7344" w:rsidRDefault="003C7344" w:rsidP="00F36A1A">
            <w:pPr>
              <w:spacing w:after="479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Entrée en vigueur : </w:t>
            </w:r>
          </w:p>
          <w:p w14:paraId="28E44BC5" w14:textId="2E6E2212" w:rsidR="003C7344" w:rsidRPr="003C7344" w:rsidRDefault="003C7344" w:rsidP="00F36A1A">
            <w:pPr>
              <w:spacing w:after="0" w:line="240" w:lineRule="auto"/>
              <w:ind w:left="148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3C7344"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1</w:t>
            </w:r>
            <w:r w:rsidRPr="003C7344">
              <w:rPr>
                <w:rFonts w:ascii="Times New Roman" w:eastAsia="Times New Roman" w:hAnsi="Times New Roman" w:cs="Times New Roman"/>
                <w:b/>
                <w:sz w:val="22"/>
                <w:vertAlign w:val="superscript"/>
                <w:lang w:val="fr-CA"/>
              </w:rPr>
              <w:t xml:space="preserve">er </w:t>
            </w:r>
            <w:r w:rsidRPr="003C7344"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novembre 1999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B8827" w14:textId="2EBA88C5" w:rsidR="003C7344" w:rsidRPr="003C7344" w:rsidRDefault="003C7344" w:rsidP="00F36A1A">
            <w:pPr>
              <w:spacing w:after="479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Examen </w:t>
            </w: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: </w:t>
            </w:r>
          </w:p>
          <w:p w14:paraId="5BE313DD" w14:textId="5E9B3045" w:rsidR="003C7344" w:rsidRPr="003C7344" w:rsidRDefault="00712D6C" w:rsidP="00F36A1A">
            <w:pPr>
              <w:spacing w:after="0" w:line="240" w:lineRule="auto"/>
              <w:ind w:left="108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9</w:t>
            </w:r>
            <w:r w:rsidR="003C7344"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 xml:space="preserve"> novembre</w:t>
            </w:r>
            <w:r w:rsidR="003C7344" w:rsidRPr="003C7344"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DDB01" w14:textId="18FB53B7" w:rsidR="003C7344" w:rsidRPr="003C7344" w:rsidRDefault="003C7344" w:rsidP="00F36A1A">
            <w:pPr>
              <w:spacing w:after="479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>R</w:t>
            </w:r>
            <w:r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>évision :</w:t>
            </w:r>
          </w:p>
          <w:p w14:paraId="44478769" w14:textId="6367C96D" w:rsidR="003C7344" w:rsidRPr="003C7344" w:rsidRDefault="00712D6C" w:rsidP="00F36A1A">
            <w:pPr>
              <w:spacing w:after="0" w:line="240" w:lineRule="auto"/>
              <w:ind w:left="95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9</w:t>
            </w:r>
            <w:r w:rsidR="003C7344"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 xml:space="preserve"> novembre </w:t>
            </w:r>
            <w:r w:rsidR="003C7344" w:rsidRPr="003C7344"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9D04" w14:textId="1A742BE3" w:rsidR="003C7344" w:rsidRPr="003C7344" w:rsidRDefault="003C7344" w:rsidP="00F36A1A">
            <w:pPr>
              <w:spacing w:after="479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>Appro</w:t>
            </w:r>
            <w:r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bation </w:t>
            </w:r>
            <w:r w:rsidRPr="003C7344">
              <w:rPr>
                <w:rFonts w:ascii="Times New Roman" w:eastAsia="Arial" w:hAnsi="Times New Roman" w:cs="Times New Roman"/>
                <w:b/>
                <w:sz w:val="22"/>
                <w:lang w:val="fr-CA"/>
              </w:rPr>
              <w:t xml:space="preserve">: </w:t>
            </w:r>
          </w:p>
          <w:p w14:paraId="55EE5C12" w14:textId="6F5C22F9" w:rsidR="003C7344" w:rsidRPr="003C7344" w:rsidRDefault="003C7344" w:rsidP="00F36A1A">
            <w:pPr>
              <w:spacing w:after="0" w:line="240" w:lineRule="auto"/>
              <w:ind w:left="101" w:right="0" w:firstLine="0"/>
              <w:rPr>
                <w:rFonts w:ascii="Times New Roman" w:hAnsi="Times New Roman" w:cs="Times New Roman"/>
                <w:sz w:val="22"/>
                <w:lang w:val="fr-C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val="fr-CA"/>
              </w:rPr>
              <w:t>Directrice générale</w:t>
            </w:r>
          </w:p>
        </w:tc>
      </w:tr>
    </w:tbl>
    <w:p w14:paraId="079268A7" w14:textId="77777777" w:rsidR="00B65F26" w:rsidRPr="003C7344" w:rsidRDefault="00B65F26" w:rsidP="00712D6C">
      <w:pPr>
        <w:spacing w:before="100" w:beforeAutospacing="1" w:after="0" w:line="240" w:lineRule="auto"/>
        <w:ind w:left="720" w:right="0" w:firstLine="0"/>
        <w:rPr>
          <w:rFonts w:ascii="Times New Roman" w:hAnsi="Times New Roman" w:cs="Times New Roman"/>
          <w:b/>
          <w:bCs/>
          <w:lang w:val="fr-CA"/>
        </w:rPr>
      </w:pPr>
      <w:r w:rsidRPr="003C7344">
        <w:rPr>
          <w:rFonts w:ascii="Times New Roman" w:hAnsi="Times New Roman"/>
          <w:b/>
          <w:lang w:val="fr-CA"/>
        </w:rPr>
        <w:t>ÉNONCÉ DE POLITIQUE</w:t>
      </w:r>
    </w:p>
    <w:p w14:paraId="16C5813F" w14:textId="460C2D4B" w:rsidR="00B65F26" w:rsidRPr="00737C66" w:rsidRDefault="00B65F26" w:rsidP="00712D6C">
      <w:pPr>
        <w:spacing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Notre politique s’attache à établir des principes et des règles clairs relatifs au remboursement des frais, en s’assurant que les pratiques sont équitables et cohérentes au sein de</w:t>
      </w:r>
      <w:r w:rsidR="00F14214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</w:t>
      </w:r>
      <w:r w:rsidR="00695B6A">
        <w:rPr>
          <w:rFonts w:ascii="Times New Roman" w:hAnsi="Times New Roman"/>
          <w:lang w:val="fr-CA"/>
        </w:rPr>
        <w:t>Services pour handicaps de développement de Sudbury (</w:t>
      </w:r>
      <w:r w:rsidRPr="00737C66">
        <w:rPr>
          <w:rFonts w:ascii="Times New Roman" w:hAnsi="Times New Roman"/>
          <w:lang w:val="fr-CA"/>
        </w:rPr>
        <w:t>SHDS</w:t>
      </w:r>
      <w:r w:rsidR="00695B6A">
        <w:rPr>
          <w:rFonts w:ascii="Times New Roman" w:hAnsi="Times New Roman"/>
          <w:lang w:val="fr-CA"/>
        </w:rPr>
        <w:t>)</w:t>
      </w:r>
      <w:r w:rsidRPr="00737C66">
        <w:rPr>
          <w:rFonts w:ascii="Times New Roman" w:hAnsi="Times New Roman"/>
          <w:lang w:val="fr-CA"/>
        </w:rPr>
        <w:t>, tout en respectant les exigences légales auxquelles sont soumises les organisations à but non lucratif.</w:t>
      </w:r>
    </w:p>
    <w:p w14:paraId="31FC18AB" w14:textId="0B808AA9" w:rsidR="00B65F26" w:rsidRPr="00737C66" w:rsidRDefault="00B65F26" w:rsidP="00712D6C">
      <w:pPr>
        <w:spacing w:before="100" w:beforeAutospacing="1" w:after="0" w:line="240" w:lineRule="auto"/>
        <w:ind w:left="720" w:right="0" w:firstLine="0"/>
        <w:jc w:val="both"/>
        <w:rPr>
          <w:rFonts w:ascii="Times New Roman" w:hAnsi="Times New Roman" w:cs="Times New Roman"/>
          <w:b/>
          <w:bCs/>
          <w:lang w:val="fr-CA"/>
        </w:rPr>
      </w:pPr>
      <w:r w:rsidRPr="00737C66">
        <w:rPr>
          <w:rFonts w:ascii="Times New Roman" w:hAnsi="Times New Roman"/>
          <w:b/>
          <w:lang w:val="fr-CA"/>
        </w:rPr>
        <w:t>CHAMP D’APPLICATION</w:t>
      </w:r>
    </w:p>
    <w:p w14:paraId="2F4B163D" w14:textId="0C3EDF93" w:rsidR="00B65F26" w:rsidRPr="00737C66" w:rsidRDefault="00B65F26" w:rsidP="00712D6C">
      <w:pPr>
        <w:spacing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Cette politique s’applique à tous les membres de l’équipe de</w:t>
      </w:r>
      <w:r w:rsidR="00F14214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SHDS, qui demandent le remboursement des frais de déplacement, de repas et d’hébergement. Les membres de l’équipe de</w:t>
      </w:r>
      <w:r w:rsidR="00F14214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SHDS englobent le</w:t>
      </w:r>
      <w:r w:rsidR="00695B6A">
        <w:rPr>
          <w:rFonts w:ascii="Times New Roman" w:hAnsi="Times New Roman"/>
          <w:lang w:val="fr-CA"/>
        </w:rPr>
        <w:t xml:space="preserve"> personnel</w:t>
      </w:r>
      <w:r w:rsidRPr="00737C66">
        <w:rPr>
          <w:rFonts w:ascii="Times New Roman" w:hAnsi="Times New Roman"/>
          <w:lang w:val="fr-CA"/>
        </w:rPr>
        <w:t>, les bénévoles, les membres du Conseil d’administration, ainsi que les consultants et les sous-traitants auxquels</w:t>
      </w:r>
      <w:r w:rsidR="00F14214">
        <w:rPr>
          <w:rFonts w:ascii="Times New Roman" w:hAnsi="Times New Roman"/>
          <w:lang w:val="fr-CA"/>
        </w:rPr>
        <w:t xml:space="preserve"> les</w:t>
      </w:r>
      <w:r w:rsidRPr="00737C66">
        <w:rPr>
          <w:rFonts w:ascii="Times New Roman" w:hAnsi="Times New Roman"/>
          <w:lang w:val="fr-CA"/>
        </w:rPr>
        <w:t xml:space="preserve"> SHDS f</w:t>
      </w:r>
      <w:r w:rsidR="00F14214">
        <w:rPr>
          <w:rFonts w:ascii="Times New Roman" w:hAnsi="Times New Roman"/>
          <w:lang w:val="fr-CA"/>
        </w:rPr>
        <w:t>on</w:t>
      </w:r>
      <w:r w:rsidRPr="00737C66">
        <w:rPr>
          <w:rFonts w:ascii="Times New Roman" w:hAnsi="Times New Roman"/>
          <w:lang w:val="fr-CA"/>
        </w:rPr>
        <w:t xml:space="preserve">t appel. Remarque : </w:t>
      </w:r>
      <w:r w:rsidR="00F14214">
        <w:rPr>
          <w:rFonts w:ascii="Times New Roman" w:hAnsi="Times New Roman"/>
          <w:lang w:val="fr-CA"/>
        </w:rPr>
        <w:t>Cette</w:t>
      </w:r>
      <w:r w:rsidRPr="00737C66">
        <w:rPr>
          <w:rFonts w:ascii="Times New Roman" w:hAnsi="Times New Roman"/>
          <w:lang w:val="fr-CA"/>
        </w:rPr>
        <w:t xml:space="preserve"> politique ne </w:t>
      </w:r>
      <w:r w:rsidR="00F14214">
        <w:rPr>
          <w:rFonts w:ascii="Times New Roman" w:hAnsi="Times New Roman"/>
          <w:lang w:val="fr-CA"/>
        </w:rPr>
        <w:t xml:space="preserve">prévaut pas </w:t>
      </w:r>
      <w:r w:rsidRPr="00737C66">
        <w:rPr>
          <w:rFonts w:ascii="Times New Roman" w:hAnsi="Times New Roman"/>
          <w:lang w:val="fr-CA"/>
        </w:rPr>
        <w:t>sur les politiques des organismes subventionnaires externes si elles prévoient des exigences plus strictes.</w:t>
      </w:r>
    </w:p>
    <w:p w14:paraId="6EA0EBE3" w14:textId="77777777" w:rsidR="00B65F26" w:rsidRPr="00737C66" w:rsidRDefault="00B65F26" w:rsidP="00712D6C">
      <w:pPr>
        <w:spacing w:before="100" w:beforeAutospacing="1" w:after="0" w:line="240" w:lineRule="auto"/>
        <w:ind w:left="720" w:right="0" w:firstLine="0"/>
        <w:rPr>
          <w:rFonts w:ascii="Times New Roman" w:hAnsi="Times New Roman" w:cs="Times New Roman"/>
          <w:b/>
          <w:bCs/>
          <w:lang w:val="fr-CA"/>
        </w:rPr>
      </w:pPr>
      <w:r w:rsidRPr="00737C66">
        <w:rPr>
          <w:rFonts w:ascii="Times New Roman" w:hAnsi="Times New Roman"/>
          <w:b/>
          <w:lang w:val="fr-CA"/>
        </w:rPr>
        <w:t>PROCÉDURE</w:t>
      </w:r>
    </w:p>
    <w:p w14:paraId="2E86597A" w14:textId="77777777" w:rsidR="00B65F26" w:rsidRPr="00737C66" w:rsidRDefault="00B65F26" w:rsidP="00712D6C">
      <w:pPr>
        <w:spacing w:after="0" w:line="240" w:lineRule="auto"/>
        <w:ind w:left="720" w:right="0" w:firstLine="0"/>
        <w:rPr>
          <w:rFonts w:ascii="Times New Roman" w:hAnsi="Times New Roman" w:cs="Times New Roman"/>
          <w:b/>
          <w:bCs/>
          <w:lang w:val="fr-CA"/>
        </w:rPr>
      </w:pPr>
    </w:p>
    <w:p w14:paraId="73237A74" w14:textId="77777777" w:rsidR="00B65F26" w:rsidRPr="00737C66" w:rsidRDefault="00B65F26" w:rsidP="00712D6C">
      <w:pPr>
        <w:spacing w:after="0" w:line="240" w:lineRule="auto"/>
        <w:ind w:left="720" w:right="0" w:firstLine="0"/>
        <w:rPr>
          <w:rFonts w:ascii="Times New Roman" w:hAnsi="Times New Roman" w:cs="Times New Roman"/>
          <w:b/>
          <w:bCs/>
          <w:lang w:val="fr-CA"/>
        </w:rPr>
      </w:pPr>
      <w:r w:rsidRPr="00737C66">
        <w:rPr>
          <w:rFonts w:ascii="Times New Roman" w:hAnsi="Times New Roman"/>
          <w:b/>
          <w:lang w:val="fr-CA"/>
        </w:rPr>
        <w:t>Tous les frais de déplacement, de repas, d’hébergement et d’accueil doivent :</w:t>
      </w:r>
    </w:p>
    <w:p w14:paraId="331DABE1" w14:textId="77777777" w:rsidR="00B65F26" w:rsidRPr="00737C66" w:rsidRDefault="00B65F26" w:rsidP="00B65F2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Times New Roman" w:hAnsi="Times New Roman" w:cs="Times New Roman"/>
          <w:lang w:val="fr-CA"/>
        </w:rPr>
      </w:pPr>
      <w:proofErr w:type="gramStart"/>
      <w:r w:rsidRPr="00737C66">
        <w:rPr>
          <w:rFonts w:ascii="Times New Roman" w:hAnsi="Times New Roman"/>
          <w:lang w:val="fr-CA"/>
        </w:rPr>
        <w:t>être</w:t>
      </w:r>
      <w:proofErr w:type="gramEnd"/>
      <w:r w:rsidRPr="00737C66">
        <w:rPr>
          <w:rFonts w:ascii="Times New Roman" w:hAnsi="Times New Roman"/>
          <w:lang w:val="fr-CA"/>
        </w:rPr>
        <w:t xml:space="preserve"> prudents et responsables, la reddition de comptes et la transparence étant un souci de premier plan;</w:t>
      </w:r>
    </w:p>
    <w:p w14:paraId="14579468" w14:textId="12144D2D" w:rsidR="00B65F26" w:rsidRPr="00737C66" w:rsidRDefault="00B65F26" w:rsidP="00B65F2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Times New Roman" w:hAnsi="Times New Roman" w:cs="Times New Roman"/>
          <w:lang w:val="fr-CA"/>
        </w:rPr>
      </w:pPr>
      <w:proofErr w:type="gramStart"/>
      <w:r w:rsidRPr="00737C66">
        <w:rPr>
          <w:rFonts w:ascii="Times New Roman" w:hAnsi="Times New Roman"/>
          <w:lang w:val="fr-CA"/>
        </w:rPr>
        <w:t>contribuer</w:t>
      </w:r>
      <w:proofErr w:type="gramEnd"/>
      <w:r w:rsidRPr="00737C66">
        <w:rPr>
          <w:rFonts w:ascii="Times New Roman" w:hAnsi="Times New Roman"/>
          <w:lang w:val="fr-CA"/>
        </w:rPr>
        <w:t xml:space="preserve"> aux objectifs opérationnels de</w:t>
      </w:r>
      <w:r w:rsidR="00F14214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SHDS;</w:t>
      </w:r>
    </w:p>
    <w:p w14:paraId="7EE5200F" w14:textId="77777777" w:rsidR="00B65F26" w:rsidRPr="00737C66" w:rsidRDefault="00B65F26" w:rsidP="00B65F2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Times New Roman" w:hAnsi="Times New Roman" w:cs="Times New Roman"/>
          <w:lang w:val="fr-CA"/>
        </w:rPr>
      </w:pPr>
      <w:proofErr w:type="gramStart"/>
      <w:r w:rsidRPr="00737C66">
        <w:rPr>
          <w:rFonts w:ascii="Times New Roman" w:hAnsi="Times New Roman"/>
          <w:lang w:val="fr-CA"/>
        </w:rPr>
        <w:t>être</w:t>
      </w:r>
      <w:proofErr w:type="gramEnd"/>
      <w:r w:rsidRPr="00737C66">
        <w:rPr>
          <w:rFonts w:ascii="Times New Roman" w:hAnsi="Times New Roman"/>
          <w:lang w:val="fr-CA"/>
        </w:rPr>
        <w:t xml:space="preserve"> planifiés et approuvés avant d’être occasionnés;</w:t>
      </w:r>
    </w:p>
    <w:p w14:paraId="370BEE30" w14:textId="77777777" w:rsidR="00B65F26" w:rsidRPr="00737C66" w:rsidRDefault="00B65F26" w:rsidP="00B65F2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Times New Roman" w:hAnsi="Times New Roman" w:cs="Times New Roman"/>
          <w:lang w:val="fr-CA"/>
        </w:rPr>
      </w:pPr>
      <w:proofErr w:type="gramStart"/>
      <w:r w:rsidRPr="00737C66">
        <w:rPr>
          <w:rFonts w:ascii="Times New Roman" w:hAnsi="Times New Roman"/>
          <w:lang w:val="fr-CA"/>
        </w:rPr>
        <w:t>tenir</w:t>
      </w:r>
      <w:proofErr w:type="gramEnd"/>
      <w:r w:rsidRPr="00737C66">
        <w:rPr>
          <w:rFonts w:ascii="Times New Roman" w:hAnsi="Times New Roman"/>
          <w:lang w:val="fr-CA"/>
        </w:rPr>
        <w:t xml:space="preserve"> dûment compte de la santé et de la sécurité.  </w:t>
      </w:r>
    </w:p>
    <w:p w14:paraId="5FBD8253" w14:textId="21855725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Le remboursement des frais doit se conformer aux directives établies par </w:t>
      </w:r>
      <w:r w:rsidR="00F14214">
        <w:rPr>
          <w:rFonts w:ascii="Times New Roman" w:hAnsi="Times New Roman"/>
          <w:lang w:val="fr-CA"/>
        </w:rPr>
        <w:t xml:space="preserve">les </w:t>
      </w:r>
      <w:r w:rsidRPr="00737C66">
        <w:rPr>
          <w:rFonts w:ascii="Times New Roman" w:hAnsi="Times New Roman"/>
          <w:lang w:val="fr-CA"/>
        </w:rPr>
        <w:t>SHDS.</w:t>
      </w:r>
    </w:p>
    <w:p w14:paraId="043D90A9" w14:textId="669248C0" w:rsidR="00B65F26" w:rsidRPr="00737C66" w:rsidRDefault="00F14214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/>
          <w:lang w:val="fr-CA"/>
        </w:rPr>
        <w:t>Cette</w:t>
      </w:r>
      <w:r w:rsidR="00B65F26" w:rsidRPr="00737C66">
        <w:rPr>
          <w:rFonts w:ascii="Times New Roman" w:hAnsi="Times New Roman"/>
          <w:lang w:val="fr-CA"/>
        </w:rPr>
        <w:t xml:space="preserve"> politique s’aligne sur la Politique d’approvisionnement dans le secteur parapublic de</w:t>
      </w:r>
      <w:r>
        <w:rPr>
          <w:rFonts w:ascii="Times New Roman" w:hAnsi="Times New Roman"/>
          <w:lang w:val="fr-CA"/>
        </w:rPr>
        <w:t>s</w:t>
      </w:r>
      <w:r w:rsidR="00B65F26" w:rsidRPr="00737C66">
        <w:rPr>
          <w:rFonts w:ascii="Times New Roman" w:hAnsi="Times New Roman"/>
          <w:lang w:val="fr-CA"/>
        </w:rPr>
        <w:t xml:space="preserve"> SHDS et la directive du</w:t>
      </w:r>
      <w:r w:rsidR="002309CE">
        <w:rPr>
          <w:rFonts w:ascii="Times New Roman" w:hAnsi="Times New Roman"/>
          <w:lang w:val="fr-CA"/>
        </w:rPr>
        <w:t xml:space="preserve"> </w:t>
      </w:r>
      <w:r w:rsidR="002309CE" w:rsidRPr="003D232D">
        <w:rPr>
          <w:rFonts w:ascii="Times New Roman" w:hAnsi="Times New Roman"/>
          <w:lang w:val="fr-CA"/>
        </w:rPr>
        <w:t>M</w:t>
      </w:r>
      <w:r w:rsidR="002309CE">
        <w:rPr>
          <w:rFonts w:ascii="Times New Roman" w:hAnsi="Times New Roman"/>
          <w:lang w:val="fr-CA"/>
        </w:rPr>
        <w:t>SESSC</w:t>
      </w:r>
      <w:r w:rsidR="00B65F26" w:rsidRPr="00737C66">
        <w:rPr>
          <w:rFonts w:ascii="Times New Roman" w:hAnsi="Times New Roman"/>
          <w:lang w:val="fr-CA"/>
        </w:rPr>
        <w:t xml:space="preserve"> en matière de frais.</w:t>
      </w:r>
    </w:p>
    <w:p w14:paraId="48E34317" w14:textId="6849FE5A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Les événements-réception en soutien légitime des activités de</w:t>
      </w:r>
      <w:r w:rsidR="00F14214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SHDS, </w:t>
      </w:r>
      <w:r w:rsidR="00F14214">
        <w:rPr>
          <w:rFonts w:ascii="Times New Roman" w:hAnsi="Times New Roman"/>
          <w:lang w:val="fr-CA"/>
        </w:rPr>
        <w:t>comme</w:t>
      </w:r>
      <w:r w:rsidRPr="00737C66">
        <w:rPr>
          <w:rFonts w:ascii="Times New Roman" w:hAnsi="Times New Roman"/>
          <w:lang w:val="fr-CA"/>
        </w:rPr>
        <w:t xml:space="preserve"> les marques de reconnaissance envers des employés et les </w:t>
      </w:r>
      <w:r w:rsidR="00F14214">
        <w:rPr>
          <w:rFonts w:ascii="Times New Roman" w:hAnsi="Times New Roman"/>
          <w:lang w:val="fr-CA"/>
        </w:rPr>
        <w:t>repas</w:t>
      </w:r>
      <w:r w:rsidRPr="00737C66">
        <w:rPr>
          <w:rFonts w:ascii="Times New Roman" w:hAnsi="Times New Roman"/>
          <w:lang w:val="fr-CA"/>
        </w:rPr>
        <w:t xml:space="preserve"> de travail, pourraient faire l’objet de remboursement sur approbation.</w:t>
      </w:r>
    </w:p>
    <w:p w14:paraId="51919CD3" w14:textId="77777777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La tenue de dossiers en bonne et due forme doit être respectée à des fins de vérification et d’audit. </w:t>
      </w:r>
    </w:p>
    <w:p w14:paraId="5A3A31D4" w14:textId="77777777" w:rsidR="00B65F26" w:rsidRPr="00737C66" w:rsidRDefault="00B65F26" w:rsidP="00712D6C">
      <w:pPr>
        <w:spacing w:before="100" w:beforeAutospacing="1" w:after="0" w:line="240" w:lineRule="auto"/>
        <w:ind w:left="720" w:right="0" w:firstLine="0"/>
        <w:rPr>
          <w:rFonts w:ascii="Times New Roman" w:hAnsi="Times New Roman" w:cs="Times New Roman"/>
          <w:b/>
          <w:bCs/>
          <w:u w:val="single"/>
          <w:lang w:val="fr-CA"/>
        </w:rPr>
      </w:pPr>
      <w:r w:rsidRPr="00737C66">
        <w:rPr>
          <w:rFonts w:ascii="Times New Roman" w:hAnsi="Times New Roman"/>
          <w:b/>
          <w:u w:val="single"/>
          <w:lang w:val="fr-CA"/>
        </w:rPr>
        <w:t>Kilométrage</w:t>
      </w:r>
    </w:p>
    <w:p w14:paraId="0596706E" w14:textId="28E67D26" w:rsidR="00B65F26" w:rsidRPr="00737C66" w:rsidRDefault="00B65F26" w:rsidP="00712D6C">
      <w:pPr>
        <w:spacing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Le kilométrage sera </w:t>
      </w:r>
      <w:r w:rsidR="00F14214">
        <w:rPr>
          <w:rFonts w:ascii="Times New Roman" w:hAnsi="Times New Roman"/>
          <w:lang w:val="fr-CA"/>
        </w:rPr>
        <w:t>payé</w:t>
      </w:r>
      <w:r w:rsidRPr="00737C66">
        <w:rPr>
          <w:rFonts w:ascii="Times New Roman" w:hAnsi="Times New Roman"/>
          <w:lang w:val="fr-CA"/>
        </w:rPr>
        <w:t xml:space="preserve"> aux </w:t>
      </w:r>
      <w:r w:rsidR="00F14214">
        <w:rPr>
          <w:rFonts w:ascii="Times New Roman" w:hAnsi="Times New Roman"/>
          <w:lang w:val="fr-CA"/>
        </w:rPr>
        <w:t>membres</w:t>
      </w:r>
      <w:r w:rsidRPr="00737C66">
        <w:rPr>
          <w:rFonts w:ascii="Times New Roman" w:hAnsi="Times New Roman"/>
          <w:lang w:val="fr-CA"/>
        </w:rPr>
        <w:t xml:space="preserve"> admissibles </w:t>
      </w:r>
      <w:r w:rsidR="00F14214">
        <w:rPr>
          <w:rFonts w:ascii="Times New Roman" w:hAnsi="Times New Roman"/>
          <w:lang w:val="fr-CA"/>
        </w:rPr>
        <w:t xml:space="preserve">du personnel </w:t>
      </w:r>
      <w:r w:rsidRPr="00737C66">
        <w:rPr>
          <w:rFonts w:ascii="Times New Roman" w:hAnsi="Times New Roman"/>
          <w:lang w:val="fr-CA"/>
        </w:rPr>
        <w:t xml:space="preserve">qui se servent de leur propre véhicule aux fins de l’organisme et qui en ont reçu l’autorisation en vertu de la Politique de conduite sécuritaire. </w:t>
      </w:r>
    </w:p>
    <w:p w14:paraId="7763DA57" w14:textId="77777777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Le taux du kilométrage sera stipulé dans la Convention collective.</w:t>
      </w:r>
    </w:p>
    <w:p w14:paraId="4C73381D" w14:textId="77777777" w:rsidR="00712D6C" w:rsidRDefault="00712D6C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/>
          <w:lang w:val="fr-CA"/>
        </w:rPr>
      </w:pPr>
    </w:p>
    <w:p w14:paraId="5F0ADA39" w14:textId="77777777" w:rsidR="00712D6C" w:rsidRDefault="00712D6C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/>
          <w:lang w:val="fr-CA"/>
        </w:rPr>
      </w:pPr>
    </w:p>
    <w:p w14:paraId="69E26BC0" w14:textId="77777777" w:rsidR="00712D6C" w:rsidRDefault="00712D6C" w:rsidP="00712D6C">
      <w:pPr>
        <w:spacing w:before="100" w:beforeAutospacing="1" w:after="100" w:afterAutospacing="1" w:line="240" w:lineRule="auto"/>
        <w:ind w:left="720" w:right="0" w:firstLine="0"/>
        <w:rPr>
          <w:rFonts w:ascii="Times New Roman" w:hAnsi="Times New Roman"/>
          <w:lang w:val="fr-CA"/>
        </w:rPr>
      </w:pPr>
    </w:p>
    <w:p w14:paraId="4CBC2627" w14:textId="3E62A861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La demande de remboursement du kilométrage de véhicules personnels, dûment autorisés aux fins de l’organisme, peut se faire sur un formulaire prévu à cet effet.</w:t>
      </w:r>
    </w:p>
    <w:p w14:paraId="69108B65" w14:textId="3DD3CD26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Le formulaire de kilométrage doit indiquer où s’est rendu l</w:t>
      </w:r>
      <w:r w:rsidR="00F14214">
        <w:rPr>
          <w:rFonts w:ascii="Times New Roman" w:hAnsi="Times New Roman"/>
          <w:lang w:val="fr-CA"/>
        </w:rPr>
        <w:t>e membre du personnel</w:t>
      </w:r>
      <w:r w:rsidRPr="00737C66">
        <w:rPr>
          <w:rFonts w:ascii="Times New Roman" w:hAnsi="Times New Roman"/>
          <w:lang w:val="fr-CA"/>
        </w:rPr>
        <w:t xml:space="preserve"> (le lieu) et la date du déplacement, ainsi que le kilométrage réclamé.  </w:t>
      </w:r>
    </w:p>
    <w:p w14:paraId="3AC08ABE" w14:textId="004028A5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Toutes les demandes soumises doivent être dûment autorisées avant d’être </w:t>
      </w:r>
      <w:r w:rsidR="00F14214">
        <w:rPr>
          <w:rFonts w:ascii="Times New Roman" w:hAnsi="Times New Roman"/>
          <w:lang w:val="fr-CA"/>
        </w:rPr>
        <w:t>transmis</w:t>
      </w:r>
      <w:r w:rsidRPr="00737C66">
        <w:rPr>
          <w:rFonts w:ascii="Times New Roman" w:hAnsi="Times New Roman"/>
          <w:lang w:val="fr-CA"/>
        </w:rPr>
        <w:t xml:space="preserve">es au Service des finances (Comptes </w:t>
      </w:r>
      <w:r w:rsidR="00F14214">
        <w:rPr>
          <w:rFonts w:ascii="Times New Roman" w:hAnsi="Times New Roman"/>
          <w:lang w:val="fr-CA"/>
        </w:rPr>
        <w:t>crédite</w:t>
      </w:r>
      <w:r w:rsidRPr="00737C66">
        <w:rPr>
          <w:rFonts w:ascii="Times New Roman" w:hAnsi="Times New Roman"/>
          <w:lang w:val="fr-CA"/>
        </w:rPr>
        <w:t>urs). L</w:t>
      </w:r>
      <w:r w:rsidR="00F14214">
        <w:rPr>
          <w:rFonts w:ascii="Times New Roman" w:hAnsi="Times New Roman"/>
          <w:lang w:val="fr-CA"/>
        </w:rPr>
        <w:t>e membre du personnel</w:t>
      </w:r>
      <w:r w:rsidRPr="00737C66">
        <w:rPr>
          <w:rFonts w:ascii="Times New Roman" w:hAnsi="Times New Roman"/>
          <w:lang w:val="fr-CA"/>
        </w:rPr>
        <w:t xml:space="preserve"> doit signer le formulaire, attestant </w:t>
      </w:r>
      <w:r w:rsidR="00F14214">
        <w:rPr>
          <w:rFonts w:ascii="Times New Roman" w:hAnsi="Times New Roman"/>
          <w:lang w:val="fr-CA"/>
        </w:rPr>
        <w:t>d</w:t>
      </w:r>
      <w:r w:rsidRPr="00737C66">
        <w:rPr>
          <w:rFonts w:ascii="Times New Roman" w:hAnsi="Times New Roman"/>
          <w:lang w:val="fr-CA"/>
        </w:rPr>
        <w:t>u bien-fondé de la demande, et le gestionnaire l’approuvera par sa signature.</w:t>
      </w:r>
    </w:p>
    <w:p w14:paraId="079767D4" w14:textId="10211CEC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La demande de remboursement du kilométrage, couvrant le mois précédent, est soumise le premier lundi du mois suivant. Les demandes de remboursement ne devraient recouvrer que le kilométrage réclam</w:t>
      </w:r>
      <w:r w:rsidR="00084588">
        <w:rPr>
          <w:rFonts w:ascii="Times New Roman" w:hAnsi="Times New Roman"/>
          <w:lang w:val="fr-CA"/>
        </w:rPr>
        <w:t>é</w:t>
      </w:r>
      <w:r w:rsidRPr="00737C66">
        <w:rPr>
          <w:rFonts w:ascii="Times New Roman" w:hAnsi="Times New Roman"/>
          <w:lang w:val="fr-CA"/>
        </w:rPr>
        <w:t xml:space="preserve"> sur trois (3) mois </w:t>
      </w:r>
      <w:r w:rsidR="00F14214">
        <w:rPr>
          <w:rFonts w:ascii="Times New Roman" w:hAnsi="Times New Roman"/>
          <w:lang w:val="fr-CA"/>
        </w:rPr>
        <w:t xml:space="preserve">au </w:t>
      </w:r>
      <w:r w:rsidRPr="00737C66">
        <w:rPr>
          <w:rFonts w:ascii="Times New Roman" w:hAnsi="Times New Roman"/>
          <w:lang w:val="fr-CA"/>
        </w:rPr>
        <w:t>maximum.</w:t>
      </w:r>
    </w:p>
    <w:p w14:paraId="5676EA75" w14:textId="1BB9EDFC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Toute demande de remboursement de frais de stationnement, faite </w:t>
      </w:r>
      <w:r w:rsidR="002309CE">
        <w:rPr>
          <w:rFonts w:ascii="Times New Roman" w:hAnsi="Times New Roman"/>
          <w:lang w:val="fr-CA"/>
        </w:rPr>
        <w:t>sur le</w:t>
      </w:r>
      <w:r w:rsidRPr="00737C66">
        <w:rPr>
          <w:rFonts w:ascii="Times New Roman" w:hAnsi="Times New Roman"/>
          <w:lang w:val="fr-CA"/>
        </w:rPr>
        <w:t xml:space="preserve"> </w:t>
      </w:r>
      <w:r w:rsidRPr="002309CE">
        <w:rPr>
          <w:rFonts w:ascii="Times New Roman" w:hAnsi="Times New Roman"/>
          <w:b/>
          <w:bCs/>
          <w:lang w:val="fr-CA"/>
        </w:rPr>
        <w:t>formulaire de kilométrage</w:t>
      </w:r>
      <w:r w:rsidRPr="00737C66">
        <w:rPr>
          <w:rFonts w:ascii="Times New Roman" w:hAnsi="Times New Roman"/>
          <w:lang w:val="fr-CA"/>
        </w:rPr>
        <w:t xml:space="preserve">, doit être accompagnée d’un reçu.  </w:t>
      </w:r>
    </w:p>
    <w:p w14:paraId="2B0D7E6B" w14:textId="6313C093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Le remboursement se fera par </w:t>
      </w:r>
      <w:r w:rsidR="002309CE">
        <w:rPr>
          <w:rFonts w:ascii="Times New Roman" w:hAnsi="Times New Roman"/>
          <w:lang w:val="fr-CA"/>
        </w:rPr>
        <w:t xml:space="preserve">le </w:t>
      </w:r>
      <w:r w:rsidRPr="00737C66">
        <w:rPr>
          <w:rFonts w:ascii="Times New Roman" w:hAnsi="Times New Roman"/>
          <w:lang w:val="fr-CA"/>
        </w:rPr>
        <w:t xml:space="preserve">TEF (transfert électronique de fonds) ou </w:t>
      </w:r>
      <w:r w:rsidR="00695B6A">
        <w:rPr>
          <w:rFonts w:ascii="Times New Roman" w:hAnsi="Times New Roman"/>
          <w:lang w:val="fr-CA"/>
        </w:rPr>
        <w:t xml:space="preserve">par </w:t>
      </w:r>
      <w:r w:rsidRPr="00737C66">
        <w:rPr>
          <w:rFonts w:ascii="Times New Roman" w:hAnsi="Times New Roman"/>
          <w:lang w:val="fr-CA"/>
        </w:rPr>
        <w:t xml:space="preserve">chèque, la distribution devant être prête à l’émission de la prochaine série de chèques.  </w:t>
      </w:r>
    </w:p>
    <w:p w14:paraId="3FB7A8A3" w14:textId="77777777" w:rsidR="00B65F26" w:rsidRPr="00737C66" w:rsidRDefault="00B65F26" w:rsidP="00712D6C">
      <w:pPr>
        <w:spacing w:before="100" w:beforeAutospacing="1" w:after="0" w:line="240" w:lineRule="auto"/>
        <w:ind w:left="720" w:right="0" w:firstLine="0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 w:rsidRPr="00737C66">
        <w:rPr>
          <w:rFonts w:ascii="Times New Roman" w:hAnsi="Times New Roman"/>
          <w:b/>
          <w:u w:val="single"/>
          <w:lang w:val="fr-CA"/>
        </w:rPr>
        <w:t>Déplacements hors de la ville</w:t>
      </w:r>
    </w:p>
    <w:p w14:paraId="03CD3FEC" w14:textId="482670EF" w:rsidR="00B65F26" w:rsidRPr="00737C66" w:rsidRDefault="00B65F26" w:rsidP="00712D6C">
      <w:pPr>
        <w:spacing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L’indemnité de repas pour déplacements d’affaires hors de la ville est indiquée dans la Convention collective.</w:t>
      </w:r>
    </w:p>
    <w:p w14:paraId="7419F7E1" w14:textId="77777777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Tout montant réglé par carte de crédit doit être étayé par des reçus. </w:t>
      </w:r>
    </w:p>
    <w:p w14:paraId="234766F4" w14:textId="04BE0861" w:rsidR="00B65F26" w:rsidRPr="00737C66" w:rsidRDefault="002309CE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/>
          <w:lang w:val="fr-CA"/>
        </w:rPr>
        <w:t>L</w:t>
      </w:r>
      <w:r w:rsidR="00B65F26" w:rsidRPr="00737C66">
        <w:rPr>
          <w:rFonts w:ascii="Times New Roman" w:hAnsi="Times New Roman"/>
          <w:lang w:val="fr-CA"/>
        </w:rPr>
        <w:t>es membres de l’équipe de</w:t>
      </w:r>
      <w:r>
        <w:rPr>
          <w:rFonts w:ascii="Times New Roman" w:hAnsi="Times New Roman"/>
          <w:lang w:val="fr-CA"/>
        </w:rPr>
        <w:t>s</w:t>
      </w:r>
      <w:r w:rsidR="00B65F26" w:rsidRPr="00737C66">
        <w:rPr>
          <w:rFonts w:ascii="Times New Roman" w:hAnsi="Times New Roman"/>
          <w:lang w:val="fr-CA"/>
        </w:rPr>
        <w:t xml:space="preserve"> SHDS </w:t>
      </w:r>
      <w:r>
        <w:rPr>
          <w:rFonts w:ascii="Times New Roman" w:hAnsi="Times New Roman"/>
          <w:lang w:val="fr-CA"/>
        </w:rPr>
        <w:t>qui</w:t>
      </w:r>
      <w:r w:rsidRPr="00737C66">
        <w:rPr>
          <w:rFonts w:ascii="Times New Roman" w:hAnsi="Times New Roman"/>
          <w:lang w:val="fr-CA"/>
        </w:rPr>
        <w:t xml:space="preserve"> demandent </w:t>
      </w:r>
      <w:r>
        <w:rPr>
          <w:rFonts w:ascii="Times New Roman" w:hAnsi="Times New Roman"/>
          <w:lang w:val="fr-CA"/>
        </w:rPr>
        <w:t>un</w:t>
      </w:r>
      <w:r w:rsidRPr="00737C66">
        <w:rPr>
          <w:rFonts w:ascii="Times New Roman" w:hAnsi="Times New Roman"/>
          <w:lang w:val="fr-CA"/>
        </w:rPr>
        <w:t xml:space="preserve"> remboursement</w:t>
      </w:r>
      <w:r>
        <w:rPr>
          <w:rFonts w:ascii="Times New Roman" w:hAnsi="Times New Roman"/>
          <w:lang w:val="fr-CA"/>
        </w:rPr>
        <w:t xml:space="preserve"> </w:t>
      </w:r>
      <w:r w:rsidR="00B65F26" w:rsidRPr="00737C66">
        <w:rPr>
          <w:rFonts w:ascii="Times New Roman" w:hAnsi="Times New Roman"/>
          <w:lang w:val="fr-CA"/>
        </w:rPr>
        <w:t xml:space="preserve">doivent remplir </w:t>
      </w:r>
      <w:r>
        <w:rPr>
          <w:rFonts w:ascii="Times New Roman" w:hAnsi="Times New Roman"/>
          <w:lang w:val="fr-CA"/>
        </w:rPr>
        <w:t xml:space="preserve">le </w:t>
      </w:r>
      <w:r w:rsidRPr="002309CE">
        <w:rPr>
          <w:rFonts w:ascii="Times New Roman" w:hAnsi="Times New Roman"/>
          <w:b/>
          <w:bCs/>
          <w:lang w:val="fr-CA"/>
        </w:rPr>
        <w:t>formulaire de</w:t>
      </w:r>
      <w:r w:rsidR="00B65F26" w:rsidRPr="002309CE">
        <w:rPr>
          <w:rFonts w:ascii="Times New Roman" w:hAnsi="Times New Roman"/>
          <w:b/>
          <w:bCs/>
          <w:lang w:val="fr-CA"/>
        </w:rPr>
        <w:t xml:space="preserve"> demande d’avance de fonds</w:t>
      </w:r>
      <w:r w:rsidR="00B65F26" w:rsidRPr="00737C66">
        <w:rPr>
          <w:rFonts w:ascii="Times New Roman" w:hAnsi="Times New Roman"/>
          <w:lang w:val="fr-CA"/>
        </w:rPr>
        <w:t xml:space="preserve"> et le </w:t>
      </w:r>
      <w:r>
        <w:rPr>
          <w:rFonts w:ascii="Times New Roman" w:hAnsi="Times New Roman"/>
          <w:lang w:val="fr-CA"/>
        </w:rPr>
        <w:t>soumettre</w:t>
      </w:r>
      <w:r w:rsidR="00B65F26" w:rsidRPr="00737C66">
        <w:rPr>
          <w:rFonts w:ascii="Times New Roman" w:hAnsi="Times New Roman"/>
          <w:lang w:val="fr-CA"/>
        </w:rPr>
        <w:t xml:space="preserve"> </w:t>
      </w:r>
      <w:r w:rsidRPr="00737C66">
        <w:rPr>
          <w:rFonts w:ascii="Times New Roman" w:hAnsi="Times New Roman"/>
          <w:lang w:val="fr-CA"/>
        </w:rPr>
        <w:t xml:space="preserve">au Service des finances (Comptes </w:t>
      </w:r>
      <w:r>
        <w:rPr>
          <w:rFonts w:ascii="Times New Roman" w:hAnsi="Times New Roman"/>
          <w:lang w:val="fr-CA"/>
        </w:rPr>
        <w:t>crédite</w:t>
      </w:r>
      <w:r w:rsidRPr="00737C66">
        <w:rPr>
          <w:rFonts w:ascii="Times New Roman" w:hAnsi="Times New Roman"/>
          <w:lang w:val="fr-CA"/>
        </w:rPr>
        <w:t>urs).</w:t>
      </w:r>
    </w:p>
    <w:p w14:paraId="05456DFE" w14:textId="77777777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b/>
          <w:bCs/>
          <w:lang w:val="fr-CA"/>
        </w:rPr>
      </w:pPr>
      <w:r w:rsidRPr="00737C66">
        <w:rPr>
          <w:rFonts w:ascii="Times New Roman" w:hAnsi="Times New Roman"/>
          <w:b/>
          <w:lang w:val="fr-CA"/>
        </w:rPr>
        <w:t>RÈGLES RELATIVES AUX FRAIS</w:t>
      </w:r>
    </w:p>
    <w:p w14:paraId="53996A76" w14:textId="77777777" w:rsidR="00B65F26" w:rsidRPr="00737C66" w:rsidRDefault="00B65F26" w:rsidP="00712D6C">
      <w:pPr>
        <w:spacing w:before="100" w:beforeAutospacing="1" w:after="0" w:line="240" w:lineRule="auto"/>
        <w:ind w:left="720" w:right="0" w:firstLine="0"/>
        <w:jc w:val="both"/>
        <w:rPr>
          <w:rFonts w:ascii="Times New Roman" w:hAnsi="Times New Roman" w:cs="Times New Roman"/>
          <w:b/>
          <w:bCs/>
          <w:lang w:val="fr-CA"/>
        </w:rPr>
      </w:pPr>
      <w:r w:rsidRPr="00737C66">
        <w:rPr>
          <w:rFonts w:ascii="Times New Roman" w:hAnsi="Times New Roman"/>
          <w:b/>
          <w:lang w:val="fr-CA"/>
        </w:rPr>
        <w:t>RESPONSABILISATION DU SECTEUR PARAPUBLIC</w:t>
      </w:r>
    </w:p>
    <w:p w14:paraId="3F960BC1" w14:textId="615F326B" w:rsidR="00B65F26" w:rsidRPr="00737C66" w:rsidRDefault="002309CE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/>
          <w:lang w:val="fr-CA"/>
        </w:rPr>
        <w:t xml:space="preserve">Les </w:t>
      </w:r>
      <w:r w:rsidRPr="003D232D">
        <w:rPr>
          <w:rFonts w:ascii="Times New Roman" w:hAnsi="Times New Roman"/>
          <w:lang w:val="fr-CA"/>
        </w:rPr>
        <w:t>Services pour handicaps de développement de Sudbury (SHDS)</w:t>
      </w:r>
      <w:r>
        <w:rPr>
          <w:rFonts w:ascii="Times New Roman" w:hAnsi="Times New Roman"/>
          <w:lang w:val="fr-CA"/>
        </w:rPr>
        <w:t xml:space="preserve"> sont</w:t>
      </w:r>
      <w:r w:rsidR="00B65F26" w:rsidRPr="00737C66">
        <w:rPr>
          <w:rFonts w:ascii="Times New Roman" w:hAnsi="Times New Roman"/>
          <w:lang w:val="fr-CA"/>
        </w:rPr>
        <w:t xml:space="preserve"> désigné</w:t>
      </w:r>
      <w:r>
        <w:rPr>
          <w:rFonts w:ascii="Times New Roman" w:hAnsi="Times New Roman"/>
          <w:lang w:val="fr-CA"/>
        </w:rPr>
        <w:t>s</w:t>
      </w:r>
      <w:r w:rsidR="00B65F26" w:rsidRPr="00737C66">
        <w:rPr>
          <w:rFonts w:ascii="Times New Roman" w:hAnsi="Times New Roman"/>
          <w:lang w:val="fr-CA"/>
        </w:rPr>
        <w:t xml:space="preserve"> comme </w:t>
      </w:r>
      <w:r>
        <w:rPr>
          <w:rFonts w:ascii="Times New Roman" w:hAnsi="Times New Roman"/>
          <w:lang w:val="fr-CA"/>
        </w:rPr>
        <w:t xml:space="preserve">un </w:t>
      </w:r>
      <w:r w:rsidR="00B65F26" w:rsidRPr="00737C66">
        <w:rPr>
          <w:rFonts w:ascii="Times New Roman" w:hAnsi="Times New Roman"/>
          <w:lang w:val="fr-CA"/>
        </w:rPr>
        <w:t xml:space="preserve">organisme du secteur parapublic </w:t>
      </w:r>
      <w:r>
        <w:rPr>
          <w:rFonts w:ascii="Times New Roman" w:hAnsi="Times New Roman"/>
          <w:lang w:val="fr-CA"/>
        </w:rPr>
        <w:t xml:space="preserve">et </w:t>
      </w:r>
      <w:r w:rsidR="00B65F26" w:rsidRPr="00737C66">
        <w:rPr>
          <w:rFonts w:ascii="Times New Roman" w:hAnsi="Times New Roman"/>
          <w:lang w:val="fr-CA"/>
        </w:rPr>
        <w:t>se conforme</w:t>
      </w:r>
      <w:r w:rsidR="00084588">
        <w:rPr>
          <w:rFonts w:ascii="Times New Roman" w:hAnsi="Times New Roman"/>
          <w:lang w:val="fr-CA"/>
        </w:rPr>
        <w:t>nt</w:t>
      </w:r>
      <w:r w:rsidR="00B65F26" w:rsidRPr="00737C66">
        <w:rPr>
          <w:rFonts w:ascii="Times New Roman" w:hAnsi="Times New Roman"/>
          <w:lang w:val="fr-CA"/>
        </w:rPr>
        <w:t xml:space="preserve"> à la </w:t>
      </w:r>
      <w:r w:rsidR="00B65F26" w:rsidRPr="00737C66">
        <w:rPr>
          <w:rFonts w:ascii="Times New Roman" w:hAnsi="Times New Roman"/>
          <w:i/>
          <w:iCs/>
          <w:lang w:val="fr-CA"/>
        </w:rPr>
        <w:t>Loi sur la responsabilisation du secteur parapublic</w:t>
      </w:r>
      <w:r w:rsidR="00B65F26" w:rsidRPr="00737C66">
        <w:rPr>
          <w:rFonts w:ascii="Times New Roman" w:hAnsi="Times New Roman"/>
          <w:lang w:val="fr-CA"/>
        </w:rPr>
        <w:t xml:space="preserve"> (LRSP) et aux directives </w:t>
      </w:r>
      <w:r>
        <w:rPr>
          <w:rFonts w:ascii="Times New Roman" w:hAnsi="Times New Roman"/>
          <w:lang w:val="fr-CA"/>
        </w:rPr>
        <w:t>pertinentes</w:t>
      </w:r>
      <w:r w:rsidR="00B65F26" w:rsidRPr="00737C66">
        <w:rPr>
          <w:rFonts w:ascii="Times New Roman" w:hAnsi="Times New Roman"/>
          <w:lang w:val="fr-CA"/>
        </w:rPr>
        <w:t xml:space="preserve">. </w:t>
      </w:r>
    </w:p>
    <w:p w14:paraId="7A4DD19D" w14:textId="4BB22750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Cette conformité oblige notamment </w:t>
      </w:r>
      <w:r w:rsidR="002309CE">
        <w:rPr>
          <w:rFonts w:ascii="Times New Roman" w:hAnsi="Times New Roman"/>
          <w:lang w:val="fr-CA"/>
        </w:rPr>
        <w:t xml:space="preserve">les SHDS </w:t>
      </w:r>
      <w:r w:rsidRPr="00737C66">
        <w:rPr>
          <w:rFonts w:ascii="Times New Roman" w:hAnsi="Times New Roman"/>
          <w:lang w:val="fr-CA"/>
        </w:rPr>
        <w:t xml:space="preserve">à rendre publiques ses règles et pratiques en matière de frais et d’avantages accessoires sur son site Web officiel : </w:t>
      </w:r>
      <w:hyperlink r:id="rId7" w:history="1">
        <w:r w:rsidRPr="00737C66">
          <w:rPr>
            <w:rStyle w:val="Hyperlink"/>
            <w:rFonts w:ascii="Times New Roman" w:hAnsi="Times New Roman"/>
            <w:lang w:val="fr-CA"/>
          </w:rPr>
          <w:t>https://sudburyds.ca</w:t>
        </w:r>
      </w:hyperlink>
      <w:r w:rsidRPr="00737C66">
        <w:rPr>
          <w:rFonts w:ascii="Times New Roman" w:hAnsi="Times New Roman"/>
          <w:lang w:val="fr-CA"/>
        </w:rPr>
        <w:t>.</w:t>
      </w:r>
    </w:p>
    <w:p w14:paraId="166F6076" w14:textId="77777777" w:rsidR="00B65F26" w:rsidRPr="00737C66" w:rsidRDefault="00B65F26" w:rsidP="00712D6C">
      <w:pPr>
        <w:spacing w:before="100" w:beforeAutospacing="1" w:after="0" w:line="240" w:lineRule="auto"/>
        <w:ind w:left="720" w:right="0" w:firstLine="0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 w:rsidRPr="00737C66">
        <w:rPr>
          <w:rFonts w:ascii="Times New Roman" w:hAnsi="Times New Roman"/>
          <w:b/>
          <w:u w:val="single"/>
          <w:lang w:val="fr-CA"/>
        </w:rPr>
        <w:t>Règles relatives aux frais</w:t>
      </w:r>
    </w:p>
    <w:p w14:paraId="49D43C0C" w14:textId="72C90DBD" w:rsidR="00B65F26" w:rsidRPr="00737C66" w:rsidRDefault="00B65F26" w:rsidP="00712D6C">
      <w:pPr>
        <w:spacing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1. Les membres </w:t>
      </w:r>
      <w:r w:rsidR="000A584A">
        <w:rPr>
          <w:rFonts w:ascii="Times New Roman" w:hAnsi="Times New Roman"/>
          <w:lang w:val="fr-CA"/>
        </w:rPr>
        <w:t xml:space="preserve">bénévoles </w:t>
      </w:r>
      <w:r w:rsidRPr="00737C66">
        <w:rPr>
          <w:rFonts w:ascii="Times New Roman" w:hAnsi="Times New Roman"/>
          <w:lang w:val="fr-CA"/>
        </w:rPr>
        <w:t>du Conseil d’administration de</w:t>
      </w:r>
      <w:r w:rsidR="00CB101D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SHDS peuvent </w:t>
      </w:r>
      <w:r w:rsidR="000A584A">
        <w:rPr>
          <w:rFonts w:ascii="Times New Roman" w:hAnsi="Times New Roman"/>
          <w:lang w:val="fr-CA"/>
        </w:rPr>
        <w:t xml:space="preserve">seulement </w:t>
      </w:r>
      <w:r w:rsidRPr="00737C66">
        <w:rPr>
          <w:rFonts w:ascii="Times New Roman" w:hAnsi="Times New Roman"/>
          <w:lang w:val="fr-CA"/>
        </w:rPr>
        <w:t>être indemnisés pour les frais raisonnables qu’ils auront engagés dans l’exercice de leurs fonctions.</w:t>
      </w:r>
    </w:p>
    <w:p w14:paraId="6E108680" w14:textId="7C60B94A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 xml:space="preserve">2. Les </w:t>
      </w:r>
      <w:r w:rsidR="000A584A">
        <w:rPr>
          <w:rFonts w:ascii="Times New Roman" w:hAnsi="Times New Roman"/>
          <w:lang w:val="fr-CA"/>
        </w:rPr>
        <w:t>membres du personnel</w:t>
      </w:r>
      <w:r w:rsidRPr="00737C66">
        <w:rPr>
          <w:rFonts w:ascii="Times New Roman" w:hAnsi="Times New Roman"/>
          <w:lang w:val="fr-CA"/>
        </w:rPr>
        <w:t xml:space="preserve"> de</w:t>
      </w:r>
      <w:r w:rsidR="000A584A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SHDS seront indemnisés/remboursés </w:t>
      </w:r>
      <w:r w:rsidR="009305EA">
        <w:rPr>
          <w:rFonts w:ascii="Times New Roman" w:hAnsi="Times New Roman"/>
          <w:lang w:val="fr-CA"/>
        </w:rPr>
        <w:t xml:space="preserve">pour </w:t>
      </w:r>
      <w:r w:rsidRPr="00737C66">
        <w:rPr>
          <w:rFonts w:ascii="Times New Roman" w:hAnsi="Times New Roman"/>
          <w:lang w:val="fr-CA"/>
        </w:rPr>
        <w:t xml:space="preserve">les frais engagés au titre de fonctionnement, dès qu’ils sont modestes et appropriés, qu’ils concilient économie et efficacité des </w:t>
      </w:r>
      <w:r w:rsidR="009305EA">
        <w:rPr>
          <w:rFonts w:ascii="Times New Roman" w:hAnsi="Times New Roman"/>
          <w:lang w:val="fr-CA"/>
        </w:rPr>
        <w:t>activités</w:t>
      </w:r>
      <w:r w:rsidRPr="00737C66">
        <w:rPr>
          <w:rFonts w:ascii="Times New Roman" w:hAnsi="Times New Roman"/>
          <w:lang w:val="fr-CA"/>
        </w:rPr>
        <w:t xml:space="preserve"> avec le maintien d’un lieu de travail sain et s</w:t>
      </w:r>
      <w:r w:rsidR="00084588">
        <w:rPr>
          <w:rFonts w:ascii="Times New Roman" w:hAnsi="Times New Roman"/>
          <w:lang w:val="fr-CA"/>
        </w:rPr>
        <w:t>écuritaire</w:t>
      </w:r>
      <w:r w:rsidRPr="00737C66">
        <w:rPr>
          <w:rFonts w:ascii="Times New Roman" w:hAnsi="Times New Roman"/>
          <w:lang w:val="fr-CA"/>
        </w:rPr>
        <w:t>, qu’ils sont étayés par des documents acceptables et qu’ils sont dûment autorisés conformément aux politiques internes.</w:t>
      </w:r>
    </w:p>
    <w:p w14:paraId="0A2C59F4" w14:textId="77777777" w:rsidR="00712D6C" w:rsidRDefault="00712D6C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/>
          <w:lang w:val="fr-CA"/>
        </w:rPr>
      </w:pPr>
    </w:p>
    <w:p w14:paraId="6EB83881" w14:textId="77777777" w:rsidR="00712D6C" w:rsidRDefault="00712D6C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/>
          <w:lang w:val="fr-CA"/>
        </w:rPr>
      </w:pPr>
    </w:p>
    <w:p w14:paraId="0B04DD28" w14:textId="6283A0AF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3. Tout ce qui a trait à l’accueil (par exemple, repas, boissons, hébergement, transport, reconnaissance des bénévoles, des collaborateurs et d</w:t>
      </w:r>
      <w:r w:rsidR="000A584A">
        <w:rPr>
          <w:rFonts w:ascii="Times New Roman" w:hAnsi="Times New Roman"/>
          <w:lang w:val="fr-CA"/>
        </w:rPr>
        <w:t>u personnel</w:t>
      </w:r>
      <w:r w:rsidRPr="00737C66">
        <w:rPr>
          <w:rFonts w:ascii="Times New Roman" w:hAnsi="Times New Roman"/>
          <w:lang w:val="fr-CA"/>
        </w:rPr>
        <w:t xml:space="preserve">) est organisé de la manière la plus économique possible. Sauf indication contraire, les frais de réception ne sont pas imputés aux fonds publics ou aux fonds </w:t>
      </w:r>
      <w:r w:rsidR="00695B6A">
        <w:rPr>
          <w:rFonts w:ascii="Times New Roman" w:hAnsi="Times New Roman"/>
          <w:lang w:val="fr-CA"/>
        </w:rPr>
        <w:t>recueillis par l’entremise de dons</w:t>
      </w:r>
      <w:r w:rsidRPr="00737C66">
        <w:rPr>
          <w:rFonts w:ascii="Times New Roman" w:hAnsi="Times New Roman"/>
          <w:lang w:val="fr-CA"/>
        </w:rPr>
        <w:t>.</w:t>
      </w:r>
    </w:p>
    <w:p w14:paraId="54A4F65C" w14:textId="77777777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4. Tous les frais de fonctionnement sont soumis à des audits internes et externes.</w:t>
      </w:r>
    </w:p>
    <w:p w14:paraId="578C156A" w14:textId="77777777" w:rsidR="00B65F26" w:rsidRPr="00737C6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Avantages accessoires (un avantage dont on bénéficie en raison de son emploi ou de son poste)</w:t>
      </w:r>
    </w:p>
    <w:p w14:paraId="341E7639" w14:textId="0F66A68B" w:rsidR="00B65F26" w:rsidRPr="00737C66" w:rsidRDefault="000A584A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b/>
          <w:bCs/>
          <w:lang w:val="fr-CA"/>
        </w:rPr>
      </w:pPr>
      <w:r>
        <w:rPr>
          <w:rFonts w:ascii="Times New Roman" w:hAnsi="Times New Roman"/>
          <w:b/>
          <w:lang w:val="fr-CA"/>
        </w:rPr>
        <w:t xml:space="preserve">Les </w:t>
      </w:r>
      <w:r w:rsidR="00B65F26" w:rsidRPr="00737C66">
        <w:rPr>
          <w:rFonts w:ascii="Times New Roman" w:hAnsi="Times New Roman"/>
          <w:b/>
          <w:lang w:val="fr-CA"/>
        </w:rPr>
        <w:t>SHDS n’en offre</w:t>
      </w:r>
      <w:r>
        <w:rPr>
          <w:rFonts w:ascii="Times New Roman" w:hAnsi="Times New Roman"/>
          <w:b/>
          <w:lang w:val="fr-CA"/>
        </w:rPr>
        <w:t>nt</w:t>
      </w:r>
      <w:r w:rsidR="00B65F26" w:rsidRPr="00737C66">
        <w:rPr>
          <w:rFonts w:ascii="Times New Roman" w:hAnsi="Times New Roman"/>
          <w:b/>
          <w:lang w:val="fr-CA"/>
        </w:rPr>
        <w:t xml:space="preserve"> pas à ses bénévoles </w:t>
      </w:r>
      <w:r>
        <w:rPr>
          <w:rFonts w:ascii="Times New Roman" w:hAnsi="Times New Roman"/>
          <w:b/>
          <w:lang w:val="fr-CA"/>
        </w:rPr>
        <w:t xml:space="preserve">ou </w:t>
      </w:r>
      <w:r w:rsidR="00695B6A">
        <w:rPr>
          <w:rFonts w:ascii="Times New Roman" w:hAnsi="Times New Roman"/>
          <w:b/>
          <w:lang w:val="fr-CA"/>
        </w:rPr>
        <w:t xml:space="preserve">à </w:t>
      </w:r>
      <w:r>
        <w:rPr>
          <w:rFonts w:ascii="Times New Roman" w:hAnsi="Times New Roman"/>
          <w:b/>
          <w:lang w:val="fr-CA"/>
        </w:rPr>
        <w:t>son personnel</w:t>
      </w:r>
      <w:r w:rsidR="00B65F26" w:rsidRPr="00737C66">
        <w:rPr>
          <w:rFonts w:ascii="Times New Roman" w:hAnsi="Times New Roman"/>
          <w:b/>
          <w:lang w:val="fr-CA"/>
        </w:rPr>
        <w:t>.</w:t>
      </w:r>
    </w:p>
    <w:p w14:paraId="7F4BC5E9" w14:textId="2B5F79D2" w:rsidR="0051481E" w:rsidRPr="00B65F26" w:rsidRDefault="00B65F26" w:rsidP="00712D6C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hAnsi="Times New Roman" w:cs="Times New Roman"/>
          <w:lang w:val="fr-CA"/>
        </w:rPr>
      </w:pPr>
      <w:r w:rsidRPr="00737C66">
        <w:rPr>
          <w:rFonts w:ascii="Times New Roman" w:hAnsi="Times New Roman"/>
          <w:lang w:val="fr-CA"/>
        </w:rPr>
        <w:t>Si vous avez des questions sur les politiques et pratiques de</w:t>
      </w:r>
      <w:r w:rsidR="009305EA">
        <w:rPr>
          <w:rFonts w:ascii="Times New Roman" w:hAnsi="Times New Roman"/>
          <w:lang w:val="fr-CA"/>
        </w:rPr>
        <w:t>s</w:t>
      </w:r>
      <w:r w:rsidRPr="00737C66">
        <w:rPr>
          <w:rFonts w:ascii="Times New Roman" w:hAnsi="Times New Roman"/>
          <w:lang w:val="fr-CA"/>
        </w:rPr>
        <w:t xml:space="preserve"> S</w:t>
      </w:r>
      <w:r w:rsidR="009305EA">
        <w:rPr>
          <w:rFonts w:ascii="Times New Roman" w:hAnsi="Times New Roman"/>
          <w:lang w:val="fr-CA"/>
        </w:rPr>
        <w:t>H</w:t>
      </w:r>
      <w:r w:rsidRPr="00737C66">
        <w:rPr>
          <w:rFonts w:ascii="Times New Roman" w:hAnsi="Times New Roman"/>
          <w:lang w:val="fr-CA"/>
        </w:rPr>
        <w:t>DS relative</w:t>
      </w:r>
      <w:r w:rsidR="00695B6A">
        <w:rPr>
          <w:rFonts w:ascii="Times New Roman" w:hAnsi="Times New Roman"/>
          <w:lang w:val="fr-CA"/>
        </w:rPr>
        <w:t>ment</w:t>
      </w:r>
      <w:r w:rsidRPr="00737C66">
        <w:rPr>
          <w:rFonts w:ascii="Times New Roman" w:hAnsi="Times New Roman"/>
          <w:lang w:val="fr-CA"/>
        </w:rPr>
        <w:t xml:space="preserve"> aux frais et aux avantages accessoires, veuillez communiquer avec </w:t>
      </w:r>
      <w:r w:rsidR="009305EA">
        <w:rPr>
          <w:rFonts w:ascii="Times New Roman" w:hAnsi="Times New Roman"/>
          <w:lang w:val="fr-CA"/>
        </w:rPr>
        <w:t xml:space="preserve">le directeur des finances et de l’administration, Nathan Smith, 245, rue </w:t>
      </w:r>
      <w:proofErr w:type="spellStart"/>
      <w:r w:rsidR="009305EA">
        <w:rPr>
          <w:rFonts w:ascii="Times New Roman" w:hAnsi="Times New Roman"/>
          <w:lang w:val="fr-CA"/>
        </w:rPr>
        <w:t>Mountain</w:t>
      </w:r>
      <w:proofErr w:type="spellEnd"/>
      <w:r w:rsidR="009305EA">
        <w:rPr>
          <w:rFonts w:ascii="Times New Roman" w:hAnsi="Times New Roman"/>
          <w:lang w:val="fr-CA"/>
        </w:rPr>
        <w:t xml:space="preserve">, Sudbury, P3B 2T8, 705-674-1451, poste 232, ou à </w:t>
      </w:r>
      <w:hyperlink r:id="rId8" w:history="1">
        <w:r w:rsidR="009305EA" w:rsidRPr="00892E10">
          <w:rPr>
            <w:rStyle w:val="Hyperlink"/>
            <w:rFonts w:ascii="Times New Roman" w:hAnsi="Times New Roman"/>
            <w:lang w:val="fr-CA"/>
          </w:rPr>
          <w:t>nathan.smith@sudburyds.ca</w:t>
        </w:r>
      </w:hyperlink>
      <w:r w:rsidR="009305EA">
        <w:rPr>
          <w:rFonts w:ascii="Times New Roman" w:hAnsi="Times New Roman"/>
          <w:lang w:val="fr-CA"/>
        </w:rPr>
        <w:t xml:space="preserve"> </w:t>
      </w:r>
    </w:p>
    <w:sectPr w:rsidR="0051481E" w:rsidRPr="00B65F26" w:rsidSect="00712D6C">
      <w:footerReference w:type="even" r:id="rId9"/>
      <w:footerReference w:type="default" r:id="rId10"/>
      <w:footerReference w:type="first" r:id="rId11"/>
      <w:pgSz w:w="12240" w:h="15840"/>
      <w:pgMar w:top="397" w:right="990" w:bottom="397" w:left="39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4E27" w14:textId="77777777" w:rsidR="00F62DC5" w:rsidRDefault="00F62DC5" w:rsidP="00084588">
      <w:pPr>
        <w:spacing w:after="0" w:line="240" w:lineRule="auto"/>
      </w:pPr>
      <w:r>
        <w:separator/>
      </w:r>
    </w:p>
  </w:endnote>
  <w:endnote w:type="continuationSeparator" w:id="0">
    <w:p w14:paraId="407085F0" w14:textId="77777777" w:rsidR="00F62DC5" w:rsidRDefault="00F62DC5" w:rsidP="0008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E075" w14:textId="77777777" w:rsidR="00013D47" w:rsidRDefault="00712D6C">
    <w:pPr>
      <w:tabs>
        <w:tab w:val="center" w:pos="4277"/>
        <w:tab w:val="center" w:pos="8751"/>
      </w:tabs>
      <w:spacing w:after="0" w:line="259" w:lineRule="auto"/>
      <w:ind w:left="0" w:right="0" w:firstLine="0"/>
    </w:pPr>
    <w:r>
      <w:rPr>
        <w:sz w:val="22"/>
      </w:rPr>
      <w:tab/>
    </w:r>
    <w:r>
      <w:rPr>
        <w:rFonts w:ascii="Arial" w:hAnsi="Arial"/>
      </w:rPr>
      <w:t xml:space="preserve"> </w:t>
    </w:r>
    <w:r>
      <w:rPr>
        <w:rFonts w:ascii="Arial" w:hAnsi="Arial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hAnsi="Arial"/>
        <w:sz w:val="18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A0785F"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87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1C9C9" w14:textId="387C60B1" w:rsidR="00712D6C" w:rsidRDefault="00712D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4A1DE" w14:textId="64BC6B16" w:rsidR="00013D47" w:rsidRDefault="00013D47">
    <w:pPr>
      <w:tabs>
        <w:tab w:val="center" w:pos="4277"/>
        <w:tab w:val="center" w:pos="8751"/>
      </w:tabs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8916" w14:textId="77777777" w:rsidR="00013D47" w:rsidRDefault="00712D6C">
    <w:pPr>
      <w:tabs>
        <w:tab w:val="center" w:pos="4277"/>
        <w:tab w:val="center" w:pos="8751"/>
      </w:tabs>
      <w:spacing w:after="0" w:line="259" w:lineRule="auto"/>
      <w:ind w:left="0" w:right="0" w:firstLine="0"/>
    </w:pPr>
    <w:r>
      <w:rPr>
        <w:sz w:val="22"/>
      </w:rPr>
      <w:tab/>
    </w:r>
    <w:r>
      <w:rPr>
        <w:rFonts w:ascii="Arial" w:hAnsi="Arial"/>
      </w:rPr>
      <w:t xml:space="preserve"> </w:t>
    </w:r>
    <w:r>
      <w:rPr>
        <w:rFonts w:ascii="Arial" w:hAnsi="Arial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hAnsi="Arial"/>
        <w:sz w:val="18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A0785F"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6C58" w14:textId="77777777" w:rsidR="00F62DC5" w:rsidRDefault="00F62DC5" w:rsidP="00084588">
      <w:pPr>
        <w:spacing w:after="0" w:line="240" w:lineRule="auto"/>
      </w:pPr>
      <w:r>
        <w:separator/>
      </w:r>
    </w:p>
  </w:footnote>
  <w:footnote w:type="continuationSeparator" w:id="0">
    <w:p w14:paraId="60FC2812" w14:textId="77777777" w:rsidR="00F62DC5" w:rsidRDefault="00F62DC5" w:rsidP="0008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F2E"/>
    <w:multiLevelType w:val="hybridMultilevel"/>
    <w:tmpl w:val="74CAEB5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26"/>
    <w:rsid w:val="00013D47"/>
    <w:rsid w:val="00084588"/>
    <w:rsid w:val="000A584A"/>
    <w:rsid w:val="002309CE"/>
    <w:rsid w:val="0024322E"/>
    <w:rsid w:val="003C7344"/>
    <w:rsid w:val="0051481E"/>
    <w:rsid w:val="00695B6A"/>
    <w:rsid w:val="00712D6C"/>
    <w:rsid w:val="007A5DEA"/>
    <w:rsid w:val="009139D9"/>
    <w:rsid w:val="009305EA"/>
    <w:rsid w:val="00B65F26"/>
    <w:rsid w:val="00CB101D"/>
    <w:rsid w:val="00F14214"/>
    <w:rsid w:val="00F6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23F7"/>
  <w15:chartTrackingRefBased/>
  <w15:docId w15:val="{EF3F8DA9-DBFF-4C62-9F4E-1844166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26"/>
    <w:pPr>
      <w:spacing w:after="150" w:line="249" w:lineRule="auto"/>
      <w:ind w:left="1282" w:right="389" w:hanging="10"/>
    </w:pPr>
    <w:rPr>
      <w:rFonts w:ascii="Calibri" w:eastAsia="Calibri" w:hAnsi="Calibri" w:cs="Calibri"/>
      <w:color w:val="000000"/>
      <w:kern w:val="0"/>
      <w:sz w:val="24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F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F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F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F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F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F2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F2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F26"/>
    <w:pPr>
      <w:numPr>
        <w:ilvl w:val="1"/>
      </w:numPr>
      <w:ind w:left="128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F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F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F2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F2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5F26"/>
    <w:rPr>
      <w:color w:val="0563C1" w:themeColor="hyperlink"/>
      <w:u w:val="single"/>
    </w:rPr>
  </w:style>
  <w:style w:type="table" w:customStyle="1" w:styleId="TableGrid">
    <w:name w:val="TableGrid"/>
    <w:rsid w:val="003C734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305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588"/>
    <w:rPr>
      <w:rFonts w:ascii="Calibri" w:eastAsia="Calibri" w:hAnsi="Calibri" w:cs="Calibri"/>
      <w:color w:val="000000"/>
      <w:kern w:val="0"/>
      <w:sz w:val="24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2D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2D6C"/>
    <w:rPr>
      <w:rFonts w:eastAsiaTheme="minorEastAs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.smith@sudburyds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dburyds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5038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Jacinte Martin</cp:lastModifiedBy>
  <cp:revision>2</cp:revision>
  <dcterms:created xsi:type="dcterms:W3CDTF">2025-11-12T19:06:00Z</dcterms:created>
  <dcterms:modified xsi:type="dcterms:W3CDTF">2025-11-12T19:06:00Z</dcterms:modified>
</cp:coreProperties>
</file>