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6E1F9" w14:textId="6B8CD4AD" w:rsidR="00905BE3" w:rsidRPr="006E53E7" w:rsidRDefault="00905BE3" w:rsidP="00905BE3">
      <w:r w:rsidRPr="006E53E7">
        <w:t xml:space="preserve">Flandes – Tolima, </w:t>
      </w:r>
      <w:r w:rsidR="00FB212F">
        <w:t>______</w:t>
      </w:r>
      <w:r w:rsidRPr="006E53E7">
        <w:t xml:space="preserve"> de </w:t>
      </w:r>
      <w:r w:rsidR="00FB212F">
        <w:t>_______</w:t>
      </w:r>
      <w:r w:rsidRPr="006E53E7">
        <w:t xml:space="preserve"> </w:t>
      </w:r>
      <w:proofErr w:type="spellStart"/>
      <w:r w:rsidRPr="006E53E7">
        <w:t>de</w:t>
      </w:r>
      <w:proofErr w:type="spellEnd"/>
      <w:r w:rsidRPr="006E53E7">
        <w:t xml:space="preserve"> 2025</w:t>
      </w:r>
    </w:p>
    <w:p w14:paraId="00D806C5" w14:textId="77777777" w:rsidR="00905BE3" w:rsidRPr="006E53E7" w:rsidRDefault="00905BE3" w:rsidP="00905BE3"/>
    <w:p w14:paraId="7A886A09" w14:textId="77777777" w:rsidR="00905BE3" w:rsidRPr="006E53E7" w:rsidRDefault="00905BE3" w:rsidP="00905BE3">
      <w:r w:rsidRPr="006E53E7">
        <w:t>Señores</w:t>
      </w:r>
    </w:p>
    <w:p w14:paraId="5E58DD7F" w14:textId="77777777" w:rsidR="00905BE3" w:rsidRPr="006E53E7" w:rsidRDefault="00905BE3" w:rsidP="00905BE3">
      <w:r w:rsidRPr="006E53E7">
        <w:t>Aqualia – Oficina de Atención al Usuario</w:t>
      </w:r>
    </w:p>
    <w:p w14:paraId="12362AAE" w14:textId="77777777" w:rsidR="00905BE3" w:rsidRPr="006E53E7" w:rsidRDefault="00905BE3" w:rsidP="00905BE3">
      <w:r w:rsidRPr="006E53E7">
        <w:t>Ciudad</w:t>
      </w:r>
    </w:p>
    <w:p w14:paraId="43100B02" w14:textId="77777777" w:rsidR="00905BE3" w:rsidRPr="006E53E7" w:rsidRDefault="00905BE3" w:rsidP="00905BE3"/>
    <w:p w14:paraId="59833599" w14:textId="77777777" w:rsidR="00905BE3" w:rsidRPr="006E53E7" w:rsidRDefault="00905BE3" w:rsidP="00905BE3">
      <w:r w:rsidRPr="006E53E7">
        <w:t>Asunto: Rechazo formal al cambio de medidor de agua sin justificación técnica</w:t>
      </w:r>
    </w:p>
    <w:p w14:paraId="6235AA07" w14:textId="77777777" w:rsidR="00905BE3" w:rsidRPr="006E53E7" w:rsidRDefault="00905BE3" w:rsidP="00905BE3"/>
    <w:p w14:paraId="78E1DC44" w14:textId="3FC8B57F" w:rsidR="00905BE3" w:rsidRPr="006E53E7" w:rsidRDefault="00905BE3" w:rsidP="00905BE3">
      <w:pPr>
        <w:jc w:val="both"/>
      </w:pPr>
      <w:r w:rsidRPr="006E53E7">
        <w:t>Respetados señores:</w:t>
      </w:r>
    </w:p>
    <w:p w14:paraId="75B19894" w14:textId="77777777" w:rsidR="00A73388" w:rsidRDefault="00905BE3" w:rsidP="00905BE3">
      <w:pPr>
        <w:jc w:val="both"/>
        <w:rPr>
          <w:b/>
          <w:bCs/>
        </w:rPr>
      </w:pPr>
      <w:r w:rsidRPr="006E53E7">
        <w:t xml:space="preserve">Me permito presentar de manera atenta y formal mi rechazo frente a la solicitud de cambio del medidor de agua instalado en mi propiedad ubicada en el conjunto residencial </w:t>
      </w:r>
      <w:proofErr w:type="spellStart"/>
      <w:r w:rsidRPr="006E53E7">
        <w:t>Vallesue</w:t>
      </w:r>
      <w:proofErr w:type="spellEnd"/>
      <w:r w:rsidRPr="006E53E7">
        <w:t xml:space="preserve">, torre </w:t>
      </w:r>
      <w:r w:rsidR="00A73388">
        <w:rPr>
          <w:b/>
          <w:bCs/>
        </w:rPr>
        <w:t>_______</w:t>
      </w:r>
      <w:r w:rsidRPr="006E53E7">
        <w:t xml:space="preserve">, apartamento </w:t>
      </w:r>
      <w:r w:rsidR="00A73388">
        <w:rPr>
          <w:b/>
          <w:bCs/>
        </w:rPr>
        <w:t>______</w:t>
      </w:r>
      <w:r w:rsidRPr="006E53E7">
        <w:t>, identificado con matrícula No</w:t>
      </w:r>
      <w:r w:rsidRPr="006E53E7">
        <w:rPr>
          <w:b/>
          <w:bCs/>
        </w:rPr>
        <w:t xml:space="preserve">. </w:t>
      </w:r>
    </w:p>
    <w:p w14:paraId="3101FC15" w14:textId="108AB996" w:rsidR="00905BE3" w:rsidRPr="006E53E7" w:rsidRDefault="00A73388" w:rsidP="00905BE3">
      <w:pPr>
        <w:jc w:val="both"/>
        <w:rPr>
          <w:b/>
          <w:bCs/>
        </w:rPr>
      </w:pPr>
      <w:r>
        <w:rPr>
          <w:b/>
          <w:bCs/>
        </w:rPr>
        <w:t>_________</w:t>
      </w:r>
      <w:r w:rsidR="00905BE3" w:rsidRPr="006E53E7">
        <w:rPr>
          <w:b/>
          <w:bCs/>
        </w:rPr>
        <w:t>.</w:t>
      </w:r>
    </w:p>
    <w:p w14:paraId="40F3DF59" w14:textId="7BF17EAF" w:rsidR="00905BE3" w:rsidRPr="006E53E7" w:rsidRDefault="00905BE3" w:rsidP="00905BE3">
      <w:pPr>
        <w:jc w:val="both"/>
      </w:pPr>
      <w:r w:rsidRPr="006E53E7">
        <w:t>La medida propuesta por su empresa carece de soporte técnico válido, ya que:</w:t>
      </w:r>
    </w:p>
    <w:p w14:paraId="64186E5A" w14:textId="53F51F00" w:rsidR="00905BE3" w:rsidRPr="006E53E7" w:rsidRDefault="00905BE3" w:rsidP="00905BE3">
      <w:pPr>
        <w:jc w:val="both"/>
      </w:pPr>
      <w:r w:rsidRPr="006E53E7">
        <w:t>1. El medidor actualmente instalado no presenta fallas, daños, ni evidencia de mal funcionamiento, adulteración o pérdida de precisión.</w:t>
      </w:r>
    </w:p>
    <w:p w14:paraId="453DF4DA" w14:textId="77777777" w:rsidR="00905BE3" w:rsidRPr="006E53E7" w:rsidRDefault="00905BE3" w:rsidP="00905BE3">
      <w:pPr>
        <w:jc w:val="both"/>
      </w:pPr>
      <w:r w:rsidRPr="006E53E7">
        <w:t>2. No se ha aportado por parte de Aqualia ningún informe técnico expedido por un laboratorio acreditado que respalde la necesidad del reemplazo.</w:t>
      </w:r>
    </w:p>
    <w:p w14:paraId="4BBAB07B" w14:textId="74E724E9" w:rsidR="00725336" w:rsidRPr="006E53E7" w:rsidRDefault="00905BE3" w:rsidP="00905BE3">
      <w:pPr>
        <w:jc w:val="both"/>
      </w:pPr>
      <w:r w:rsidRPr="006E53E7">
        <w:t>3. La vivienda fue entregada hace menos de 6 años, por lo cual no se justifica un cambio por antigüedad, especialmente considerando que no existe en la normativa colombiana un tiempo de vida útil obligatorio para este tipo de dispositivos sin que haya evidencia técnica de falla.</w:t>
      </w:r>
    </w:p>
    <w:p w14:paraId="5DFE37E7" w14:textId="113D573B" w:rsidR="00905BE3" w:rsidRPr="006E53E7" w:rsidRDefault="00905BE3" w:rsidP="00905BE3">
      <w:pPr>
        <w:jc w:val="both"/>
      </w:pPr>
      <w:r w:rsidRPr="006E53E7">
        <w:t xml:space="preserve">4. Las lecturas del consumo de agua se están tomando mes a mes de manera normal de igual manera la generación de factura por el servicio se generan por parte de </w:t>
      </w:r>
      <w:r w:rsidRPr="006E53E7">
        <w:rPr>
          <w:b/>
          <w:bCs/>
        </w:rPr>
        <w:t>AQUALIA</w:t>
      </w:r>
      <w:r w:rsidRPr="006E53E7">
        <w:t xml:space="preserve"> sin inconvenientes. </w:t>
      </w:r>
    </w:p>
    <w:p w14:paraId="3F4DC169" w14:textId="77777777" w:rsidR="00905BE3" w:rsidRPr="006E53E7" w:rsidRDefault="00905BE3" w:rsidP="00905BE3">
      <w:pPr>
        <w:jc w:val="both"/>
      </w:pPr>
    </w:p>
    <w:p w14:paraId="4AC9DD1F" w14:textId="77777777" w:rsidR="00905BE3" w:rsidRPr="006E53E7" w:rsidRDefault="00905BE3" w:rsidP="00905BE3">
      <w:pPr>
        <w:jc w:val="both"/>
      </w:pPr>
      <w:r w:rsidRPr="006E53E7">
        <w:t xml:space="preserve">Cabe señalar que la Resolución </w:t>
      </w:r>
      <w:r w:rsidRPr="006E53E7">
        <w:rPr>
          <w:b/>
          <w:bCs/>
        </w:rPr>
        <w:t>CRA 943 de 2021</w:t>
      </w:r>
      <w:r w:rsidRPr="006E53E7">
        <w:t xml:space="preserve">, en su artículo </w:t>
      </w:r>
      <w:r w:rsidRPr="006E53E7">
        <w:rPr>
          <w:b/>
          <w:bCs/>
        </w:rPr>
        <w:t>25</w:t>
      </w:r>
      <w:r w:rsidRPr="006E53E7">
        <w:t>, indica expresamente que:</w:t>
      </w:r>
    </w:p>
    <w:p w14:paraId="3D34BA04" w14:textId="77777777" w:rsidR="00905BE3" w:rsidRPr="006E53E7" w:rsidRDefault="00905BE3" w:rsidP="00905BE3">
      <w:pPr>
        <w:jc w:val="both"/>
      </w:pPr>
    </w:p>
    <w:p w14:paraId="2AD0F76F" w14:textId="77777777" w:rsidR="00905BE3" w:rsidRPr="006E53E7" w:rsidRDefault="00905BE3" w:rsidP="00905BE3">
      <w:pPr>
        <w:jc w:val="both"/>
        <w:rPr>
          <w:i/>
          <w:iCs/>
        </w:rPr>
      </w:pPr>
      <w:r w:rsidRPr="006E53E7">
        <w:rPr>
          <w:i/>
          <w:iCs/>
        </w:rPr>
        <w:lastRenderedPageBreak/>
        <w:t>"Sólo será posible la reposición, cambio o reparación del medidor por decisión del prestador, cuando el informe emitido por el laboratorio debidamente acreditado indique que el instrumento de medida no cumple con su función de medición."</w:t>
      </w:r>
    </w:p>
    <w:p w14:paraId="342A915A" w14:textId="698B8301" w:rsidR="00905BE3" w:rsidRPr="006E53E7" w:rsidRDefault="00905BE3" w:rsidP="00905BE3">
      <w:pPr>
        <w:jc w:val="both"/>
      </w:pPr>
      <w:r w:rsidRPr="006E53E7">
        <w:t xml:space="preserve">Así mismo, el artículo </w:t>
      </w:r>
      <w:r w:rsidRPr="006E53E7">
        <w:rPr>
          <w:b/>
          <w:bCs/>
        </w:rPr>
        <w:t>146</w:t>
      </w:r>
      <w:r w:rsidRPr="006E53E7">
        <w:t xml:space="preserve"> de la Ley </w:t>
      </w:r>
      <w:r w:rsidRPr="006E53E7">
        <w:rPr>
          <w:b/>
          <w:bCs/>
        </w:rPr>
        <w:t>142</w:t>
      </w:r>
      <w:r w:rsidRPr="006E53E7">
        <w:t xml:space="preserve"> de </w:t>
      </w:r>
      <w:r w:rsidRPr="006E53E7">
        <w:rPr>
          <w:b/>
          <w:bCs/>
        </w:rPr>
        <w:t>1994</w:t>
      </w:r>
      <w:r w:rsidRPr="006E53E7">
        <w:t xml:space="preserve"> establece que cualquier procedimiento relacionado con la medición del consumo debe estar orientado a garantizar al usuario un cobro justo, proporcional y técnicamente sustentado.</w:t>
      </w:r>
    </w:p>
    <w:p w14:paraId="4AE65A1E" w14:textId="6016E63C" w:rsidR="00905BE3" w:rsidRPr="006E53E7" w:rsidRDefault="00905BE3" w:rsidP="00905BE3">
      <w:pPr>
        <w:jc w:val="both"/>
      </w:pPr>
      <w:r w:rsidRPr="006E53E7">
        <w:t xml:space="preserve">Además, el artículo </w:t>
      </w:r>
      <w:r w:rsidRPr="006E53E7">
        <w:rPr>
          <w:b/>
          <w:bCs/>
        </w:rPr>
        <w:t>9</w:t>
      </w:r>
      <w:r w:rsidRPr="006E53E7">
        <w:t xml:space="preserve"> de la Resolución </w:t>
      </w:r>
      <w:r w:rsidRPr="006E53E7">
        <w:rPr>
          <w:b/>
          <w:bCs/>
        </w:rPr>
        <w:t>CRA 955</w:t>
      </w:r>
      <w:r w:rsidRPr="006E53E7">
        <w:t xml:space="preserve"> de </w:t>
      </w:r>
      <w:r w:rsidRPr="006E53E7">
        <w:rPr>
          <w:b/>
          <w:bCs/>
        </w:rPr>
        <w:t>2023</w:t>
      </w:r>
      <w:r w:rsidRPr="006E53E7">
        <w:t xml:space="preserve"> también reafirma la obligación del prestador de sustentar técnicamente cualquier decisión de reposición o cambio de medidores.</w:t>
      </w:r>
    </w:p>
    <w:p w14:paraId="5530A66B" w14:textId="7F9E3E8D" w:rsidR="00905BE3" w:rsidRPr="006E53E7" w:rsidRDefault="00905BE3" w:rsidP="00905BE3">
      <w:pPr>
        <w:jc w:val="both"/>
      </w:pPr>
      <w:r w:rsidRPr="006E53E7">
        <w:t>En la notificación emitida por Aqualia se menciona una fecha de instalación del medidor (</w:t>
      </w:r>
      <w:r w:rsidR="00A73388">
        <w:rPr>
          <w:b/>
          <w:bCs/>
        </w:rPr>
        <w:t>___________</w:t>
      </w:r>
      <w:r w:rsidRPr="006E53E7">
        <w:t>), lo cual no se corresponde con la realidad, puesto que:</w:t>
      </w:r>
    </w:p>
    <w:p w14:paraId="5F2F0350" w14:textId="77777777" w:rsidR="00905BE3" w:rsidRPr="006E53E7" w:rsidRDefault="00905BE3" w:rsidP="00905BE3">
      <w:pPr>
        <w:jc w:val="both"/>
      </w:pPr>
    </w:p>
    <w:p w14:paraId="000D5731" w14:textId="07B81049" w:rsidR="00905BE3" w:rsidRPr="006E53E7" w:rsidRDefault="00905BE3" w:rsidP="00905BE3">
      <w:pPr>
        <w:jc w:val="both"/>
      </w:pPr>
      <w:r w:rsidRPr="006E53E7">
        <w:t xml:space="preserve">- El inmueble estaba ofertado por la constructora </w:t>
      </w:r>
      <w:r w:rsidRPr="006E53E7">
        <w:rPr>
          <w:b/>
          <w:bCs/>
        </w:rPr>
        <w:t xml:space="preserve">PRABYC </w:t>
      </w:r>
      <w:r w:rsidRPr="006E53E7">
        <w:t xml:space="preserve">sobre planos en el año </w:t>
      </w:r>
      <w:r w:rsidR="00FB447B">
        <w:rPr>
          <w:b/>
          <w:bCs/>
        </w:rPr>
        <w:t>______</w:t>
      </w:r>
      <w:r w:rsidRPr="006E53E7">
        <w:t>.</w:t>
      </w:r>
    </w:p>
    <w:p w14:paraId="1AD6B50A" w14:textId="6AF6D724" w:rsidR="00905BE3" w:rsidRPr="006E53E7" w:rsidRDefault="00905BE3" w:rsidP="00905BE3">
      <w:pPr>
        <w:jc w:val="both"/>
      </w:pPr>
      <w:r w:rsidRPr="006E53E7">
        <w:t xml:space="preserve">- La torre </w:t>
      </w:r>
      <w:r w:rsidR="00A73388">
        <w:t>________</w:t>
      </w:r>
      <w:r w:rsidRPr="006E53E7">
        <w:t xml:space="preserve"> no estaba construida ni habitada para la fecha mencionada.</w:t>
      </w:r>
    </w:p>
    <w:p w14:paraId="5391EC23" w14:textId="267741CD" w:rsidR="00905BE3" w:rsidRPr="006E53E7" w:rsidRDefault="00905BE3" w:rsidP="00905BE3">
      <w:pPr>
        <w:jc w:val="both"/>
      </w:pPr>
      <w:r w:rsidRPr="006E53E7">
        <w:t xml:space="preserve">- La entrega oficial del apartamento al propietario ocurrió en el año </w:t>
      </w:r>
      <w:r w:rsidR="00FB447B">
        <w:rPr>
          <w:b/>
          <w:bCs/>
        </w:rPr>
        <w:t>______</w:t>
      </w:r>
      <w:r w:rsidRPr="006E53E7">
        <w:t>, fecha a partir de la cual se instaló el medidor actual.</w:t>
      </w:r>
    </w:p>
    <w:p w14:paraId="194B6EEA" w14:textId="77777777" w:rsidR="00905BE3" w:rsidRPr="006E53E7" w:rsidRDefault="00905BE3" w:rsidP="00905BE3">
      <w:pPr>
        <w:jc w:val="both"/>
      </w:pPr>
    </w:p>
    <w:p w14:paraId="1A32557F" w14:textId="04116D7C" w:rsidR="00905BE3" w:rsidRPr="006E53E7" w:rsidRDefault="00905BE3" w:rsidP="00905BE3">
      <w:pPr>
        <w:jc w:val="both"/>
      </w:pPr>
      <w:r w:rsidRPr="006E53E7">
        <w:t xml:space="preserve">Por todo lo anterior, me opongo formalmente a cualquier intervención o sustitución del equipo de medición sin una justificación técnica y legal válida, debidamente notificada y sustentada por parte de </w:t>
      </w:r>
      <w:r w:rsidRPr="006E53E7">
        <w:rPr>
          <w:b/>
          <w:bCs/>
        </w:rPr>
        <w:t>AQUALIA</w:t>
      </w:r>
      <w:r w:rsidRPr="006E53E7">
        <w:t xml:space="preserve">. </w:t>
      </w:r>
    </w:p>
    <w:p w14:paraId="49D5EF13" w14:textId="2BA1D10A" w:rsidR="006E53E7" w:rsidRPr="006E53E7" w:rsidRDefault="00905BE3" w:rsidP="00905BE3">
      <w:pPr>
        <w:jc w:val="both"/>
        <w:rPr>
          <w:b/>
          <w:bCs/>
          <w:i/>
          <w:iCs/>
        </w:rPr>
      </w:pPr>
      <w:r w:rsidRPr="006E53E7">
        <w:t xml:space="preserve">Asimismo, dejo constancia de que </w:t>
      </w:r>
      <w:r w:rsidRPr="006E53E7">
        <w:rPr>
          <w:b/>
          <w:bCs/>
        </w:rPr>
        <w:t>no autorizo</w:t>
      </w:r>
      <w:r w:rsidRPr="006E53E7">
        <w:t xml:space="preserve"> el cambio del medidor ni el corte del servicio hasta tanto no se emita una respuesta por escrito y se respete el debido proceso. Cualquier afectación al servicio sería considerada una </w:t>
      </w:r>
      <w:r w:rsidRPr="006E53E7">
        <w:rPr>
          <w:b/>
          <w:bCs/>
          <w:i/>
          <w:iCs/>
        </w:rPr>
        <w:t>vulneración de derechos fundamentales, especialmente a la vida, la salud, una vida digna y el acceso a servicios públicos esenciales</w:t>
      </w:r>
      <w:r w:rsidR="006E53E7" w:rsidRPr="006E53E7">
        <w:rPr>
          <w:b/>
          <w:bCs/>
          <w:i/>
          <w:iCs/>
        </w:rPr>
        <w:t xml:space="preserve">. </w:t>
      </w:r>
    </w:p>
    <w:p w14:paraId="170793F8" w14:textId="77777777" w:rsidR="006E53E7" w:rsidRPr="006E53E7" w:rsidRDefault="006E53E7" w:rsidP="006E53E7">
      <w:pPr>
        <w:jc w:val="both"/>
      </w:pPr>
      <w:r w:rsidRPr="006E53E7">
        <w:t xml:space="preserve">Agradezco que esta comunicación sea tomada como una constancia oficial de mi posición y solicitud de no intervención, y solicito una respuesta escrita dentro de los términos establecidos por la ley. </w:t>
      </w:r>
    </w:p>
    <w:p w14:paraId="768E28F9" w14:textId="77777777" w:rsidR="006E53E7" w:rsidRPr="006E53E7" w:rsidRDefault="006E53E7" w:rsidP="006E53E7">
      <w:pPr>
        <w:jc w:val="both"/>
      </w:pPr>
    </w:p>
    <w:p w14:paraId="568C5077" w14:textId="77777777" w:rsidR="006E53E7" w:rsidRPr="006E53E7" w:rsidRDefault="006E53E7" w:rsidP="006E53E7">
      <w:pPr>
        <w:jc w:val="both"/>
      </w:pPr>
    </w:p>
    <w:p w14:paraId="37E58D24" w14:textId="77777777" w:rsidR="006E53E7" w:rsidRDefault="006E53E7" w:rsidP="006E53E7">
      <w:pPr>
        <w:jc w:val="both"/>
      </w:pPr>
    </w:p>
    <w:p w14:paraId="3CF14C0D" w14:textId="79DD3FCD" w:rsidR="006E53E7" w:rsidRPr="006E53E7" w:rsidRDefault="006E53E7" w:rsidP="006E53E7">
      <w:pPr>
        <w:jc w:val="both"/>
      </w:pPr>
      <w:r w:rsidRPr="006E53E7">
        <w:t>Quedo atento(a) a una pronta respuesta.</w:t>
      </w:r>
    </w:p>
    <w:p w14:paraId="0FFF66D7" w14:textId="77777777" w:rsidR="006E53E7" w:rsidRPr="006E53E7" w:rsidRDefault="006E53E7" w:rsidP="006E53E7">
      <w:pPr>
        <w:jc w:val="both"/>
      </w:pPr>
    </w:p>
    <w:p w14:paraId="541910F5" w14:textId="77777777" w:rsidR="006E53E7" w:rsidRPr="006E53E7" w:rsidRDefault="006E53E7" w:rsidP="006E53E7">
      <w:pPr>
        <w:jc w:val="both"/>
      </w:pPr>
      <w:r w:rsidRPr="006E53E7">
        <w:t>Cordialmente,</w:t>
      </w:r>
    </w:p>
    <w:p w14:paraId="60AC7273" w14:textId="2F4A6E63" w:rsidR="006E53E7" w:rsidRPr="006E53E7" w:rsidRDefault="006E53E7" w:rsidP="006E53E7">
      <w:pPr>
        <w:jc w:val="both"/>
      </w:pPr>
      <w:r w:rsidRPr="006E53E7">
        <w:t xml:space="preserve">Nombre: </w:t>
      </w:r>
      <w:r w:rsidR="00A73388">
        <w:t>_____________</w:t>
      </w:r>
    </w:p>
    <w:p w14:paraId="52AF91C0" w14:textId="631325ED" w:rsidR="006E53E7" w:rsidRPr="006E53E7" w:rsidRDefault="006E53E7" w:rsidP="006E53E7">
      <w:pPr>
        <w:jc w:val="both"/>
      </w:pPr>
      <w:r w:rsidRPr="006E53E7">
        <w:t xml:space="preserve">C.C.: </w:t>
      </w:r>
      <w:r w:rsidR="00A73388">
        <w:t>_________________</w:t>
      </w:r>
    </w:p>
    <w:p w14:paraId="347742C6" w14:textId="50001591" w:rsidR="006E53E7" w:rsidRPr="006E53E7" w:rsidRDefault="006E53E7" w:rsidP="006E53E7">
      <w:pPr>
        <w:jc w:val="both"/>
      </w:pPr>
      <w:r w:rsidRPr="006E53E7">
        <w:t xml:space="preserve">Celular: </w:t>
      </w:r>
      <w:r w:rsidR="00A73388">
        <w:t>_______________</w:t>
      </w:r>
    </w:p>
    <w:p w14:paraId="44ABFAC1" w14:textId="109C5BE9" w:rsidR="006E53E7" w:rsidRPr="006E53E7" w:rsidRDefault="006E53E7" w:rsidP="006E53E7">
      <w:pPr>
        <w:jc w:val="both"/>
      </w:pPr>
      <w:r w:rsidRPr="006E53E7">
        <w:t xml:space="preserve">Correo electrónico: </w:t>
      </w:r>
      <w:hyperlink r:id="rId4" w:history="1">
        <w:r w:rsidR="00A73388">
          <w:rPr>
            <w:rStyle w:val="Hipervnculo"/>
          </w:rPr>
          <w:t>__________________________</w:t>
        </w:r>
      </w:hyperlink>
      <w:r w:rsidRPr="006E53E7">
        <w:t xml:space="preserve"> </w:t>
      </w:r>
    </w:p>
    <w:p w14:paraId="14BFA7FD" w14:textId="50559646" w:rsidR="006E53E7" w:rsidRPr="006E53E7" w:rsidRDefault="006E53E7" w:rsidP="006E53E7">
      <w:pPr>
        <w:jc w:val="both"/>
      </w:pPr>
      <w:r w:rsidRPr="006E53E7">
        <w:t>Dirección del predio: Calle 1 Sur No. 11-111/263, Torre</w:t>
      </w:r>
      <w:r w:rsidR="00FB447B">
        <w:t>______</w:t>
      </w:r>
      <w:r w:rsidRPr="006E53E7">
        <w:t xml:space="preserve">, Apto </w:t>
      </w:r>
      <w:r w:rsidR="00FB447B">
        <w:t>_____</w:t>
      </w:r>
    </w:p>
    <w:p w14:paraId="01BCE44B" w14:textId="38EB4227" w:rsidR="006E53E7" w:rsidRPr="006E53E7" w:rsidRDefault="006E53E7" w:rsidP="006E53E7">
      <w:pPr>
        <w:jc w:val="both"/>
      </w:pPr>
      <w:r w:rsidRPr="006E53E7">
        <w:t xml:space="preserve">Matrícula: </w:t>
      </w:r>
      <w:r w:rsidR="00FB447B">
        <w:t>_______</w:t>
      </w:r>
    </w:p>
    <w:p w14:paraId="63CC6A0A" w14:textId="77777777" w:rsidR="006E53E7" w:rsidRPr="006E53E7" w:rsidRDefault="006E53E7" w:rsidP="00905BE3">
      <w:pPr>
        <w:jc w:val="both"/>
      </w:pPr>
    </w:p>
    <w:sectPr w:rsidR="006E53E7" w:rsidRPr="006E53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E3"/>
    <w:rsid w:val="00246532"/>
    <w:rsid w:val="003D08C3"/>
    <w:rsid w:val="006E53E7"/>
    <w:rsid w:val="00725336"/>
    <w:rsid w:val="00846FE5"/>
    <w:rsid w:val="00905BE3"/>
    <w:rsid w:val="00A73388"/>
    <w:rsid w:val="00F320F8"/>
    <w:rsid w:val="00FB212F"/>
    <w:rsid w:val="00FB4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5D48"/>
  <w15:chartTrackingRefBased/>
  <w15:docId w15:val="{ED02504B-B1C2-4159-8CEC-ACF9DE3C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5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5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5B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5B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5B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5B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5B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5B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5B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5B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5B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5B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5B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5B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5B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5B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5B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5BE3"/>
    <w:rPr>
      <w:rFonts w:eastAsiaTheme="majorEastAsia" w:cstheme="majorBidi"/>
      <w:color w:val="272727" w:themeColor="text1" w:themeTint="D8"/>
    </w:rPr>
  </w:style>
  <w:style w:type="paragraph" w:styleId="Ttulo">
    <w:name w:val="Title"/>
    <w:basedOn w:val="Normal"/>
    <w:next w:val="Normal"/>
    <w:link w:val="TtuloCar"/>
    <w:uiPriority w:val="10"/>
    <w:qFormat/>
    <w:rsid w:val="00905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5B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5B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5B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5BE3"/>
    <w:pPr>
      <w:spacing w:before="160"/>
      <w:jc w:val="center"/>
    </w:pPr>
    <w:rPr>
      <w:i/>
      <w:iCs/>
      <w:color w:val="404040" w:themeColor="text1" w:themeTint="BF"/>
    </w:rPr>
  </w:style>
  <w:style w:type="character" w:customStyle="1" w:styleId="CitaCar">
    <w:name w:val="Cita Car"/>
    <w:basedOn w:val="Fuentedeprrafopredeter"/>
    <w:link w:val="Cita"/>
    <w:uiPriority w:val="29"/>
    <w:rsid w:val="00905BE3"/>
    <w:rPr>
      <w:i/>
      <w:iCs/>
      <w:color w:val="404040" w:themeColor="text1" w:themeTint="BF"/>
    </w:rPr>
  </w:style>
  <w:style w:type="paragraph" w:styleId="Prrafodelista">
    <w:name w:val="List Paragraph"/>
    <w:basedOn w:val="Normal"/>
    <w:uiPriority w:val="34"/>
    <w:qFormat/>
    <w:rsid w:val="00905BE3"/>
    <w:pPr>
      <w:ind w:left="720"/>
      <w:contextualSpacing/>
    </w:pPr>
  </w:style>
  <w:style w:type="character" w:styleId="nfasisintenso">
    <w:name w:val="Intense Emphasis"/>
    <w:basedOn w:val="Fuentedeprrafopredeter"/>
    <w:uiPriority w:val="21"/>
    <w:qFormat/>
    <w:rsid w:val="00905BE3"/>
    <w:rPr>
      <w:i/>
      <w:iCs/>
      <w:color w:val="0F4761" w:themeColor="accent1" w:themeShade="BF"/>
    </w:rPr>
  </w:style>
  <w:style w:type="paragraph" w:styleId="Citadestacada">
    <w:name w:val="Intense Quote"/>
    <w:basedOn w:val="Normal"/>
    <w:next w:val="Normal"/>
    <w:link w:val="CitadestacadaCar"/>
    <w:uiPriority w:val="30"/>
    <w:qFormat/>
    <w:rsid w:val="00905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5BE3"/>
    <w:rPr>
      <w:i/>
      <w:iCs/>
      <w:color w:val="0F4761" w:themeColor="accent1" w:themeShade="BF"/>
    </w:rPr>
  </w:style>
  <w:style w:type="character" w:styleId="Referenciaintensa">
    <w:name w:val="Intense Reference"/>
    <w:basedOn w:val="Fuentedeprrafopredeter"/>
    <w:uiPriority w:val="32"/>
    <w:qFormat/>
    <w:rsid w:val="00905BE3"/>
    <w:rPr>
      <w:b/>
      <w:bCs/>
      <w:smallCaps/>
      <w:color w:val="0F4761" w:themeColor="accent1" w:themeShade="BF"/>
      <w:spacing w:val="5"/>
    </w:rPr>
  </w:style>
  <w:style w:type="character" w:styleId="Hipervnculo">
    <w:name w:val="Hyperlink"/>
    <w:basedOn w:val="Fuentedeprrafopredeter"/>
    <w:uiPriority w:val="99"/>
    <w:unhideWhenUsed/>
    <w:rsid w:val="006E53E7"/>
    <w:rPr>
      <w:color w:val="467886" w:themeColor="hyperlink"/>
      <w:u w:val="single"/>
    </w:rPr>
  </w:style>
  <w:style w:type="character" w:styleId="Mencinsinresolver">
    <w:name w:val="Unresolved Mention"/>
    <w:basedOn w:val="Fuentedeprrafopredeter"/>
    <w:uiPriority w:val="99"/>
    <w:semiHidden/>
    <w:unhideWhenUsed/>
    <w:rsid w:val="006E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pudia860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Ampudia</dc:creator>
  <cp:keywords/>
  <dc:description/>
  <cp:lastModifiedBy>Michel Ampudia</cp:lastModifiedBy>
  <cp:revision>4</cp:revision>
  <cp:lastPrinted>2025-06-18T14:06:00Z</cp:lastPrinted>
  <dcterms:created xsi:type="dcterms:W3CDTF">2025-06-18T13:45:00Z</dcterms:created>
  <dcterms:modified xsi:type="dcterms:W3CDTF">2025-06-18T14:29:00Z</dcterms:modified>
</cp:coreProperties>
</file>