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The TVI and O&amp;M Instructor both…</w:t>
      </w:r>
    </w:p>
    <w:p w:rsidR="00000000" w:rsidDel="00000000" w:rsidP="00000000" w:rsidRDefault="00000000" w:rsidRPr="00000000" w14:paraId="00000003">
      <w:pPr>
        <w:numPr>
          <w:ilvl w:val="0"/>
          <w:numId w:val="1"/>
        </w:numPr>
        <w:ind w:left="720" w:hanging="360"/>
        <w:rPr/>
      </w:pPr>
      <w:r w:rsidDel="00000000" w:rsidR="00000000" w:rsidRPr="00000000">
        <w:rPr>
          <w:rtl w:val="0"/>
        </w:rPr>
        <w:t xml:space="preserve">Provide direct itinerant services, which means the TVI and O&amp;M Instructor travels to multiple schools across one or more districts. Due to the itinerant schedule, the TVI is not typically the case manager. </w:t>
      </w:r>
    </w:p>
    <w:p w:rsidR="00000000" w:rsidDel="00000000" w:rsidP="00000000" w:rsidRDefault="00000000" w:rsidRPr="00000000" w14:paraId="00000004">
      <w:pPr>
        <w:numPr>
          <w:ilvl w:val="0"/>
          <w:numId w:val="1"/>
        </w:numPr>
        <w:ind w:left="720" w:hanging="360"/>
        <w:rPr/>
      </w:pPr>
      <w:r w:rsidDel="00000000" w:rsidR="00000000" w:rsidRPr="00000000">
        <w:rPr>
          <w:rtl w:val="0"/>
        </w:rPr>
        <w:t xml:space="preserve">Provide consult services by collaborating and planning regularly with team to meet the visual needs of student. </w:t>
      </w:r>
    </w:p>
    <w:p w:rsidR="00000000" w:rsidDel="00000000" w:rsidP="00000000" w:rsidRDefault="00000000" w:rsidRPr="00000000" w14:paraId="00000005">
      <w:pPr>
        <w:numPr>
          <w:ilvl w:val="0"/>
          <w:numId w:val="1"/>
        </w:numPr>
        <w:ind w:left="720" w:hanging="360"/>
        <w:rPr/>
      </w:pPr>
      <w:r w:rsidDel="00000000" w:rsidR="00000000" w:rsidRPr="00000000">
        <w:rPr>
          <w:rtl w:val="0"/>
        </w:rPr>
        <w:t xml:space="preserve">Assist in the assessment and acquisition of equipment and technology for blindness/low vision. </w:t>
      </w:r>
    </w:p>
    <w:p w:rsidR="00000000" w:rsidDel="00000000" w:rsidP="00000000" w:rsidRDefault="00000000" w:rsidRPr="00000000" w14:paraId="00000006">
      <w:pPr>
        <w:numPr>
          <w:ilvl w:val="0"/>
          <w:numId w:val="1"/>
        </w:numPr>
        <w:ind w:left="720" w:hanging="360"/>
        <w:rPr/>
      </w:pPr>
      <w:r w:rsidDel="00000000" w:rsidR="00000000" w:rsidRPr="00000000">
        <w:rPr>
          <w:rtl w:val="0"/>
        </w:rPr>
        <w:t xml:space="preserve">Provide connections to the </w:t>
      </w:r>
      <w:hyperlink r:id="rId6">
        <w:r w:rsidDel="00000000" w:rsidR="00000000" w:rsidRPr="00000000">
          <w:rPr>
            <w:color w:val="1155cc"/>
            <w:u w:val="single"/>
            <w:rtl w:val="0"/>
          </w:rPr>
          <w:t xml:space="preserve">Wisconsin Center for the Blind and Visually Impaired </w:t>
        </w:r>
      </w:hyperlink>
      <w:r w:rsidDel="00000000" w:rsidR="00000000" w:rsidRPr="00000000">
        <w:rPr>
          <w:rtl w:val="0"/>
        </w:rPr>
        <w:t xml:space="preserve">and other </w:t>
      </w:r>
      <w:hyperlink r:id="rId7">
        <w:r w:rsidDel="00000000" w:rsidR="00000000" w:rsidRPr="00000000">
          <w:rPr>
            <w:color w:val="1155cc"/>
            <w:u w:val="single"/>
            <w:rtl w:val="0"/>
          </w:rPr>
          <w:t xml:space="preserve">agencies</w:t>
        </w:r>
      </w:hyperlink>
      <w:r w:rsidDel="00000000" w:rsidR="00000000" w:rsidRPr="00000000">
        <w:rPr>
          <w:rtl w:val="0"/>
        </w:rPr>
        <w:t xml:space="preserve"> that serve individuals with visual impairments.</w:t>
      </w:r>
    </w:p>
    <w:p w:rsidR="00000000" w:rsidDel="00000000" w:rsidP="00000000" w:rsidRDefault="00000000" w:rsidRPr="00000000" w14:paraId="00000007">
      <w:pPr>
        <w:numPr>
          <w:ilvl w:val="0"/>
          <w:numId w:val="1"/>
        </w:numPr>
        <w:ind w:left="720" w:hanging="360"/>
        <w:rPr/>
      </w:pPr>
      <w:r w:rsidDel="00000000" w:rsidR="00000000" w:rsidRPr="00000000">
        <w:rPr>
          <w:rtl w:val="0"/>
        </w:rPr>
        <w:t xml:space="preserve">Maintain IEP compliance (i.e. complete appropriate IEP paperwork, attend meetings, etc.)</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In addition, the role of a TVI is to...</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Provide access to the curriculum for students who are blind or visually impaired, however the TVI is not able to diagnose a visual impairment or prescribe visual aids (i.e. glasses). </w:t>
      </w:r>
    </w:p>
    <w:p w:rsidR="00000000" w:rsidDel="00000000" w:rsidP="00000000" w:rsidRDefault="00000000" w:rsidRPr="00000000" w14:paraId="0000000B">
      <w:pPr>
        <w:numPr>
          <w:ilvl w:val="0"/>
          <w:numId w:val="1"/>
        </w:numPr>
        <w:ind w:left="720" w:hanging="360"/>
        <w:rPr/>
      </w:pPr>
      <w:r w:rsidDel="00000000" w:rsidR="00000000" w:rsidRPr="00000000">
        <w:rPr>
          <w:rtl w:val="0"/>
        </w:rPr>
        <w:t xml:space="preserve">Conduct Functional Vision Assessments, Learning Media Assessments, and Assess the Expanded Core Curriculum. The TVI can work in conjunction with other educators to assist with other assessments. Prior to evaluation, an </w:t>
      </w:r>
      <w:hyperlink r:id="rId8">
        <w:r w:rsidDel="00000000" w:rsidR="00000000" w:rsidRPr="00000000">
          <w:rPr>
            <w:color w:val="1155cc"/>
            <w:u w:val="single"/>
            <w:rtl w:val="0"/>
          </w:rPr>
          <w:t xml:space="preserve">Ocular Report</w:t>
        </w:r>
      </w:hyperlink>
      <w:r w:rsidDel="00000000" w:rsidR="00000000" w:rsidRPr="00000000">
        <w:rPr>
          <w:rtl w:val="0"/>
        </w:rPr>
        <w:t xml:space="preserve"> must be filled out by an Eye Care Specialist.</w:t>
      </w:r>
      <w:r w:rsidDel="00000000" w:rsidR="00000000" w:rsidRPr="00000000">
        <w:rPr>
          <w:rtl w:val="0"/>
        </w:rPr>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Provide resource services, with specially designed instruction delivered in a </w:t>
      </w:r>
      <w:r w:rsidDel="00000000" w:rsidR="00000000" w:rsidRPr="00000000">
        <w:rPr>
          <w:rtl w:val="0"/>
        </w:rPr>
        <w:t xml:space="preserve">separate</w:t>
      </w:r>
      <w:r w:rsidDel="00000000" w:rsidR="00000000" w:rsidRPr="00000000">
        <w:rPr>
          <w:rtl w:val="0"/>
        </w:rPr>
        <w:t xml:space="preserve"> room or space. </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Provide direct instruction in the </w:t>
      </w:r>
      <w:hyperlink r:id="rId9">
        <w:r w:rsidDel="00000000" w:rsidR="00000000" w:rsidRPr="00000000">
          <w:rPr>
            <w:color w:val="1155cc"/>
            <w:u w:val="single"/>
            <w:rtl w:val="0"/>
          </w:rPr>
          <w:t xml:space="preserve">Expanded Core Curriculum</w:t>
        </w:r>
      </w:hyperlink>
      <w:r w:rsidDel="00000000" w:rsidR="00000000" w:rsidRPr="00000000">
        <w:rPr>
          <w:rtl w:val="0"/>
        </w:rPr>
        <w:t xml:space="preserve">,</w:t>
      </w:r>
      <w:r w:rsidDel="00000000" w:rsidR="00000000" w:rsidRPr="00000000">
        <w:rPr>
          <w:rtl w:val="0"/>
        </w:rPr>
        <w:t xml:space="preserve"> a specialized list of skills required for individuals who have visual impairments.</w:t>
      </w:r>
    </w:p>
    <w:p w:rsidR="00000000" w:rsidDel="00000000" w:rsidP="00000000" w:rsidRDefault="00000000" w:rsidRPr="00000000" w14:paraId="0000000E">
      <w:pPr>
        <w:numPr>
          <w:ilvl w:val="0"/>
          <w:numId w:val="1"/>
        </w:numPr>
        <w:ind w:left="720" w:hanging="360"/>
        <w:rPr/>
      </w:pPr>
      <w:r w:rsidDel="00000000" w:rsidR="00000000" w:rsidRPr="00000000">
        <w:rPr>
          <w:rtl w:val="0"/>
        </w:rPr>
        <w:t xml:space="preserve">Provide inservice trainings for school personnel and classrooms regarding adaptations, best practices, and services.</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Adapt the curriculum (designed by classroom or special education teacher) and classroom materials based on the student’s visual abilities. This includes braille (may be done in collaboration with braillist), audio, large print, electronic text, and picture-based formats. The TVI typically provides access and support for the classroom or special education teacher, rather than teaching the core curriculum.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In addition, the role of an O&amp;M Instructor is to…</w:t>
      </w:r>
    </w:p>
    <w:p w:rsidR="00000000" w:rsidDel="00000000" w:rsidP="00000000" w:rsidRDefault="00000000" w:rsidRPr="00000000" w14:paraId="00000012">
      <w:pPr>
        <w:numPr>
          <w:ilvl w:val="0"/>
          <w:numId w:val="2"/>
        </w:numPr>
        <w:ind w:left="720" w:hanging="360"/>
        <w:rPr>
          <w:u w:val="none"/>
        </w:rPr>
      </w:pPr>
      <w:r w:rsidDel="00000000" w:rsidR="00000000" w:rsidRPr="00000000">
        <w:rPr>
          <w:rtl w:val="0"/>
        </w:rPr>
        <w:t xml:space="preserve">P</w:t>
      </w:r>
      <w:r w:rsidDel="00000000" w:rsidR="00000000" w:rsidRPr="00000000">
        <w:rPr>
          <w:rtl w:val="0"/>
        </w:rPr>
        <w:t xml:space="preserve">rovide students who have visual impairments with all of the necessary skills to become a safe and independent traveler in all areas of life.</w:t>
      </w:r>
      <w:r w:rsidDel="00000000" w:rsidR="00000000" w:rsidRPr="00000000">
        <w:rPr>
          <w:rtl w:val="0"/>
        </w:rPr>
      </w:r>
    </w:p>
    <w:p w:rsidR="00000000" w:rsidDel="00000000" w:rsidP="00000000" w:rsidRDefault="00000000" w:rsidRPr="00000000" w14:paraId="00000013">
      <w:pPr>
        <w:numPr>
          <w:ilvl w:val="0"/>
          <w:numId w:val="2"/>
        </w:numPr>
        <w:ind w:left="720" w:hanging="360"/>
        <w:rPr>
          <w:u w:val="none"/>
        </w:rPr>
      </w:pPr>
      <w:r w:rsidDel="00000000" w:rsidR="00000000" w:rsidRPr="00000000">
        <w:rPr>
          <w:rtl w:val="0"/>
        </w:rPr>
        <w:t xml:space="preserve">Conduct O&amp;M assessments to determine the student’s ability to travel safely and independently within all travel environments (i.e. school, and in the community).</w:t>
      </w:r>
    </w:p>
    <w:p w:rsidR="00000000" w:rsidDel="00000000" w:rsidP="00000000" w:rsidRDefault="00000000" w:rsidRPr="00000000" w14:paraId="00000014">
      <w:pPr>
        <w:numPr>
          <w:ilvl w:val="0"/>
          <w:numId w:val="2"/>
        </w:numPr>
        <w:ind w:left="720" w:hanging="360"/>
        <w:rPr>
          <w:u w:val="none"/>
        </w:rPr>
      </w:pPr>
      <w:r w:rsidDel="00000000" w:rsidR="00000000" w:rsidRPr="00000000">
        <w:rPr>
          <w:rtl w:val="0"/>
        </w:rPr>
        <w:t xml:space="preserve">Educate staff and parents about student’s travel needs and provide inservice training.</w:t>
      </w:r>
      <w:r w:rsidDel="00000000" w:rsidR="00000000" w:rsidRPr="00000000">
        <w:rPr>
          <w:rtl w:val="0"/>
        </w:rPr>
      </w:r>
    </w:p>
    <w:p w:rsidR="00000000" w:rsidDel="00000000" w:rsidP="00000000" w:rsidRDefault="00000000" w:rsidRPr="00000000" w14:paraId="00000015">
      <w:pPr>
        <w:numPr>
          <w:ilvl w:val="0"/>
          <w:numId w:val="2"/>
        </w:numPr>
        <w:ind w:left="720" w:hanging="360"/>
        <w:rPr>
          <w:u w:val="none"/>
        </w:rPr>
      </w:pPr>
      <w:r w:rsidDel="00000000" w:rsidR="00000000" w:rsidRPr="00000000">
        <w:rPr>
          <w:rtl w:val="0"/>
        </w:rPr>
        <w:t xml:space="preserve">Constant communication with IEP team and districts regarding the student’s travel needs.</w:t>
      </w:r>
    </w:p>
    <w:p w:rsidR="00000000" w:rsidDel="00000000" w:rsidP="00000000" w:rsidRDefault="00000000" w:rsidRPr="00000000" w14:paraId="00000016">
      <w:pPr>
        <w:jc w:val="center"/>
        <w:rPr>
          <w:b w:val="1"/>
        </w:rPr>
      </w:pPr>
      <w:r w:rsidDel="00000000" w:rsidR="00000000" w:rsidRPr="00000000">
        <w:rPr>
          <w:rtl w:val="0"/>
        </w:rPr>
      </w:r>
    </w:p>
    <w:p w:rsidR="00000000" w:rsidDel="00000000" w:rsidP="00000000" w:rsidRDefault="00000000" w:rsidRPr="00000000" w14:paraId="00000017">
      <w:pPr>
        <w:jc w:val="center"/>
        <w:rPr>
          <w:b w:val="1"/>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b w:val="1"/>
          <w:rtl w:val="0"/>
        </w:rPr>
        <w:t xml:space="preserve">Any student with a visual diagnosis that has an impact on their ability to access the curriculum, and/or travel safely and independently in all environments, may be eligible for services from a TVI or O&amp;M Instructor. </w:t>
      </w:r>
      <w:r w:rsidDel="00000000" w:rsidR="00000000" w:rsidRPr="00000000">
        <w:rPr>
          <w:rtl w:val="0"/>
        </w:rPr>
      </w:r>
    </w:p>
    <w:sectPr>
      <w:headerReference r:id="rId10" w:type="default"/>
      <w:pgSz w:h="15840" w:w="12240"/>
      <w:pgMar w:bottom="1440" w:top="1440" w:left="630" w:right="63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jc w:val="center"/>
      <w:rPr>
        <w:sz w:val="36"/>
        <w:szCs w:val="36"/>
      </w:rPr>
    </w:pPr>
    <w:r w:rsidDel="00000000" w:rsidR="00000000" w:rsidRPr="00000000">
      <w:rPr/>
      <w:drawing>
        <wp:inline distB="114300" distT="114300" distL="114300" distR="114300">
          <wp:extent cx="3709988" cy="894240"/>
          <wp:effectExtent b="0" l="0" r="0" t="0"/>
          <wp:docPr id="1" name="image1.jpg"/>
          <a:graphic>
            <a:graphicData uri="http://schemas.openxmlformats.org/drawingml/2006/picture">
              <pic:pic>
                <pic:nvPicPr>
                  <pic:cNvPr id="0" name="image1.jpg"/>
                  <pic:cNvPicPr preferRelativeResize="0"/>
                </pic:nvPicPr>
                <pic:blipFill>
                  <a:blip r:embed="rId1"/>
                  <a:srcRect b="21503" l="0" r="0" t="27368"/>
                  <a:stretch>
                    <a:fillRect/>
                  </a:stretch>
                </pic:blipFill>
                <pic:spPr>
                  <a:xfrm>
                    <a:off x="0" y="0"/>
                    <a:ext cx="3709988" cy="89424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jc w:val="center"/>
      <w:rPr>
        <w:sz w:val="24"/>
        <w:szCs w:val="24"/>
      </w:rPr>
    </w:pPr>
    <w:r w:rsidDel="00000000" w:rsidR="00000000" w:rsidRPr="00000000">
      <w:rPr>
        <w:sz w:val="24"/>
        <w:szCs w:val="24"/>
        <w:rtl w:val="0"/>
      </w:rPr>
      <w:t xml:space="preserve">The Roles of Teachers of the Visually Impaired and Orientation and Mobility Specialists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tsbvi.edu/math/3973-ecc-flyer" TargetMode="External"/><Relationship Id="rId5" Type="http://schemas.openxmlformats.org/officeDocument/2006/relationships/styles" Target="styles.xml"/><Relationship Id="rId6" Type="http://schemas.openxmlformats.org/officeDocument/2006/relationships/hyperlink" Target="http://www.wcbvi.k12.wi.us/" TargetMode="External"/><Relationship Id="rId7" Type="http://schemas.openxmlformats.org/officeDocument/2006/relationships/hyperlink" Target="http://www.afb.org/directory.aspx?action=results&amp;StateID=49" TargetMode="External"/><Relationship Id="rId8" Type="http://schemas.openxmlformats.org/officeDocument/2006/relationships/hyperlink" Target="https://dpi.wi.gov/sites/default/files/imce/forms/pdf/pod20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