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2B" w:rsidRPr="00F50DE9" w:rsidRDefault="0098352B" w:rsidP="0098352B">
      <w:pPr>
        <w:spacing w:before="360" w:after="0" w:line="240" w:lineRule="auto"/>
        <w:rPr>
          <w:b/>
        </w:rPr>
      </w:pPr>
      <w:r w:rsidRPr="00E247AC">
        <w:rPr>
          <w:rFonts w:ascii="Arial" w:hAnsi="Arial"/>
          <w:b/>
        </w:rPr>
        <w:t>POLICY</w:t>
      </w:r>
    </w:p>
    <w:p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rsidR="00EF3A81" w:rsidRPr="0098352B" w:rsidRDefault="00EF3A81" w:rsidP="00EF3A81">
      <w:pPr>
        <w:numPr>
          <w:ilvl w:val="0"/>
          <w:numId w:val="49"/>
        </w:numPr>
        <w:spacing w:before="100" w:beforeAutospacing="1" w:after="100" w:afterAutospacing="1" w:line="300" w:lineRule="atLeast"/>
        <w:ind w:left="525"/>
        <w:rPr>
          <w:rFonts w:ascii="Arial" w:eastAsia="Times New Roman" w:hAnsi="Arial" w:cs="Arial"/>
          <w:color w:val="333333"/>
        </w:rPr>
      </w:pPr>
      <w:r w:rsidRPr="0098352B">
        <w:rPr>
          <w:rFonts w:ascii="Arial" w:eastAsia="Times New Roman" w:hAnsi="Arial" w:cs="Arial"/>
          <w:color w:val="333333"/>
        </w:rPr>
        <w:t>Tomorrows Hope (TH) staffing plan shall provide for adequate levels of staffing, and, where applicable, video monitoring, to protect residents against sexual abuse. In calculating adequate staffing levels and determining the need for video monitoring, agencies shall take into consideration:</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physical layout of each facility;</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composition of the resident population;</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prevalence of substantiated and unsubstantiated incidents of sexual abuse; and</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Any other relevant factors.</w:t>
      </w:r>
    </w:p>
    <w:p w:rsidR="00EF3A81" w:rsidRPr="0098352B" w:rsidRDefault="00EF3A81" w:rsidP="00EF3A81">
      <w:pPr>
        <w:numPr>
          <w:ilvl w:val="0"/>
          <w:numId w:val="49"/>
        </w:numPr>
        <w:spacing w:before="100" w:beforeAutospacing="1" w:after="100" w:afterAutospacing="1" w:line="300" w:lineRule="atLeast"/>
        <w:ind w:left="525"/>
        <w:rPr>
          <w:rFonts w:ascii="Arial" w:eastAsia="Times New Roman" w:hAnsi="Arial" w:cs="Arial"/>
          <w:color w:val="333333"/>
        </w:rPr>
      </w:pPr>
      <w:r w:rsidRPr="0098352B">
        <w:rPr>
          <w:rFonts w:ascii="Arial" w:eastAsia="Times New Roman" w:hAnsi="Arial" w:cs="Arial"/>
          <w:color w:val="333333"/>
        </w:rPr>
        <w:t>In circumstances where the staffing plan is not complied with, the facility shall document and justify all deviations from the plan.</w:t>
      </w:r>
    </w:p>
    <w:p w:rsidR="00EF3A81" w:rsidRPr="0098352B" w:rsidRDefault="00EF3A81" w:rsidP="00EF3A81">
      <w:pPr>
        <w:numPr>
          <w:ilvl w:val="0"/>
          <w:numId w:val="49"/>
        </w:numPr>
        <w:spacing w:before="100" w:beforeAutospacing="1" w:after="100" w:afterAutospacing="1" w:line="300" w:lineRule="atLeast"/>
        <w:ind w:left="525"/>
        <w:rPr>
          <w:rFonts w:ascii="Arial" w:eastAsia="Times New Roman" w:hAnsi="Arial" w:cs="Arial"/>
          <w:color w:val="333333"/>
        </w:rPr>
      </w:pPr>
      <w:r w:rsidRPr="0098352B">
        <w:rPr>
          <w:rFonts w:ascii="Arial" w:eastAsia="Times New Roman" w:hAnsi="Arial" w:cs="Arial"/>
          <w:color w:val="333333"/>
        </w:rPr>
        <w:t>Whenever necessary, but no less frequently than once each year, the facility shall assess, determine, and document whether adjustments are needed to:</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staffing plan established pursuant to paragraph (a) of this section;</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Prevailing staffing patterns;</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facility’s deployment of video monitoring systems and other monitoring technologies; and</w:t>
      </w:r>
    </w:p>
    <w:p w:rsidR="00EF3A81" w:rsidRPr="0098352B" w:rsidRDefault="00EF3A81" w:rsidP="00EF3A81">
      <w:pPr>
        <w:numPr>
          <w:ilvl w:val="1"/>
          <w:numId w:val="49"/>
        </w:numPr>
        <w:spacing w:before="100" w:beforeAutospacing="1" w:after="100" w:afterAutospacing="1" w:line="300" w:lineRule="atLeast"/>
        <w:ind w:left="900"/>
        <w:rPr>
          <w:rFonts w:ascii="Arial" w:eastAsia="Times New Roman" w:hAnsi="Arial" w:cs="Arial"/>
          <w:color w:val="333333"/>
        </w:rPr>
      </w:pPr>
      <w:r w:rsidRPr="0098352B">
        <w:rPr>
          <w:rFonts w:ascii="Arial" w:eastAsia="Times New Roman" w:hAnsi="Arial" w:cs="Arial"/>
          <w:color w:val="333333"/>
        </w:rPr>
        <w:t>The resources the facility has available to commit to ensure adequate staffing levels.</w:t>
      </w:r>
    </w:p>
    <w:p w:rsidR="00E247AC" w:rsidRPr="00E247AC" w:rsidRDefault="00E65E18" w:rsidP="00E247AC">
      <w:pPr>
        <w:spacing w:before="360" w:after="0" w:line="240" w:lineRule="auto"/>
        <w:rPr>
          <w:rFonts w:ascii="Arial" w:hAnsi="Arial"/>
          <w:b/>
        </w:rPr>
      </w:pPr>
      <w:bookmarkStart w:id="0" w:name="_GoBack"/>
      <w:bookmarkEnd w:id="0"/>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81" w:rsidRDefault="00EF3A81" w:rsidP="00E65E18">
      <w:pPr>
        <w:spacing w:after="0" w:line="240" w:lineRule="auto"/>
      </w:pPr>
      <w:r>
        <w:separator/>
      </w:r>
    </w:p>
  </w:endnote>
  <w:endnote w:type="continuationSeparator" w:id="0">
    <w:p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F412ED" w:rsidRDefault="00EF3A81"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Content>
        <w:r w:rsidRPr="00F412ED">
          <w:rPr>
            <w:rFonts w:ascii="Arial" w:hAnsi="Arial"/>
            <w:bCs/>
            <w:sz w:val="18"/>
            <w:szCs w:val="18"/>
          </w:rPr>
          <w:fldChar w:fldCharType="begin"/>
        </w:r>
        <w:r w:rsidRPr="00F412ED">
          <w:rPr>
            <w:rFonts w:ascii="Arial" w:hAnsi="Arial"/>
            <w:bCs/>
            <w:sz w:val="18"/>
            <w:szCs w:val="18"/>
          </w:rPr>
          <w:instrText xml:space="preserve"> PAGE </w:instrText>
        </w:r>
        <w:r w:rsidRPr="00F412ED">
          <w:rPr>
            <w:rFonts w:ascii="Arial" w:hAnsi="Arial"/>
            <w:bCs/>
            <w:sz w:val="18"/>
            <w:szCs w:val="18"/>
          </w:rPr>
          <w:fldChar w:fldCharType="separate"/>
        </w:r>
        <w:r w:rsidR="00FA08B7">
          <w:rPr>
            <w:rFonts w:ascii="Arial" w:hAnsi="Arial"/>
            <w:bCs/>
            <w:noProof/>
            <w:sz w:val="18"/>
            <w:szCs w:val="18"/>
          </w:rPr>
          <w:t>1</w:t>
        </w:r>
        <w:r w:rsidRPr="00F412ED">
          <w:rPr>
            <w:rFonts w:ascii="Arial" w:hAnsi="Arial"/>
            <w:bCs/>
            <w:sz w:val="18"/>
            <w:szCs w:val="18"/>
          </w:rPr>
          <w:fldChar w:fldCharType="end"/>
        </w:r>
        <w:r w:rsidRPr="00F412ED">
          <w:rPr>
            <w:rFonts w:ascii="Arial" w:hAnsi="Arial"/>
            <w:sz w:val="18"/>
            <w:szCs w:val="18"/>
          </w:rPr>
          <w:t xml:space="preserve"> of </w:t>
        </w:r>
        <w:r w:rsidRPr="00F412ED">
          <w:rPr>
            <w:rFonts w:ascii="Arial" w:hAnsi="Arial"/>
            <w:bCs/>
            <w:sz w:val="18"/>
            <w:szCs w:val="18"/>
          </w:rPr>
          <w:fldChar w:fldCharType="begin"/>
        </w:r>
        <w:r w:rsidRPr="00F412ED">
          <w:rPr>
            <w:rFonts w:ascii="Arial" w:hAnsi="Arial"/>
            <w:bCs/>
            <w:sz w:val="18"/>
            <w:szCs w:val="18"/>
          </w:rPr>
          <w:instrText xml:space="preserve"> NUMPAGES  </w:instrText>
        </w:r>
        <w:r w:rsidRPr="00F412ED">
          <w:rPr>
            <w:rFonts w:ascii="Arial" w:hAnsi="Arial"/>
            <w:bCs/>
            <w:sz w:val="18"/>
            <w:szCs w:val="18"/>
          </w:rPr>
          <w:fldChar w:fldCharType="separate"/>
        </w:r>
        <w:r w:rsidR="00FA08B7">
          <w:rPr>
            <w:rFonts w:ascii="Arial" w:hAnsi="Arial"/>
            <w:bCs/>
            <w:noProof/>
            <w:sz w:val="18"/>
            <w:szCs w:val="18"/>
          </w:rPr>
          <w:t>1</w:t>
        </w:r>
        <w:r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81" w:rsidRDefault="00EF3A81" w:rsidP="00E65E18">
      <w:pPr>
        <w:spacing w:after="0" w:line="240" w:lineRule="auto"/>
      </w:pPr>
      <w:r>
        <w:separator/>
      </w:r>
    </w:p>
  </w:footnote>
  <w:footnote w:type="continuationSeparator" w:id="0">
    <w:p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E93D45" w:rsidRDefault="00EF3A81" w:rsidP="00E65E18">
    <w:pPr>
      <w:pStyle w:val="Header"/>
      <w:jc w:val="center"/>
      <w:rPr>
        <w:rFonts w:cs="Arial"/>
      </w:rPr>
    </w:pPr>
    <w:r>
      <w:rPr>
        <w:noProof/>
      </w:rPr>
      <w:drawing>
        <wp:inline distT="0" distB="0" distL="0" distR="0" wp14:anchorId="76E961F2" wp14:editId="725F6816">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rsidTr="00EF3A81">
      <w:tc>
        <w:tcPr>
          <w:tcW w:w="1998" w:type="dxa"/>
        </w:tcPr>
        <w:p w:rsidR="00EF3A81" w:rsidRPr="00830B81" w:rsidRDefault="00EF3A81" w:rsidP="00360CDC">
          <w:pPr>
            <w:pStyle w:val="Header"/>
            <w:spacing w:before="40"/>
            <w:jc w:val="center"/>
            <w:rPr>
              <w:rFonts w:ascii="Arial" w:hAnsi="Arial" w:cs="Arial"/>
              <w:b/>
              <w:sz w:val="24"/>
              <w:szCs w:val="24"/>
            </w:rPr>
          </w:pPr>
        </w:p>
      </w:tc>
      <w:tc>
        <w:tcPr>
          <w:tcW w:w="8154" w:type="dxa"/>
          <w:gridSpan w:val="3"/>
        </w:tcPr>
        <w:p w:rsidR="00EF3A81" w:rsidRDefault="00EF3A81" w:rsidP="00EF3A81">
          <w:pPr>
            <w:pStyle w:val="Header"/>
            <w:spacing w:before="40"/>
            <w:rPr>
              <w:rFonts w:ascii="Arial" w:hAnsi="Arial" w:cs="Arial"/>
              <w:b/>
              <w:sz w:val="24"/>
              <w:szCs w:val="24"/>
            </w:rPr>
          </w:pPr>
          <w:r>
            <w:rPr>
              <w:rFonts w:ascii="Arial" w:hAnsi="Arial" w:cs="Arial"/>
              <w:b/>
              <w:sz w:val="24"/>
              <w:szCs w:val="24"/>
            </w:rPr>
            <w:t>213 – Staffing Policy</w:t>
          </w:r>
        </w:p>
      </w:tc>
    </w:tr>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EF3A81" w:rsidRPr="00830B81" w:rsidRDefault="00EF3A81" w:rsidP="00867A7B">
          <w:pPr>
            <w:pStyle w:val="Header"/>
            <w:spacing w:before="40"/>
            <w:jc w:val="right"/>
            <w:rPr>
              <w:rFonts w:ascii="Arial" w:hAnsi="Arial" w:cs="Arial"/>
              <w:b/>
              <w:sz w:val="24"/>
              <w:szCs w:val="24"/>
            </w:rPr>
          </w:pPr>
        </w:p>
      </w:tc>
      <w:tc>
        <w:tcPr>
          <w:tcW w:w="1404" w:type="dxa"/>
        </w:tcPr>
        <w:p w:rsidR="00EF3A81" w:rsidRPr="00830B81" w:rsidRDefault="00EF3A81" w:rsidP="00867A7B">
          <w:pPr>
            <w:pStyle w:val="Header"/>
            <w:spacing w:before="40"/>
            <w:rPr>
              <w:rFonts w:ascii="Arial" w:hAnsi="Arial" w:cs="Arial"/>
              <w:b/>
              <w:sz w:val="24"/>
              <w:szCs w:val="24"/>
            </w:rPr>
          </w:pPr>
        </w:p>
      </w:tc>
    </w:tr>
    <w:tr w:rsidR="00EF3A81"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p>
      </w:tc>
    </w:tr>
  </w:tbl>
  <w:p w:rsidR="00EF3A81" w:rsidRDefault="00EF3A81"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419"/>
    <w:multiLevelType w:val="hybridMultilevel"/>
    <w:tmpl w:val="2F4CBCB0"/>
    <w:lvl w:ilvl="0" w:tplc="BAD4E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66FD8"/>
    <w:multiLevelType w:val="hybridMultilevel"/>
    <w:tmpl w:val="0F72E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46328"/>
    <w:multiLevelType w:val="hybridMultilevel"/>
    <w:tmpl w:val="57FE0DFC"/>
    <w:lvl w:ilvl="0" w:tplc="ED42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497"/>
    <w:multiLevelType w:val="hybridMultilevel"/>
    <w:tmpl w:val="9892BC54"/>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649AB"/>
    <w:multiLevelType w:val="hybridMultilevel"/>
    <w:tmpl w:val="BD842A32"/>
    <w:lvl w:ilvl="0" w:tplc="45EC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396638"/>
    <w:multiLevelType w:val="hybridMultilevel"/>
    <w:tmpl w:val="E51019D0"/>
    <w:lvl w:ilvl="0" w:tplc="1BA6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882FCF"/>
    <w:multiLevelType w:val="hybridMultilevel"/>
    <w:tmpl w:val="9CBA16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7E073F"/>
    <w:multiLevelType w:val="hybridMultilevel"/>
    <w:tmpl w:val="367234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512606"/>
    <w:multiLevelType w:val="hybridMultilevel"/>
    <w:tmpl w:val="6A525ECE"/>
    <w:lvl w:ilvl="0" w:tplc="3A16D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227F6"/>
    <w:multiLevelType w:val="hybridMultilevel"/>
    <w:tmpl w:val="97507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85621E"/>
    <w:multiLevelType w:val="hybridMultilevel"/>
    <w:tmpl w:val="1D9A1EC2"/>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C773440"/>
    <w:multiLevelType w:val="hybridMultilevel"/>
    <w:tmpl w:val="94529626"/>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nsid w:val="1E736641"/>
    <w:multiLevelType w:val="hybridMultilevel"/>
    <w:tmpl w:val="16541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C4D88"/>
    <w:multiLevelType w:val="hybridMultilevel"/>
    <w:tmpl w:val="FCF00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C1D12"/>
    <w:multiLevelType w:val="hybridMultilevel"/>
    <w:tmpl w:val="C4069418"/>
    <w:lvl w:ilvl="0" w:tplc="1080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513E22"/>
    <w:multiLevelType w:val="hybridMultilevel"/>
    <w:tmpl w:val="83C4695E"/>
    <w:lvl w:ilvl="0" w:tplc="C0342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484BC9"/>
    <w:multiLevelType w:val="hybridMultilevel"/>
    <w:tmpl w:val="5888BA40"/>
    <w:lvl w:ilvl="0" w:tplc="D4D4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06AAF"/>
    <w:multiLevelType w:val="hybridMultilevel"/>
    <w:tmpl w:val="0B34177A"/>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A61894"/>
    <w:multiLevelType w:val="hybridMultilevel"/>
    <w:tmpl w:val="149E7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D2297F"/>
    <w:multiLevelType w:val="hybridMultilevel"/>
    <w:tmpl w:val="46244C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8809D2"/>
    <w:multiLevelType w:val="hybridMultilevel"/>
    <w:tmpl w:val="F7BA5C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66407B"/>
    <w:multiLevelType w:val="hybridMultilevel"/>
    <w:tmpl w:val="7472CA1E"/>
    <w:lvl w:ilvl="0" w:tplc="7AE083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4673C6"/>
    <w:multiLevelType w:val="multilevel"/>
    <w:tmpl w:val="73F27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B43A53"/>
    <w:multiLevelType w:val="hybridMultilevel"/>
    <w:tmpl w:val="7A187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CD40BE"/>
    <w:multiLevelType w:val="hybridMultilevel"/>
    <w:tmpl w:val="AF72297E"/>
    <w:lvl w:ilvl="0" w:tplc="ABCA1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52ECA"/>
    <w:multiLevelType w:val="hybridMultilevel"/>
    <w:tmpl w:val="067E7C26"/>
    <w:lvl w:ilvl="0" w:tplc="E4D8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5F1A66"/>
    <w:multiLevelType w:val="hybridMultilevel"/>
    <w:tmpl w:val="FAECCCEE"/>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9F27FE4"/>
    <w:multiLevelType w:val="hybridMultilevel"/>
    <w:tmpl w:val="46BAB1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A601D4"/>
    <w:multiLevelType w:val="hybridMultilevel"/>
    <w:tmpl w:val="1CECF65C"/>
    <w:lvl w:ilvl="0" w:tplc="299A6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20232C"/>
    <w:multiLevelType w:val="hybridMultilevel"/>
    <w:tmpl w:val="EB62A99A"/>
    <w:lvl w:ilvl="0" w:tplc="585AF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9B0B4E"/>
    <w:multiLevelType w:val="hybridMultilevel"/>
    <w:tmpl w:val="A7E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EB7821"/>
    <w:multiLevelType w:val="hybridMultilevel"/>
    <w:tmpl w:val="CA221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20965"/>
    <w:multiLevelType w:val="hybridMultilevel"/>
    <w:tmpl w:val="F446E102"/>
    <w:lvl w:ilvl="0" w:tplc="48EE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4720D"/>
    <w:multiLevelType w:val="hybridMultilevel"/>
    <w:tmpl w:val="7EB0B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ED283F"/>
    <w:multiLevelType w:val="hybridMultilevel"/>
    <w:tmpl w:val="7E34F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054E35"/>
    <w:multiLevelType w:val="hybridMultilevel"/>
    <w:tmpl w:val="3DE4D0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C154927"/>
    <w:multiLevelType w:val="hybridMultilevel"/>
    <w:tmpl w:val="69D0E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DD27C6F"/>
    <w:multiLevelType w:val="hybridMultilevel"/>
    <w:tmpl w:val="458A15EA"/>
    <w:lvl w:ilvl="0" w:tplc="03006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343E2"/>
    <w:multiLevelType w:val="hybridMultilevel"/>
    <w:tmpl w:val="0CD6D4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FA169EE"/>
    <w:multiLevelType w:val="hybridMultilevel"/>
    <w:tmpl w:val="6734A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3F4989"/>
    <w:multiLevelType w:val="hybridMultilevel"/>
    <w:tmpl w:val="62F49066"/>
    <w:lvl w:ilvl="0" w:tplc="9D6E2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07425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6AC9786D"/>
    <w:multiLevelType w:val="hybridMultilevel"/>
    <w:tmpl w:val="5054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4240DC"/>
    <w:multiLevelType w:val="hybridMultilevel"/>
    <w:tmpl w:val="93BAEB54"/>
    <w:lvl w:ilvl="0" w:tplc="0180F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5D6AEA"/>
    <w:multiLevelType w:val="hybridMultilevel"/>
    <w:tmpl w:val="AA7A7DC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nsid w:val="73083D26"/>
    <w:multiLevelType w:val="hybridMultilevel"/>
    <w:tmpl w:val="FCCA6580"/>
    <w:lvl w:ilvl="0" w:tplc="3E0C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012284"/>
    <w:multiLevelType w:val="hybridMultilevel"/>
    <w:tmpl w:val="FB36D35E"/>
    <w:lvl w:ilvl="0" w:tplc="9EF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7D2DA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nsid w:val="790051D3"/>
    <w:multiLevelType w:val="hybridMultilevel"/>
    <w:tmpl w:val="F3F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36"/>
  </w:num>
  <w:num w:numId="5">
    <w:abstractNumId w:val="48"/>
  </w:num>
  <w:num w:numId="6">
    <w:abstractNumId w:val="30"/>
  </w:num>
  <w:num w:numId="7">
    <w:abstractNumId w:val="1"/>
  </w:num>
  <w:num w:numId="8">
    <w:abstractNumId w:val="35"/>
  </w:num>
  <w:num w:numId="9">
    <w:abstractNumId w:val="42"/>
  </w:num>
  <w:num w:numId="10">
    <w:abstractNumId w:val="3"/>
  </w:num>
  <w:num w:numId="11">
    <w:abstractNumId w:val="8"/>
  </w:num>
  <w:num w:numId="12">
    <w:abstractNumId w:val="18"/>
  </w:num>
  <w:num w:numId="13">
    <w:abstractNumId w:val="2"/>
  </w:num>
  <w:num w:numId="14">
    <w:abstractNumId w:val="43"/>
  </w:num>
  <w:num w:numId="15">
    <w:abstractNumId w:val="12"/>
  </w:num>
  <w:num w:numId="16">
    <w:abstractNumId w:val="31"/>
  </w:num>
  <w:num w:numId="17">
    <w:abstractNumId w:val="25"/>
  </w:num>
  <w:num w:numId="18">
    <w:abstractNumId w:val="39"/>
  </w:num>
  <w:num w:numId="19">
    <w:abstractNumId w:val="9"/>
  </w:num>
  <w:num w:numId="20">
    <w:abstractNumId w:val="37"/>
  </w:num>
  <w:num w:numId="21">
    <w:abstractNumId w:val="32"/>
  </w:num>
  <w:num w:numId="22">
    <w:abstractNumId w:val="6"/>
  </w:num>
  <w:num w:numId="23">
    <w:abstractNumId w:val="17"/>
  </w:num>
  <w:num w:numId="24">
    <w:abstractNumId w:val="20"/>
  </w:num>
  <w:num w:numId="25">
    <w:abstractNumId w:val="27"/>
  </w:num>
  <w:num w:numId="26">
    <w:abstractNumId w:val="38"/>
  </w:num>
  <w:num w:numId="27">
    <w:abstractNumId w:val="23"/>
  </w:num>
  <w:num w:numId="28">
    <w:abstractNumId w:val="41"/>
  </w:num>
  <w:num w:numId="29">
    <w:abstractNumId w:val="5"/>
  </w:num>
  <w:num w:numId="30">
    <w:abstractNumId w:val="14"/>
  </w:num>
  <w:num w:numId="31">
    <w:abstractNumId w:val="16"/>
  </w:num>
  <w:num w:numId="32">
    <w:abstractNumId w:val="47"/>
  </w:num>
  <w:num w:numId="33">
    <w:abstractNumId w:val="26"/>
  </w:num>
  <w:num w:numId="34">
    <w:abstractNumId w:val="11"/>
  </w:num>
  <w:num w:numId="35">
    <w:abstractNumId w:val="34"/>
  </w:num>
  <w:num w:numId="36">
    <w:abstractNumId w:val="7"/>
  </w:num>
  <w:num w:numId="37">
    <w:abstractNumId w:val="19"/>
  </w:num>
  <w:num w:numId="38">
    <w:abstractNumId w:val="33"/>
  </w:num>
  <w:num w:numId="39">
    <w:abstractNumId w:val="0"/>
  </w:num>
  <w:num w:numId="40">
    <w:abstractNumId w:val="24"/>
  </w:num>
  <w:num w:numId="41">
    <w:abstractNumId w:val="45"/>
  </w:num>
  <w:num w:numId="42">
    <w:abstractNumId w:val="15"/>
  </w:num>
  <w:num w:numId="43">
    <w:abstractNumId w:val="29"/>
  </w:num>
  <w:num w:numId="44">
    <w:abstractNumId w:val="28"/>
  </w:num>
  <w:num w:numId="45">
    <w:abstractNumId w:val="46"/>
  </w:num>
  <w:num w:numId="46">
    <w:abstractNumId w:val="21"/>
  </w:num>
  <w:num w:numId="47">
    <w:abstractNumId w:val="40"/>
  </w:num>
  <w:num w:numId="48">
    <w:abstractNumId w:val="4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22484D"/>
    <w:rsid w:val="002E4367"/>
    <w:rsid w:val="003177A6"/>
    <w:rsid w:val="00360CDC"/>
    <w:rsid w:val="00383589"/>
    <w:rsid w:val="003947C8"/>
    <w:rsid w:val="003B453A"/>
    <w:rsid w:val="00476227"/>
    <w:rsid w:val="004D1548"/>
    <w:rsid w:val="00625CF6"/>
    <w:rsid w:val="00627109"/>
    <w:rsid w:val="0069726D"/>
    <w:rsid w:val="006F42D9"/>
    <w:rsid w:val="00757F0C"/>
    <w:rsid w:val="00794F13"/>
    <w:rsid w:val="00854899"/>
    <w:rsid w:val="00867A7B"/>
    <w:rsid w:val="008F43CA"/>
    <w:rsid w:val="00904DE8"/>
    <w:rsid w:val="0098352B"/>
    <w:rsid w:val="009B5848"/>
    <w:rsid w:val="009D1C0D"/>
    <w:rsid w:val="00A53827"/>
    <w:rsid w:val="00AA2E82"/>
    <w:rsid w:val="00B74D7E"/>
    <w:rsid w:val="00C038D3"/>
    <w:rsid w:val="00D024D9"/>
    <w:rsid w:val="00D30FDF"/>
    <w:rsid w:val="00D67111"/>
    <w:rsid w:val="00D97EAE"/>
    <w:rsid w:val="00E02267"/>
    <w:rsid w:val="00E247AC"/>
    <w:rsid w:val="00E65E18"/>
    <w:rsid w:val="00E704A2"/>
    <w:rsid w:val="00E9235E"/>
    <w:rsid w:val="00EF3A81"/>
    <w:rsid w:val="00F1472C"/>
    <w:rsid w:val="00F412ED"/>
    <w:rsid w:val="00F73E37"/>
    <w:rsid w:val="00F828D4"/>
    <w:rsid w:val="00F837E2"/>
    <w:rsid w:val="00FA08B7"/>
    <w:rsid w:val="00FD178C"/>
    <w:rsid w:val="00FD3089"/>
    <w:rsid w:val="00FD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6D76-8034-4AE5-A608-436B8AF1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4</cp:revision>
  <cp:lastPrinted>2016-07-25T18:10:00Z</cp:lastPrinted>
  <dcterms:created xsi:type="dcterms:W3CDTF">2016-07-25T18:07:00Z</dcterms:created>
  <dcterms:modified xsi:type="dcterms:W3CDTF">2016-07-25T18:11:00Z</dcterms:modified>
</cp:coreProperties>
</file>