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B0E" w:rsidRPr="00146B0E" w:rsidRDefault="00146B0E" w:rsidP="00146B0E">
      <w:pPr>
        <w:spacing w:before="150" w:after="150" w:line="360" w:lineRule="atLeast"/>
        <w:outlineLvl w:val="2"/>
        <w:rPr>
          <w:rFonts w:ascii="Arial" w:eastAsia="Times New Roman" w:hAnsi="Arial" w:cs="Arial"/>
          <w:b/>
          <w:bCs/>
          <w:caps/>
          <w:color w:val="333333"/>
        </w:rPr>
      </w:pPr>
      <w:r w:rsidRPr="00146B0E">
        <w:rPr>
          <w:rFonts w:ascii="Arial" w:eastAsia="Times New Roman" w:hAnsi="Arial" w:cs="Arial"/>
          <w:b/>
          <w:bCs/>
          <w:caps/>
          <w:color w:val="333333"/>
        </w:rPr>
        <w:t>Screening for Risk of Sexual Victimization and Abusiveness</w:t>
      </w:r>
    </w:p>
    <w:p w:rsidR="00146B0E" w:rsidRPr="00146B0E" w:rsidRDefault="00146B0E" w:rsidP="00146B0E">
      <w:pPr>
        <w:numPr>
          <w:ilvl w:val="0"/>
          <w:numId w:val="7"/>
        </w:numPr>
        <w:spacing w:before="100" w:beforeAutospacing="1" w:after="100" w:afterAutospacing="1" w:line="300" w:lineRule="atLeast"/>
        <w:ind w:left="525"/>
        <w:rPr>
          <w:rFonts w:ascii="Arial" w:eastAsia="Times New Roman" w:hAnsi="Arial" w:cs="Arial"/>
          <w:color w:val="333333"/>
        </w:rPr>
      </w:pPr>
      <w:r w:rsidRPr="00146B0E">
        <w:rPr>
          <w:rFonts w:ascii="Arial" w:eastAsia="Times New Roman" w:hAnsi="Arial" w:cs="Arial"/>
          <w:color w:val="333333"/>
        </w:rPr>
        <w:t>All residents shall be assessed during an intake screening and upon transfer to another facility for their risk of being sexually abused by other residents or sexually abusive toward other residents.</w:t>
      </w:r>
    </w:p>
    <w:p w:rsidR="00146B0E" w:rsidRPr="00146B0E" w:rsidRDefault="00146B0E" w:rsidP="00146B0E">
      <w:pPr>
        <w:numPr>
          <w:ilvl w:val="0"/>
          <w:numId w:val="7"/>
        </w:numPr>
        <w:spacing w:before="100" w:beforeAutospacing="1" w:after="100" w:afterAutospacing="1" w:line="300" w:lineRule="atLeast"/>
        <w:ind w:left="525"/>
        <w:rPr>
          <w:rFonts w:ascii="Arial" w:eastAsia="Times New Roman" w:hAnsi="Arial" w:cs="Arial"/>
          <w:color w:val="333333"/>
        </w:rPr>
      </w:pPr>
      <w:r w:rsidRPr="00146B0E">
        <w:rPr>
          <w:rFonts w:ascii="Arial" w:eastAsia="Times New Roman" w:hAnsi="Arial" w:cs="Arial"/>
          <w:color w:val="333333"/>
        </w:rPr>
        <w:t>Intake screening shall ordinarily t</w:t>
      </w:r>
      <w:bookmarkStart w:id="0" w:name="_GoBack"/>
      <w:bookmarkEnd w:id="0"/>
      <w:r w:rsidRPr="00146B0E">
        <w:rPr>
          <w:rFonts w:ascii="Arial" w:eastAsia="Times New Roman" w:hAnsi="Arial" w:cs="Arial"/>
          <w:color w:val="333333"/>
        </w:rPr>
        <w:t>ake place within 72 hours of arrival at the facility.</w:t>
      </w:r>
    </w:p>
    <w:p w:rsidR="00146B0E" w:rsidRPr="00146B0E" w:rsidRDefault="00146B0E" w:rsidP="00146B0E">
      <w:pPr>
        <w:numPr>
          <w:ilvl w:val="0"/>
          <w:numId w:val="7"/>
        </w:numPr>
        <w:spacing w:before="100" w:beforeAutospacing="1" w:after="100" w:afterAutospacing="1" w:line="300" w:lineRule="atLeast"/>
        <w:ind w:left="525"/>
        <w:rPr>
          <w:rFonts w:ascii="Arial" w:eastAsia="Times New Roman" w:hAnsi="Arial" w:cs="Arial"/>
          <w:color w:val="333333"/>
        </w:rPr>
      </w:pPr>
      <w:r w:rsidRPr="00146B0E">
        <w:rPr>
          <w:rFonts w:ascii="Arial" w:eastAsia="Times New Roman" w:hAnsi="Arial" w:cs="Arial"/>
          <w:color w:val="333333"/>
        </w:rPr>
        <w:t>Such assessments shall be conducted using an objective screening instrument.</w:t>
      </w:r>
    </w:p>
    <w:p w:rsidR="00146B0E" w:rsidRPr="00146B0E" w:rsidRDefault="00146B0E" w:rsidP="00146B0E">
      <w:pPr>
        <w:numPr>
          <w:ilvl w:val="0"/>
          <w:numId w:val="7"/>
        </w:numPr>
        <w:spacing w:before="100" w:beforeAutospacing="1" w:after="100" w:afterAutospacing="1" w:line="300" w:lineRule="atLeast"/>
        <w:ind w:left="525"/>
        <w:rPr>
          <w:rFonts w:ascii="Arial" w:eastAsia="Times New Roman" w:hAnsi="Arial" w:cs="Arial"/>
          <w:color w:val="333333"/>
        </w:rPr>
      </w:pPr>
      <w:r w:rsidRPr="00146B0E">
        <w:rPr>
          <w:rFonts w:ascii="Arial" w:eastAsia="Times New Roman" w:hAnsi="Arial" w:cs="Arial"/>
          <w:color w:val="333333"/>
        </w:rPr>
        <w:t>The intake screening shall consider, at a minimum, the following criteria to assess residents for risk of sexual victimization:</w:t>
      </w:r>
    </w:p>
    <w:p w:rsidR="00146B0E" w:rsidRPr="00146B0E" w:rsidRDefault="00146B0E" w:rsidP="00146B0E">
      <w:pPr>
        <w:numPr>
          <w:ilvl w:val="1"/>
          <w:numId w:val="7"/>
        </w:numPr>
        <w:spacing w:before="100" w:beforeAutospacing="1" w:after="100" w:afterAutospacing="1" w:line="300" w:lineRule="atLeast"/>
        <w:ind w:left="900"/>
        <w:rPr>
          <w:rFonts w:ascii="Arial" w:eastAsia="Times New Roman" w:hAnsi="Arial" w:cs="Arial"/>
          <w:color w:val="333333"/>
        </w:rPr>
      </w:pPr>
      <w:r w:rsidRPr="00146B0E">
        <w:rPr>
          <w:rFonts w:ascii="Arial" w:eastAsia="Times New Roman" w:hAnsi="Arial" w:cs="Arial"/>
          <w:color w:val="333333"/>
        </w:rPr>
        <w:t>Whether the resident has a mental, physical, or developmental disability;</w:t>
      </w:r>
    </w:p>
    <w:p w:rsidR="00146B0E" w:rsidRPr="00146B0E" w:rsidRDefault="00146B0E" w:rsidP="00146B0E">
      <w:pPr>
        <w:numPr>
          <w:ilvl w:val="1"/>
          <w:numId w:val="7"/>
        </w:numPr>
        <w:spacing w:before="100" w:beforeAutospacing="1" w:after="100" w:afterAutospacing="1" w:line="300" w:lineRule="atLeast"/>
        <w:ind w:left="900"/>
        <w:rPr>
          <w:rFonts w:ascii="Arial" w:eastAsia="Times New Roman" w:hAnsi="Arial" w:cs="Arial"/>
          <w:color w:val="333333"/>
        </w:rPr>
      </w:pPr>
      <w:r w:rsidRPr="00146B0E">
        <w:rPr>
          <w:rFonts w:ascii="Arial" w:eastAsia="Times New Roman" w:hAnsi="Arial" w:cs="Arial"/>
          <w:color w:val="333333"/>
        </w:rPr>
        <w:t>The age of the resident;</w:t>
      </w:r>
    </w:p>
    <w:p w:rsidR="00146B0E" w:rsidRPr="00146B0E" w:rsidRDefault="00146B0E" w:rsidP="00146B0E">
      <w:pPr>
        <w:numPr>
          <w:ilvl w:val="1"/>
          <w:numId w:val="7"/>
        </w:numPr>
        <w:spacing w:before="100" w:beforeAutospacing="1" w:after="100" w:afterAutospacing="1" w:line="300" w:lineRule="atLeast"/>
        <w:ind w:left="900"/>
        <w:rPr>
          <w:rFonts w:ascii="Arial" w:eastAsia="Times New Roman" w:hAnsi="Arial" w:cs="Arial"/>
          <w:color w:val="333333"/>
        </w:rPr>
      </w:pPr>
      <w:r w:rsidRPr="00146B0E">
        <w:rPr>
          <w:rFonts w:ascii="Arial" w:eastAsia="Times New Roman" w:hAnsi="Arial" w:cs="Arial"/>
          <w:color w:val="333333"/>
        </w:rPr>
        <w:t>The physical build of the resident;</w:t>
      </w:r>
    </w:p>
    <w:p w:rsidR="00146B0E" w:rsidRPr="00146B0E" w:rsidRDefault="00146B0E" w:rsidP="00146B0E">
      <w:pPr>
        <w:numPr>
          <w:ilvl w:val="1"/>
          <w:numId w:val="7"/>
        </w:numPr>
        <w:spacing w:before="100" w:beforeAutospacing="1" w:after="100" w:afterAutospacing="1" w:line="300" w:lineRule="atLeast"/>
        <w:ind w:left="900"/>
        <w:rPr>
          <w:rFonts w:ascii="Arial" w:eastAsia="Times New Roman" w:hAnsi="Arial" w:cs="Arial"/>
          <w:color w:val="333333"/>
        </w:rPr>
      </w:pPr>
      <w:r w:rsidRPr="00146B0E">
        <w:rPr>
          <w:rFonts w:ascii="Arial" w:eastAsia="Times New Roman" w:hAnsi="Arial" w:cs="Arial"/>
          <w:color w:val="333333"/>
        </w:rPr>
        <w:t>Whether the resident has previously been incarcerated;</w:t>
      </w:r>
    </w:p>
    <w:p w:rsidR="00146B0E" w:rsidRPr="00146B0E" w:rsidRDefault="00146B0E" w:rsidP="00146B0E">
      <w:pPr>
        <w:numPr>
          <w:ilvl w:val="1"/>
          <w:numId w:val="7"/>
        </w:numPr>
        <w:spacing w:before="100" w:beforeAutospacing="1" w:after="100" w:afterAutospacing="1" w:line="300" w:lineRule="atLeast"/>
        <w:ind w:left="900"/>
        <w:rPr>
          <w:rFonts w:ascii="Arial" w:eastAsia="Times New Roman" w:hAnsi="Arial" w:cs="Arial"/>
          <w:color w:val="333333"/>
        </w:rPr>
      </w:pPr>
      <w:r w:rsidRPr="00146B0E">
        <w:rPr>
          <w:rFonts w:ascii="Arial" w:eastAsia="Times New Roman" w:hAnsi="Arial" w:cs="Arial"/>
          <w:color w:val="333333"/>
        </w:rPr>
        <w:t>Whether the resident’s criminal history is exclusively nonviolent;</w:t>
      </w:r>
    </w:p>
    <w:p w:rsidR="00146B0E" w:rsidRPr="00146B0E" w:rsidRDefault="00146B0E" w:rsidP="00146B0E">
      <w:pPr>
        <w:numPr>
          <w:ilvl w:val="1"/>
          <w:numId w:val="7"/>
        </w:numPr>
        <w:spacing w:before="100" w:beforeAutospacing="1" w:after="100" w:afterAutospacing="1" w:line="300" w:lineRule="atLeast"/>
        <w:ind w:left="900"/>
        <w:rPr>
          <w:rFonts w:ascii="Arial" w:eastAsia="Times New Roman" w:hAnsi="Arial" w:cs="Arial"/>
          <w:color w:val="333333"/>
        </w:rPr>
      </w:pPr>
      <w:r w:rsidRPr="00146B0E">
        <w:rPr>
          <w:rFonts w:ascii="Arial" w:eastAsia="Times New Roman" w:hAnsi="Arial" w:cs="Arial"/>
          <w:color w:val="333333"/>
        </w:rPr>
        <w:t>Whether the resident has prior convictions for sex offenses against an adult or child;</w:t>
      </w:r>
    </w:p>
    <w:p w:rsidR="00146B0E" w:rsidRPr="00146B0E" w:rsidRDefault="00146B0E" w:rsidP="00146B0E">
      <w:pPr>
        <w:numPr>
          <w:ilvl w:val="1"/>
          <w:numId w:val="7"/>
        </w:numPr>
        <w:spacing w:before="100" w:beforeAutospacing="1" w:after="100" w:afterAutospacing="1" w:line="300" w:lineRule="atLeast"/>
        <w:ind w:left="900"/>
        <w:rPr>
          <w:rFonts w:ascii="Arial" w:eastAsia="Times New Roman" w:hAnsi="Arial" w:cs="Arial"/>
          <w:color w:val="333333"/>
        </w:rPr>
      </w:pPr>
      <w:r w:rsidRPr="00146B0E">
        <w:rPr>
          <w:rFonts w:ascii="Arial" w:eastAsia="Times New Roman" w:hAnsi="Arial" w:cs="Arial"/>
          <w:color w:val="333333"/>
        </w:rPr>
        <w:t>Whether the resident is or is perceived to be gay, lesbian, bisexual, transgender, intersex, transsexual;</w:t>
      </w:r>
    </w:p>
    <w:p w:rsidR="00146B0E" w:rsidRPr="00146B0E" w:rsidRDefault="00146B0E" w:rsidP="00146B0E">
      <w:pPr>
        <w:numPr>
          <w:ilvl w:val="1"/>
          <w:numId w:val="7"/>
        </w:numPr>
        <w:spacing w:before="100" w:beforeAutospacing="1" w:after="100" w:afterAutospacing="1" w:line="300" w:lineRule="atLeast"/>
        <w:ind w:left="900"/>
        <w:rPr>
          <w:rFonts w:ascii="Arial" w:eastAsia="Times New Roman" w:hAnsi="Arial" w:cs="Arial"/>
          <w:color w:val="333333"/>
        </w:rPr>
      </w:pPr>
      <w:r w:rsidRPr="00146B0E">
        <w:rPr>
          <w:rFonts w:ascii="Arial" w:eastAsia="Times New Roman" w:hAnsi="Arial" w:cs="Arial"/>
          <w:color w:val="333333"/>
        </w:rPr>
        <w:t>Whether the resident has previously experienced sexual victimization; and</w:t>
      </w:r>
    </w:p>
    <w:p w:rsidR="00146B0E" w:rsidRPr="00146B0E" w:rsidRDefault="00146B0E" w:rsidP="00146B0E">
      <w:pPr>
        <w:numPr>
          <w:ilvl w:val="1"/>
          <w:numId w:val="7"/>
        </w:numPr>
        <w:spacing w:before="100" w:beforeAutospacing="1" w:after="100" w:afterAutospacing="1" w:line="300" w:lineRule="atLeast"/>
        <w:ind w:left="900"/>
        <w:rPr>
          <w:rFonts w:ascii="Arial" w:eastAsia="Times New Roman" w:hAnsi="Arial" w:cs="Arial"/>
          <w:color w:val="333333"/>
        </w:rPr>
      </w:pPr>
      <w:r w:rsidRPr="00146B0E">
        <w:rPr>
          <w:rFonts w:ascii="Arial" w:eastAsia="Times New Roman" w:hAnsi="Arial" w:cs="Arial"/>
          <w:color w:val="333333"/>
        </w:rPr>
        <w:t>The residents own perception of vulnerability.</w:t>
      </w:r>
    </w:p>
    <w:p w:rsidR="00146B0E" w:rsidRPr="00146B0E" w:rsidRDefault="00146B0E" w:rsidP="00146B0E">
      <w:pPr>
        <w:numPr>
          <w:ilvl w:val="0"/>
          <w:numId w:val="7"/>
        </w:numPr>
        <w:spacing w:before="100" w:beforeAutospacing="1" w:after="100" w:afterAutospacing="1" w:line="300" w:lineRule="atLeast"/>
        <w:ind w:left="525"/>
        <w:rPr>
          <w:rFonts w:ascii="Arial" w:eastAsia="Times New Roman" w:hAnsi="Arial" w:cs="Arial"/>
          <w:color w:val="333333"/>
        </w:rPr>
      </w:pPr>
      <w:r w:rsidRPr="00146B0E">
        <w:rPr>
          <w:rFonts w:ascii="Arial" w:eastAsia="Times New Roman" w:hAnsi="Arial" w:cs="Arial"/>
          <w:color w:val="333333"/>
        </w:rPr>
        <w:t>The intake screening shall consider prior acts of sexual abuse, prior convictions for violent offenses, and history of prior institutional violence or sexual abuse, as known to the agency, in assessing residents for risk of being sexually abusive.</w:t>
      </w:r>
    </w:p>
    <w:p w:rsidR="00146B0E" w:rsidRPr="00146B0E" w:rsidRDefault="00146B0E" w:rsidP="00146B0E">
      <w:pPr>
        <w:numPr>
          <w:ilvl w:val="0"/>
          <w:numId w:val="7"/>
        </w:numPr>
        <w:spacing w:before="100" w:beforeAutospacing="1" w:after="100" w:afterAutospacing="1" w:line="300" w:lineRule="atLeast"/>
        <w:ind w:left="525"/>
        <w:rPr>
          <w:rFonts w:ascii="Arial" w:eastAsia="Times New Roman" w:hAnsi="Arial" w:cs="Arial"/>
          <w:color w:val="333333"/>
        </w:rPr>
      </w:pPr>
      <w:r w:rsidRPr="00146B0E">
        <w:rPr>
          <w:rFonts w:ascii="Arial" w:eastAsia="Times New Roman" w:hAnsi="Arial" w:cs="Arial"/>
          <w:color w:val="333333"/>
        </w:rPr>
        <w:t>Within a set time period, not to exceed 30 days from the resident’s arrival at Tomorrows Hope (TH), TH will reassess the resident’s risk of victimization or abusiveness based upon any additional, relevant information received by the facility since the intake screening.</w:t>
      </w:r>
    </w:p>
    <w:p w:rsidR="00146B0E" w:rsidRPr="00146B0E" w:rsidRDefault="00146B0E" w:rsidP="00146B0E">
      <w:pPr>
        <w:numPr>
          <w:ilvl w:val="0"/>
          <w:numId w:val="7"/>
        </w:numPr>
        <w:spacing w:before="100" w:beforeAutospacing="1" w:after="100" w:afterAutospacing="1" w:line="300" w:lineRule="atLeast"/>
        <w:ind w:left="525"/>
        <w:rPr>
          <w:rFonts w:ascii="Arial" w:eastAsia="Times New Roman" w:hAnsi="Arial" w:cs="Arial"/>
          <w:color w:val="333333"/>
        </w:rPr>
      </w:pPr>
      <w:r w:rsidRPr="00146B0E">
        <w:rPr>
          <w:rFonts w:ascii="Arial" w:eastAsia="Times New Roman" w:hAnsi="Arial" w:cs="Arial"/>
          <w:color w:val="333333"/>
        </w:rPr>
        <w:t>A resident’s risk level shall be reassessed when warranted due to a referral, request, incident of sexual abuse, or receipt of additional information that bears on the resident’s risk of sexual victimization or abusiveness.</w:t>
      </w:r>
    </w:p>
    <w:p w:rsidR="00146B0E" w:rsidRPr="00146B0E" w:rsidRDefault="00146B0E" w:rsidP="00146B0E">
      <w:pPr>
        <w:numPr>
          <w:ilvl w:val="0"/>
          <w:numId w:val="7"/>
        </w:numPr>
        <w:spacing w:before="100" w:beforeAutospacing="1" w:after="100" w:afterAutospacing="1" w:line="300" w:lineRule="atLeast"/>
        <w:ind w:left="525"/>
        <w:rPr>
          <w:rFonts w:ascii="Arial" w:eastAsia="Times New Roman" w:hAnsi="Arial" w:cs="Arial"/>
          <w:color w:val="333333"/>
        </w:rPr>
      </w:pPr>
      <w:r w:rsidRPr="00146B0E">
        <w:rPr>
          <w:rFonts w:ascii="Arial" w:eastAsia="Times New Roman" w:hAnsi="Arial" w:cs="Arial"/>
          <w:color w:val="333333"/>
        </w:rPr>
        <w:t>Residents may not be disciplined for refusing to answer, or for not disclosing complete information in response to, questions asked pursuant to paragraphs (d)(1), (d)(7), (d)(8), or (d)(9) of this section.</w:t>
      </w:r>
    </w:p>
    <w:p w:rsidR="00146B0E" w:rsidRPr="00146B0E" w:rsidRDefault="00146B0E" w:rsidP="00146B0E">
      <w:pPr>
        <w:numPr>
          <w:ilvl w:val="0"/>
          <w:numId w:val="7"/>
        </w:numPr>
        <w:spacing w:before="100" w:beforeAutospacing="1" w:after="100" w:afterAutospacing="1" w:line="300" w:lineRule="atLeast"/>
        <w:ind w:left="525"/>
        <w:rPr>
          <w:rFonts w:ascii="Arial" w:eastAsia="Times New Roman" w:hAnsi="Arial" w:cs="Arial"/>
          <w:color w:val="333333"/>
        </w:rPr>
      </w:pPr>
      <w:r w:rsidRPr="00146B0E">
        <w:rPr>
          <w:rFonts w:ascii="Arial" w:eastAsia="Times New Roman" w:hAnsi="Arial" w:cs="Arial"/>
          <w:color w:val="333333"/>
        </w:rPr>
        <w:t>Sensitive information shall not be disseminated unnecessarily to guard against exploit of the resident’s detriment by staff or other residents.</w:t>
      </w:r>
    </w:p>
    <w:p w:rsidR="00146B0E" w:rsidRPr="00146B0E" w:rsidRDefault="00146B0E" w:rsidP="00146B0E">
      <w:pPr>
        <w:numPr>
          <w:ilvl w:val="1"/>
          <w:numId w:val="7"/>
        </w:numPr>
        <w:spacing w:before="100" w:beforeAutospacing="1" w:after="100" w:afterAutospacing="1" w:line="300" w:lineRule="atLeast"/>
        <w:ind w:left="900"/>
        <w:rPr>
          <w:rFonts w:ascii="Arial" w:eastAsia="Times New Roman" w:hAnsi="Arial" w:cs="Arial"/>
          <w:color w:val="333333"/>
        </w:rPr>
      </w:pPr>
      <w:r w:rsidRPr="00146B0E">
        <w:rPr>
          <w:rFonts w:ascii="Arial" w:eastAsia="Times New Roman" w:hAnsi="Arial" w:cs="Arial"/>
          <w:color w:val="333333"/>
        </w:rPr>
        <w:t>All residents shall be assessed during an intake screening and upon transfer to another facility for their risk of being sexually abused by other residents or sexually abusive toward other residents.</w:t>
      </w:r>
    </w:p>
    <w:p w:rsidR="00146B0E" w:rsidRPr="00146B0E" w:rsidRDefault="00146B0E" w:rsidP="00146B0E">
      <w:pPr>
        <w:numPr>
          <w:ilvl w:val="1"/>
          <w:numId w:val="7"/>
        </w:numPr>
        <w:spacing w:before="100" w:beforeAutospacing="1" w:after="100" w:afterAutospacing="1" w:line="300" w:lineRule="atLeast"/>
        <w:ind w:left="900"/>
        <w:rPr>
          <w:rFonts w:ascii="Arial" w:eastAsia="Times New Roman" w:hAnsi="Arial" w:cs="Arial"/>
          <w:color w:val="333333"/>
        </w:rPr>
      </w:pPr>
      <w:r w:rsidRPr="00146B0E">
        <w:rPr>
          <w:rFonts w:ascii="Arial" w:eastAsia="Times New Roman" w:hAnsi="Arial" w:cs="Arial"/>
          <w:color w:val="333333"/>
        </w:rPr>
        <w:t>Intake screening shall ordinarily take place within 72 hours of arrival at the facility.</w:t>
      </w:r>
    </w:p>
    <w:p w:rsidR="00146B0E" w:rsidRPr="00146B0E" w:rsidRDefault="00146B0E" w:rsidP="00146B0E">
      <w:pPr>
        <w:numPr>
          <w:ilvl w:val="1"/>
          <w:numId w:val="7"/>
        </w:numPr>
        <w:spacing w:before="100" w:beforeAutospacing="1" w:after="100" w:afterAutospacing="1" w:line="300" w:lineRule="atLeast"/>
        <w:ind w:left="900"/>
        <w:rPr>
          <w:rFonts w:ascii="Arial" w:eastAsia="Times New Roman" w:hAnsi="Arial" w:cs="Arial"/>
          <w:color w:val="333333"/>
        </w:rPr>
      </w:pPr>
      <w:r w:rsidRPr="00146B0E">
        <w:rPr>
          <w:rFonts w:ascii="Arial" w:eastAsia="Times New Roman" w:hAnsi="Arial" w:cs="Arial"/>
          <w:color w:val="333333"/>
        </w:rPr>
        <w:t>Such assessments shall be conducted using an objective screening instrument.</w:t>
      </w:r>
    </w:p>
    <w:p w:rsidR="00146B0E" w:rsidRPr="00146B0E" w:rsidRDefault="00146B0E" w:rsidP="00146B0E">
      <w:pPr>
        <w:numPr>
          <w:ilvl w:val="1"/>
          <w:numId w:val="7"/>
        </w:numPr>
        <w:spacing w:before="100" w:beforeAutospacing="1" w:after="100" w:afterAutospacing="1" w:line="300" w:lineRule="atLeast"/>
        <w:ind w:left="900"/>
        <w:rPr>
          <w:rFonts w:ascii="Arial" w:eastAsia="Times New Roman" w:hAnsi="Arial" w:cs="Arial"/>
          <w:color w:val="333333"/>
        </w:rPr>
      </w:pPr>
      <w:r w:rsidRPr="00146B0E">
        <w:rPr>
          <w:rFonts w:ascii="Arial" w:eastAsia="Times New Roman" w:hAnsi="Arial" w:cs="Arial"/>
          <w:color w:val="333333"/>
        </w:rPr>
        <w:lastRenderedPageBreak/>
        <w:t>The intake screening shall consider, at a minimum, the following criteria to assess residents for risk of sexual victimization:</w:t>
      </w:r>
    </w:p>
    <w:p w:rsidR="00146B0E" w:rsidRPr="00146B0E" w:rsidRDefault="00146B0E" w:rsidP="00146B0E">
      <w:pPr>
        <w:numPr>
          <w:ilvl w:val="2"/>
          <w:numId w:val="7"/>
        </w:numPr>
        <w:spacing w:before="100" w:beforeAutospacing="1" w:after="100" w:afterAutospacing="1" w:line="300" w:lineRule="atLeast"/>
        <w:ind w:left="1275"/>
        <w:rPr>
          <w:rFonts w:ascii="Arial" w:eastAsia="Times New Roman" w:hAnsi="Arial" w:cs="Arial"/>
          <w:color w:val="333333"/>
        </w:rPr>
      </w:pPr>
      <w:r w:rsidRPr="00146B0E">
        <w:rPr>
          <w:rFonts w:ascii="Arial" w:eastAsia="Times New Roman" w:hAnsi="Arial" w:cs="Arial"/>
          <w:color w:val="333333"/>
        </w:rPr>
        <w:t>Whether the resident has a mental, physical, or developmental disability;</w:t>
      </w:r>
    </w:p>
    <w:p w:rsidR="00146B0E" w:rsidRPr="00146B0E" w:rsidRDefault="00146B0E" w:rsidP="00146B0E">
      <w:pPr>
        <w:numPr>
          <w:ilvl w:val="2"/>
          <w:numId w:val="7"/>
        </w:numPr>
        <w:spacing w:before="100" w:beforeAutospacing="1" w:after="100" w:afterAutospacing="1" w:line="300" w:lineRule="atLeast"/>
        <w:ind w:left="1275"/>
        <w:rPr>
          <w:rFonts w:ascii="Arial" w:eastAsia="Times New Roman" w:hAnsi="Arial" w:cs="Arial"/>
          <w:color w:val="333333"/>
        </w:rPr>
      </w:pPr>
      <w:r w:rsidRPr="00146B0E">
        <w:rPr>
          <w:rFonts w:ascii="Arial" w:eastAsia="Times New Roman" w:hAnsi="Arial" w:cs="Arial"/>
          <w:color w:val="333333"/>
        </w:rPr>
        <w:t>The age of the resident;</w:t>
      </w:r>
    </w:p>
    <w:p w:rsidR="00146B0E" w:rsidRPr="00146B0E" w:rsidRDefault="00146B0E" w:rsidP="00146B0E">
      <w:pPr>
        <w:numPr>
          <w:ilvl w:val="2"/>
          <w:numId w:val="7"/>
        </w:numPr>
        <w:spacing w:before="100" w:beforeAutospacing="1" w:after="100" w:afterAutospacing="1" w:line="300" w:lineRule="atLeast"/>
        <w:ind w:left="1275"/>
        <w:rPr>
          <w:rFonts w:ascii="Arial" w:eastAsia="Times New Roman" w:hAnsi="Arial" w:cs="Arial"/>
          <w:color w:val="333333"/>
        </w:rPr>
      </w:pPr>
      <w:r w:rsidRPr="00146B0E">
        <w:rPr>
          <w:rFonts w:ascii="Arial" w:eastAsia="Times New Roman" w:hAnsi="Arial" w:cs="Arial"/>
          <w:color w:val="333333"/>
        </w:rPr>
        <w:t>The physical build of the resident;</w:t>
      </w:r>
    </w:p>
    <w:p w:rsidR="00146B0E" w:rsidRPr="00146B0E" w:rsidRDefault="00146B0E" w:rsidP="00146B0E">
      <w:pPr>
        <w:numPr>
          <w:ilvl w:val="2"/>
          <w:numId w:val="7"/>
        </w:numPr>
        <w:spacing w:before="100" w:beforeAutospacing="1" w:after="100" w:afterAutospacing="1" w:line="300" w:lineRule="atLeast"/>
        <w:ind w:left="1275"/>
        <w:rPr>
          <w:rFonts w:ascii="Arial" w:eastAsia="Times New Roman" w:hAnsi="Arial" w:cs="Arial"/>
          <w:color w:val="333333"/>
        </w:rPr>
      </w:pPr>
      <w:r w:rsidRPr="00146B0E">
        <w:rPr>
          <w:rFonts w:ascii="Arial" w:eastAsia="Times New Roman" w:hAnsi="Arial" w:cs="Arial"/>
          <w:color w:val="333333"/>
        </w:rPr>
        <w:t>Whether the resident has previously been incarcerated;</w:t>
      </w:r>
    </w:p>
    <w:p w:rsidR="00146B0E" w:rsidRPr="00146B0E" w:rsidRDefault="00146B0E" w:rsidP="00146B0E">
      <w:pPr>
        <w:numPr>
          <w:ilvl w:val="2"/>
          <w:numId w:val="7"/>
        </w:numPr>
        <w:spacing w:before="100" w:beforeAutospacing="1" w:after="100" w:afterAutospacing="1" w:line="300" w:lineRule="atLeast"/>
        <w:ind w:left="1275"/>
        <w:rPr>
          <w:rFonts w:ascii="Arial" w:eastAsia="Times New Roman" w:hAnsi="Arial" w:cs="Arial"/>
          <w:color w:val="333333"/>
        </w:rPr>
      </w:pPr>
      <w:r w:rsidRPr="00146B0E">
        <w:rPr>
          <w:rFonts w:ascii="Arial" w:eastAsia="Times New Roman" w:hAnsi="Arial" w:cs="Arial"/>
          <w:color w:val="333333"/>
        </w:rPr>
        <w:t>Whether the resident’s criminal history is exclusively nonviolent;</w:t>
      </w:r>
    </w:p>
    <w:p w:rsidR="00146B0E" w:rsidRPr="00146B0E" w:rsidRDefault="00146B0E" w:rsidP="00146B0E">
      <w:pPr>
        <w:numPr>
          <w:ilvl w:val="2"/>
          <w:numId w:val="7"/>
        </w:numPr>
        <w:spacing w:before="100" w:beforeAutospacing="1" w:after="100" w:afterAutospacing="1" w:line="300" w:lineRule="atLeast"/>
        <w:ind w:left="1275"/>
        <w:rPr>
          <w:rFonts w:ascii="Arial" w:eastAsia="Times New Roman" w:hAnsi="Arial" w:cs="Arial"/>
          <w:color w:val="333333"/>
        </w:rPr>
      </w:pPr>
      <w:r w:rsidRPr="00146B0E">
        <w:rPr>
          <w:rFonts w:ascii="Arial" w:eastAsia="Times New Roman" w:hAnsi="Arial" w:cs="Arial"/>
          <w:color w:val="333333"/>
        </w:rPr>
        <w:t>Whether the resident has prior convictions for sex offenses against an adult or child;</w:t>
      </w:r>
    </w:p>
    <w:p w:rsidR="00146B0E" w:rsidRPr="00146B0E" w:rsidRDefault="00146B0E" w:rsidP="00146B0E">
      <w:pPr>
        <w:numPr>
          <w:ilvl w:val="2"/>
          <w:numId w:val="7"/>
        </w:numPr>
        <w:spacing w:before="100" w:beforeAutospacing="1" w:after="100" w:afterAutospacing="1" w:line="300" w:lineRule="atLeast"/>
        <w:ind w:left="1275"/>
        <w:rPr>
          <w:rFonts w:ascii="Arial" w:eastAsia="Times New Roman" w:hAnsi="Arial" w:cs="Arial"/>
          <w:color w:val="333333"/>
        </w:rPr>
      </w:pPr>
      <w:r w:rsidRPr="00146B0E">
        <w:rPr>
          <w:rFonts w:ascii="Arial" w:eastAsia="Times New Roman" w:hAnsi="Arial" w:cs="Arial"/>
          <w:color w:val="333333"/>
        </w:rPr>
        <w:t>Whether the resident is or is perceived to be gay, lesbian, bisexual, transgender, intersex, or gender nonconforming;</w:t>
      </w:r>
    </w:p>
    <w:p w:rsidR="00146B0E" w:rsidRPr="00146B0E" w:rsidRDefault="00146B0E" w:rsidP="00146B0E">
      <w:pPr>
        <w:numPr>
          <w:ilvl w:val="2"/>
          <w:numId w:val="7"/>
        </w:numPr>
        <w:spacing w:before="100" w:beforeAutospacing="1" w:after="100" w:afterAutospacing="1" w:line="300" w:lineRule="atLeast"/>
        <w:ind w:left="1275"/>
        <w:rPr>
          <w:rFonts w:ascii="Arial" w:eastAsia="Times New Roman" w:hAnsi="Arial" w:cs="Arial"/>
          <w:color w:val="333333"/>
        </w:rPr>
      </w:pPr>
      <w:r w:rsidRPr="00146B0E">
        <w:rPr>
          <w:rFonts w:ascii="Arial" w:eastAsia="Times New Roman" w:hAnsi="Arial" w:cs="Arial"/>
          <w:color w:val="333333"/>
        </w:rPr>
        <w:t>Whether the resident has previously experienced sexual victimization; and</w:t>
      </w:r>
    </w:p>
    <w:p w:rsidR="00146B0E" w:rsidRPr="00146B0E" w:rsidRDefault="00146B0E" w:rsidP="00146B0E">
      <w:pPr>
        <w:numPr>
          <w:ilvl w:val="2"/>
          <w:numId w:val="7"/>
        </w:numPr>
        <w:spacing w:before="100" w:beforeAutospacing="1" w:after="100" w:afterAutospacing="1" w:line="300" w:lineRule="atLeast"/>
        <w:ind w:left="1275"/>
        <w:rPr>
          <w:rFonts w:ascii="Arial" w:eastAsia="Times New Roman" w:hAnsi="Arial" w:cs="Arial"/>
          <w:color w:val="333333"/>
        </w:rPr>
      </w:pPr>
      <w:r w:rsidRPr="00146B0E">
        <w:rPr>
          <w:rFonts w:ascii="Arial" w:eastAsia="Times New Roman" w:hAnsi="Arial" w:cs="Arial"/>
          <w:color w:val="333333"/>
        </w:rPr>
        <w:t>The residents own perception of vulnerability.</w:t>
      </w:r>
    </w:p>
    <w:p w:rsidR="00146B0E" w:rsidRPr="00146B0E" w:rsidRDefault="00146B0E" w:rsidP="00146B0E">
      <w:pPr>
        <w:numPr>
          <w:ilvl w:val="0"/>
          <w:numId w:val="7"/>
        </w:numPr>
        <w:spacing w:before="100" w:beforeAutospacing="1" w:after="100" w:afterAutospacing="1" w:line="300" w:lineRule="atLeast"/>
        <w:ind w:left="525"/>
        <w:rPr>
          <w:rFonts w:ascii="Arial" w:eastAsia="Times New Roman" w:hAnsi="Arial" w:cs="Arial"/>
          <w:color w:val="333333"/>
        </w:rPr>
      </w:pPr>
      <w:r w:rsidRPr="00146B0E">
        <w:rPr>
          <w:rFonts w:ascii="Arial" w:eastAsia="Times New Roman" w:hAnsi="Arial" w:cs="Arial"/>
          <w:color w:val="333333"/>
        </w:rPr>
        <w:t>The intake screening shall consider prior acts of sexual abuse, prior convictions for violent offenses, and history of prior institutional violence or sexual abuse, as known to the agency, in assessing residents for risk of being sexually abusive.</w:t>
      </w:r>
    </w:p>
    <w:p w:rsidR="00146B0E" w:rsidRPr="00146B0E" w:rsidRDefault="00146B0E" w:rsidP="00146B0E">
      <w:pPr>
        <w:numPr>
          <w:ilvl w:val="0"/>
          <w:numId w:val="7"/>
        </w:numPr>
        <w:spacing w:before="100" w:beforeAutospacing="1" w:after="100" w:afterAutospacing="1" w:line="300" w:lineRule="atLeast"/>
        <w:ind w:left="525"/>
        <w:rPr>
          <w:rFonts w:ascii="Arial" w:eastAsia="Times New Roman" w:hAnsi="Arial" w:cs="Arial"/>
          <w:color w:val="333333"/>
        </w:rPr>
      </w:pPr>
      <w:r w:rsidRPr="00146B0E">
        <w:rPr>
          <w:rFonts w:ascii="Arial" w:eastAsia="Times New Roman" w:hAnsi="Arial" w:cs="Arial"/>
          <w:color w:val="333333"/>
        </w:rPr>
        <w:t>Within a set time period, not to exceed 30 days from the resident’s arrival at the facility, the facility will reassess the resident’s risk of victimization or abusiveness based upon any additional, relevant information received by the facility since the intake screening.</w:t>
      </w:r>
    </w:p>
    <w:p w:rsidR="00146B0E" w:rsidRPr="00146B0E" w:rsidRDefault="00146B0E" w:rsidP="00146B0E">
      <w:pPr>
        <w:numPr>
          <w:ilvl w:val="0"/>
          <w:numId w:val="7"/>
        </w:numPr>
        <w:spacing w:before="100" w:beforeAutospacing="1" w:after="100" w:afterAutospacing="1" w:line="300" w:lineRule="atLeast"/>
        <w:ind w:left="525"/>
        <w:rPr>
          <w:rFonts w:ascii="Arial" w:eastAsia="Times New Roman" w:hAnsi="Arial" w:cs="Arial"/>
          <w:color w:val="333333"/>
        </w:rPr>
      </w:pPr>
      <w:r w:rsidRPr="00146B0E">
        <w:rPr>
          <w:rFonts w:ascii="Arial" w:eastAsia="Times New Roman" w:hAnsi="Arial" w:cs="Arial"/>
          <w:color w:val="333333"/>
        </w:rPr>
        <w:t>A resident’s risk level shall be reassessed when warranted due to a referral, request, incident of sexual abuse, or receipt of additional information that bears on the resident’s risk of sexual victimization or abusiveness.</w:t>
      </w:r>
    </w:p>
    <w:p w:rsidR="00146B0E" w:rsidRPr="00146B0E" w:rsidRDefault="00146B0E" w:rsidP="00146B0E">
      <w:pPr>
        <w:numPr>
          <w:ilvl w:val="0"/>
          <w:numId w:val="7"/>
        </w:numPr>
        <w:spacing w:before="100" w:beforeAutospacing="1" w:after="100" w:afterAutospacing="1" w:line="300" w:lineRule="atLeast"/>
        <w:ind w:left="525"/>
        <w:rPr>
          <w:rFonts w:ascii="Arial" w:eastAsia="Times New Roman" w:hAnsi="Arial" w:cs="Arial"/>
          <w:color w:val="333333"/>
        </w:rPr>
      </w:pPr>
      <w:r w:rsidRPr="00146B0E">
        <w:rPr>
          <w:rFonts w:ascii="Arial" w:eastAsia="Times New Roman" w:hAnsi="Arial" w:cs="Arial"/>
          <w:color w:val="333333"/>
        </w:rPr>
        <w:t>Residents may not be disciplined for refusing to answer, or for not disclosing complete information in response to, questions asked pursuant to paragraphs (d)(1), (d)(7), (d)(8), or (d)(9) of this section.</w:t>
      </w:r>
    </w:p>
    <w:p w:rsidR="00146B0E" w:rsidRPr="00146B0E" w:rsidRDefault="00146B0E" w:rsidP="00146B0E">
      <w:pPr>
        <w:numPr>
          <w:ilvl w:val="0"/>
          <w:numId w:val="7"/>
        </w:numPr>
        <w:spacing w:before="100" w:beforeAutospacing="1" w:after="100" w:afterAutospacing="1" w:line="300" w:lineRule="atLeast"/>
        <w:ind w:left="525"/>
        <w:rPr>
          <w:rFonts w:ascii="Arial" w:eastAsia="Times New Roman" w:hAnsi="Arial" w:cs="Arial"/>
          <w:color w:val="333333"/>
        </w:rPr>
      </w:pPr>
      <w:r w:rsidRPr="00146B0E">
        <w:rPr>
          <w:rFonts w:ascii="Arial" w:eastAsia="Times New Roman" w:hAnsi="Arial" w:cs="Arial"/>
          <w:color w:val="333333"/>
        </w:rPr>
        <w:t>The agency shall implement appropriate controls on the dissemination within the facility of responses to questions asked pursuant to this standard in order to ensure that sensitive information is not exploited to the resident’s detriment by staff or other residents.</w:t>
      </w:r>
    </w:p>
    <w:p w:rsidR="005A7721" w:rsidRPr="00146B0E" w:rsidRDefault="005A7721" w:rsidP="00146B0E">
      <w:pPr>
        <w:spacing w:before="100" w:beforeAutospacing="1" w:after="100" w:afterAutospacing="1" w:line="300" w:lineRule="atLeast"/>
        <w:ind w:left="525"/>
        <w:rPr>
          <w:rFonts w:ascii="Arial" w:eastAsia="Times New Roman" w:hAnsi="Arial" w:cs="Arial"/>
          <w:color w:val="333333"/>
        </w:rPr>
      </w:pPr>
    </w:p>
    <w:p w:rsidR="00987FDC" w:rsidRPr="00146B0E" w:rsidRDefault="00987FDC" w:rsidP="00E247AC">
      <w:pPr>
        <w:spacing w:before="360" w:after="0" w:line="240" w:lineRule="auto"/>
        <w:rPr>
          <w:rFonts w:ascii="Arial" w:hAnsi="Arial" w:cs="Arial"/>
          <w:b/>
        </w:rPr>
      </w:pPr>
    </w:p>
    <w:p w:rsidR="00C23CF3" w:rsidRDefault="00C23CF3" w:rsidP="00E247AC">
      <w:pPr>
        <w:spacing w:before="360" w:after="0" w:line="240" w:lineRule="auto"/>
        <w:rPr>
          <w:rFonts w:ascii="Arial" w:hAnsi="Arial" w:cs="Arial"/>
          <w:b/>
        </w:rPr>
      </w:pPr>
    </w:p>
    <w:p w:rsidR="00E247AC" w:rsidRPr="00E247AC" w:rsidRDefault="00E65E18" w:rsidP="00E247AC">
      <w:pPr>
        <w:spacing w:before="360" w:after="0" w:line="240" w:lineRule="auto"/>
        <w:rPr>
          <w:rFonts w:ascii="Arial" w:hAnsi="Arial"/>
          <w:b/>
        </w:rPr>
      </w:pPr>
      <w:r w:rsidRPr="00E247AC">
        <w:rPr>
          <w:rFonts w:ascii="Arial" w:hAnsi="Arial" w:cs="Arial"/>
          <w:b/>
        </w:rPr>
        <w:t>APP</w:t>
      </w:r>
      <w:r w:rsidR="00C038D3">
        <w:rPr>
          <w:rFonts w:ascii="Arial" w:hAnsi="Arial" w:cs="Arial"/>
          <w:b/>
        </w:rPr>
        <w:t>R</w:t>
      </w:r>
      <w:r w:rsidRPr="00E247AC">
        <w:rPr>
          <w:rFonts w:ascii="Arial" w:hAnsi="Arial" w:cs="Arial"/>
          <w:b/>
        </w:rPr>
        <w:t>OVALS</w:t>
      </w:r>
    </w:p>
    <w:tbl>
      <w:tblPr>
        <w:tblStyle w:val="TableGrid1"/>
        <w:tblW w:w="10188" w:type="dxa"/>
        <w:tblLayout w:type="fixed"/>
        <w:tblLook w:val="04A0" w:firstRow="1" w:lastRow="0" w:firstColumn="1" w:lastColumn="0" w:noHBand="0" w:noVBand="1"/>
      </w:tblPr>
      <w:tblGrid>
        <w:gridCol w:w="3888"/>
        <w:gridCol w:w="6300"/>
      </w:tblGrid>
      <w:tr w:rsidR="00E247AC" w:rsidTr="00867A7B">
        <w:trPr>
          <w:cantSplit/>
          <w:tblHeader/>
        </w:trPr>
        <w:tc>
          <w:tcPr>
            <w:tcW w:w="3888" w:type="dxa"/>
            <w:tcBorders>
              <w:top w:val="single" w:sz="4" w:space="0" w:color="auto"/>
              <w:left w:val="single" w:sz="4" w:space="0" w:color="auto"/>
              <w:bottom w:val="single" w:sz="4" w:space="0" w:color="auto"/>
              <w:right w:val="single" w:sz="4" w:space="0" w:color="auto"/>
            </w:tcBorders>
            <w:shd w:val="solid" w:color="DBE5F1" w:fill="auto"/>
            <w:hideMark/>
          </w:tcPr>
          <w:p w:rsidR="00E247AC" w:rsidRDefault="00E247AC" w:rsidP="00E247AC">
            <w:pPr>
              <w:spacing w:before="120"/>
              <w:jc w:val="center"/>
              <w:rPr>
                <w:rFonts w:ascii="Arial" w:hAnsi="Arial" w:cs="Arial"/>
                <w:b/>
                <w:sz w:val="22"/>
                <w:szCs w:val="22"/>
              </w:rPr>
            </w:pPr>
            <w:r>
              <w:rPr>
                <w:rFonts w:ascii="Arial" w:hAnsi="Arial" w:cs="Arial"/>
                <w:b/>
              </w:rPr>
              <w:t>Approver’s Name</w:t>
            </w:r>
          </w:p>
        </w:tc>
        <w:tc>
          <w:tcPr>
            <w:tcW w:w="6300" w:type="dxa"/>
            <w:tcBorders>
              <w:top w:val="single" w:sz="4" w:space="0" w:color="auto"/>
              <w:left w:val="single" w:sz="4" w:space="0" w:color="auto"/>
              <w:bottom w:val="single" w:sz="4" w:space="0" w:color="auto"/>
              <w:right w:val="single" w:sz="4" w:space="0" w:color="auto"/>
            </w:tcBorders>
            <w:shd w:val="solid" w:color="DBE5F1" w:fill="auto"/>
            <w:hideMark/>
          </w:tcPr>
          <w:p w:rsidR="00E247AC" w:rsidRDefault="00E247AC" w:rsidP="00E247AC">
            <w:pPr>
              <w:spacing w:before="120"/>
              <w:jc w:val="center"/>
              <w:rPr>
                <w:rFonts w:ascii="Arial" w:hAnsi="Arial" w:cs="Arial"/>
                <w:b/>
                <w:sz w:val="22"/>
                <w:szCs w:val="22"/>
              </w:rPr>
            </w:pPr>
            <w:r>
              <w:rPr>
                <w:rFonts w:ascii="Arial" w:hAnsi="Arial" w:cs="Arial"/>
                <w:b/>
              </w:rPr>
              <w:t>Approver’s Signature</w:t>
            </w:r>
          </w:p>
        </w:tc>
      </w:tr>
      <w:tr w:rsidR="00E247AC" w:rsidTr="00867A7B">
        <w:trPr>
          <w:cantSplit/>
        </w:trPr>
        <w:tc>
          <w:tcPr>
            <w:tcW w:w="3888" w:type="dxa"/>
            <w:tcBorders>
              <w:top w:val="single" w:sz="4" w:space="0" w:color="auto"/>
              <w:left w:val="single" w:sz="4" w:space="0" w:color="auto"/>
              <w:bottom w:val="single" w:sz="4" w:space="0" w:color="auto"/>
              <w:right w:val="single" w:sz="4" w:space="0" w:color="auto"/>
            </w:tcBorders>
          </w:tcPr>
          <w:p w:rsidR="00E247AC" w:rsidRDefault="00086CEC" w:rsidP="00E247AC">
            <w:pPr>
              <w:spacing w:before="120"/>
              <w:jc w:val="center"/>
              <w:rPr>
                <w:rFonts w:ascii="Arial" w:hAnsi="Arial" w:cs="Arial"/>
                <w:sz w:val="22"/>
                <w:szCs w:val="22"/>
              </w:rPr>
            </w:pPr>
            <w:r>
              <w:rPr>
                <w:rFonts w:ascii="Arial" w:hAnsi="Arial" w:cs="Arial"/>
                <w:sz w:val="22"/>
                <w:szCs w:val="22"/>
              </w:rPr>
              <w:t xml:space="preserve">Mike </w:t>
            </w:r>
            <w:proofErr w:type="spellStart"/>
            <w:r>
              <w:rPr>
                <w:rFonts w:ascii="Arial" w:hAnsi="Arial" w:cs="Arial"/>
                <w:sz w:val="22"/>
                <w:szCs w:val="22"/>
              </w:rPr>
              <w:t>Millward</w:t>
            </w:r>
            <w:proofErr w:type="spellEnd"/>
          </w:p>
        </w:tc>
        <w:tc>
          <w:tcPr>
            <w:tcW w:w="6300" w:type="dxa"/>
            <w:tcBorders>
              <w:top w:val="single" w:sz="4" w:space="0" w:color="auto"/>
              <w:left w:val="single" w:sz="4" w:space="0" w:color="auto"/>
              <w:bottom w:val="single" w:sz="4" w:space="0" w:color="auto"/>
              <w:right w:val="single" w:sz="4" w:space="0" w:color="auto"/>
            </w:tcBorders>
          </w:tcPr>
          <w:p w:rsidR="00E247AC" w:rsidRDefault="00E247AC" w:rsidP="00E247AC">
            <w:pPr>
              <w:spacing w:before="120"/>
              <w:jc w:val="center"/>
              <w:rPr>
                <w:rFonts w:ascii="Arial" w:hAnsi="Arial" w:cs="Arial"/>
                <w:sz w:val="22"/>
                <w:szCs w:val="22"/>
              </w:rPr>
            </w:pPr>
          </w:p>
        </w:tc>
      </w:tr>
    </w:tbl>
    <w:p w:rsidR="00E65E18" w:rsidRPr="00E247AC" w:rsidRDefault="00E65E18" w:rsidP="00D30FDF">
      <w:pPr>
        <w:spacing w:line="240" w:lineRule="auto"/>
        <w:rPr>
          <w:rFonts w:ascii="Arial" w:hAnsi="Arial" w:cs="Arial"/>
        </w:rPr>
      </w:pPr>
    </w:p>
    <w:sectPr w:rsidR="00E65E18" w:rsidRPr="00E247AC" w:rsidSect="00F412ED">
      <w:headerReference w:type="default" r:id="rId9"/>
      <w:footerReference w:type="default" r:id="rId10"/>
      <w:pgSz w:w="12240" w:h="15840" w:code="1"/>
      <w:pgMar w:top="1296" w:right="1152" w:bottom="1008" w:left="1152"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A81" w:rsidRDefault="00EF3A81" w:rsidP="00E65E18">
      <w:pPr>
        <w:spacing w:after="0" w:line="240" w:lineRule="auto"/>
      </w:pPr>
      <w:r>
        <w:separator/>
      </w:r>
    </w:p>
  </w:endnote>
  <w:endnote w:type="continuationSeparator" w:id="0">
    <w:p w:rsidR="00EF3A81" w:rsidRDefault="00EF3A81" w:rsidP="00E6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A81" w:rsidRPr="00F412ED" w:rsidRDefault="00146B0E" w:rsidP="00F412ED">
    <w:pPr>
      <w:tabs>
        <w:tab w:val="center" w:pos="4680"/>
        <w:tab w:val="right" w:pos="9360"/>
      </w:tabs>
      <w:spacing w:after="0" w:line="240" w:lineRule="auto"/>
      <w:jc w:val="center"/>
      <w:rPr>
        <w:rFonts w:ascii="Arial" w:hAnsi="Arial"/>
        <w:sz w:val="18"/>
        <w:szCs w:val="18"/>
      </w:rPr>
    </w:pPr>
    <w:sdt>
      <w:sdtPr>
        <w:rPr>
          <w:rFonts w:ascii="Arial" w:hAnsi="Arial"/>
          <w:sz w:val="18"/>
          <w:szCs w:val="18"/>
        </w:rPr>
        <w:id w:val="-1669238322"/>
        <w:docPartObj>
          <w:docPartGallery w:val="Page Numbers (Top of Page)"/>
          <w:docPartUnique/>
        </w:docPartObj>
      </w:sdtPr>
      <w:sdtEndPr/>
      <w:sdtContent>
        <w:r w:rsidR="00EF3A81" w:rsidRPr="00F412ED">
          <w:rPr>
            <w:rFonts w:ascii="Arial" w:hAnsi="Arial"/>
            <w:bCs/>
            <w:sz w:val="18"/>
            <w:szCs w:val="18"/>
          </w:rPr>
          <w:fldChar w:fldCharType="begin"/>
        </w:r>
        <w:r w:rsidR="00EF3A81" w:rsidRPr="00F412ED">
          <w:rPr>
            <w:rFonts w:ascii="Arial" w:hAnsi="Arial"/>
            <w:bCs/>
            <w:sz w:val="18"/>
            <w:szCs w:val="18"/>
          </w:rPr>
          <w:instrText xml:space="preserve"> PAGE </w:instrText>
        </w:r>
        <w:r w:rsidR="00EF3A81" w:rsidRPr="00F412ED">
          <w:rPr>
            <w:rFonts w:ascii="Arial" w:hAnsi="Arial"/>
            <w:bCs/>
            <w:sz w:val="18"/>
            <w:szCs w:val="18"/>
          </w:rPr>
          <w:fldChar w:fldCharType="separate"/>
        </w:r>
        <w:r>
          <w:rPr>
            <w:rFonts w:ascii="Arial" w:hAnsi="Arial"/>
            <w:bCs/>
            <w:noProof/>
            <w:sz w:val="18"/>
            <w:szCs w:val="18"/>
          </w:rPr>
          <w:t>1</w:t>
        </w:r>
        <w:r w:rsidR="00EF3A81" w:rsidRPr="00F412ED">
          <w:rPr>
            <w:rFonts w:ascii="Arial" w:hAnsi="Arial"/>
            <w:bCs/>
            <w:sz w:val="18"/>
            <w:szCs w:val="18"/>
          </w:rPr>
          <w:fldChar w:fldCharType="end"/>
        </w:r>
        <w:r w:rsidR="00EF3A81" w:rsidRPr="00F412ED">
          <w:rPr>
            <w:rFonts w:ascii="Arial" w:hAnsi="Arial"/>
            <w:sz w:val="18"/>
            <w:szCs w:val="18"/>
          </w:rPr>
          <w:t xml:space="preserve"> of </w:t>
        </w:r>
        <w:r w:rsidR="00EF3A81" w:rsidRPr="00F412ED">
          <w:rPr>
            <w:rFonts w:ascii="Arial" w:hAnsi="Arial"/>
            <w:bCs/>
            <w:sz w:val="18"/>
            <w:szCs w:val="18"/>
          </w:rPr>
          <w:fldChar w:fldCharType="begin"/>
        </w:r>
        <w:r w:rsidR="00EF3A81" w:rsidRPr="00F412ED">
          <w:rPr>
            <w:rFonts w:ascii="Arial" w:hAnsi="Arial"/>
            <w:bCs/>
            <w:sz w:val="18"/>
            <w:szCs w:val="18"/>
          </w:rPr>
          <w:instrText xml:space="preserve"> NUMPAGES  </w:instrText>
        </w:r>
        <w:r w:rsidR="00EF3A81" w:rsidRPr="00F412ED">
          <w:rPr>
            <w:rFonts w:ascii="Arial" w:hAnsi="Arial"/>
            <w:bCs/>
            <w:sz w:val="18"/>
            <w:szCs w:val="18"/>
          </w:rPr>
          <w:fldChar w:fldCharType="separate"/>
        </w:r>
        <w:r>
          <w:rPr>
            <w:rFonts w:ascii="Arial" w:hAnsi="Arial"/>
            <w:bCs/>
            <w:noProof/>
            <w:sz w:val="18"/>
            <w:szCs w:val="18"/>
          </w:rPr>
          <w:t>2</w:t>
        </w:r>
        <w:r w:rsidR="00EF3A81" w:rsidRPr="00F412ED">
          <w:rPr>
            <w:rFonts w:ascii="Arial" w:hAnsi="Arial"/>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A81" w:rsidRDefault="00EF3A81" w:rsidP="00E65E18">
      <w:pPr>
        <w:spacing w:after="0" w:line="240" w:lineRule="auto"/>
      </w:pPr>
      <w:r>
        <w:separator/>
      </w:r>
    </w:p>
  </w:footnote>
  <w:footnote w:type="continuationSeparator" w:id="0">
    <w:p w:rsidR="00EF3A81" w:rsidRDefault="00EF3A81" w:rsidP="00E65E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A81" w:rsidRPr="00E93D45" w:rsidRDefault="00EF3A81" w:rsidP="00E65E18">
    <w:pPr>
      <w:pStyle w:val="Header"/>
      <w:jc w:val="center"/>
      <w:rPr>
        <w:rFonts w:cs="Arial"/>
      </w:rPr>
    </w:pPr>
    <w:r>
      <w:rPr>
        <w:noProof/>
      </w:rPr>
      <w:drawing>
        <wp:inline distT="0" distB="0" distL="0" distR="0" wp14:anchorId="1104F09C" wp14:editId="058F38C3">
          <wp:extent cx="2871216" cy="347472"/>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871216" cy="347472"/>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4860"/>
      <w:gridCol w:w="1890"/>
      <w:gridCol w:w="1404"/>
    </w:tblGrid>
    <w:tr w:rsidR="00EF3A81" w:rsidRPr="00A759FF" w:rsidTr="00867A7B">
      <w:tc>
        <w:tcPr>
          <w:tcW w:w="1998" w:type="dxa"/>
        </w:tcPr>
        <w:p w:rsidR="00EF3A81" w:rsidRPr="00830B81" w:rsidRDefault="00EF3A81" w:rsidP="00867A7B">
          <w:pPr>
            <w:pStyle w:val="Header"/>
            <w:spacing w:before="40"/>
            <w:jc w:val="right"/>
            <w:rPr>
              <w:rFonts w:ascii="Arial" w:hAnsi="Arial" w:cs="Arial"/>
              <w:b/>
              <w:sz w:val="24"/>
              <w:szCs w:val="24"/>
            </w:rPr>
          </w:pPr>
          <w:r w:rsidRPr="00830B81">
            <w:rPr>
              <w:rFonts w:ascii="Arial" w:hAnsi="Arial" w:cs="Arial"/>
              <w:b/>
              <w:sz w:val="24"/>
              <w:szCs w:val="24"/>
            </w:rPr>
            <w:t>Policy Name:</w:t>
          </w:r>
        </w:p>
      </w:tc>
      <w:tc>
        <w:tcPr>
          <w:tcW w:w="4860" w:type="dxa"/>
        </w:tcPr>
        <w:p w:rsidR="00EF3A81" w:rsidRPr="00830B81" w:rsidRDefault="00EF3A81" w:rsidP="00E704A2">
          <w:pPr>
            <w:pStyle w:val="Header"/>
            <w:spacing w:before="40"/>
            <w:rPr>
              <w:rFonts w:ascii="Arial" w:hAnsi="Arial" w:cs="Arial"/>
              <w:b/>
              <w:sz w:val="24"/>
              <w:szCs w:val="24"/>
            </w:rPr>
          </w:pPr>
          <w:r>
            <w:rPr>
              <w:rFonts w:ascii="Arial" w:hAnsi="Arial" w:cs="Arial"/>
              <w:b/>
              <w:sz w:val="24"/>
              <w:szCs w:val="24"/>
            </w:rPr>
            <w:t xml:space="preserve">PREA </w:t>
          </w:r>
        </w:p>
      </w:tc>
      <w:tc>
        <w:tcPr>
          <w:tcW w:w="1890" w:type="dxa"/>
        </w:tcPr>
        <w:p w:rsidR="00EF3A81" w:rsidRPr="00830B81" w:rsidRDefault="00EF3A81" w:rsidP="00867A7B">
          <w:pPr>
            <w:pStyle w:val="Header"/>
            <w:spacing w:before="40"/>
            <w:jc w:val="right"/>
            <w:rPr>
              <w:rFonts w:ascii="Arial" w:hAnsi="Arial" w:cs="Arial"/>
              <w:b/>
              <w:sz w:val="24"/>
              <w:szCs w:val="24"/>
            </w:rPr>
          </w:pPr>
          <w:r w:rsidRPr="00830B81">
            <w:rPr>
              <w:rFonts w:ascii="Arial" w:hAnsi="Arial" w:cs="Arial"/>
              <w:b/>
              <w:sz w:val="24"/>
              <w:szCs w:val="24"/>
            </w:rPr>
            <w:t>Policy #:</w:t>
          </w:r>
        </w:p>
      </w:tc>
      <w:tc>
        <w:tcPr>
          <w:tcW w:w="1404" w:type="dxa"/>
        </w:tcPr>
        <w:p w:rsidR="00EF3A81" w:rsidRPr="00830B81" w:rsidRDefault="00EF3A81" w:rsidP="00867A7B">
          <w:pPr>
            <w:pStyle w:val="Header"/>
            <w:spacing w:before="40"/>
            <w:rPr>
              <w:rFonts w:ascii="Arial" w:hAnsi="Arial" w:cs="Arial"/>
              <w:b/>
              <w:sz w:val="24"/>
              <w:szCs w:val="24"/>
            </w:rPr>
          </w:pPr>
          <w:r>
            <w:rPr>
              <w:rFonts w:ascii="Arial" w:hAnsi="Arial" w:cs="Arial"/>
              <w:b/>
              <w:sz w:val="24"/>
              <w:szCs w:val="24"/>
            </w:rPr>
            <w:t>3.17</w:t>
          </w:r>
        </w:p>
      </w:tc>
    </w:tr>
    <w:tr w:rsidR="00EF3A81" w:rsidRPr="00A759FF" w:rsidTr="00EF3A81">
      <w:tc>
        <w:tcPr>
          <w:tcW w:w="1998" w:type="dxa"/>
        </w:tcPr>
        <w:p w:rsidR="00EF3A81" w:rsidRPr="00830B81" w:rsidRDefault="00EF3A81" w:rsidP="00360CDC">
          <w:pPr>
            <w:pStyle w:val="Header"/>
            <w:spacing w:before="40"/>
            <w:jc w:val="center"/>
            <w:rPr>
              <w:rFonts w:ascii="Arial" w:hAnsi="Arial" w:cs="Arial"/>
              <w:b/>
              <w:sz w:val="24"/>
              <w:szCs w:val="24"/>
            </w:rPr>
          </w:pPr>
        </w:p>
      </w:tc>
      <w:tc>
        <w:tcPr>
          <w:tcW w:w="8154" w:type="dxa"/>
          <w:gridSpan w:val="3"/>
        </w:tcPr>
        <w:p w:rsidR="00EF3A81" w:rsidRDefault="00B33319" w:rsidP="00146B0E">
          <w:pPr>
            <w:pStyle w:val="Header"/>
            <w:spacing w:before="40"/>
            <w:rPr>
              <w:rFonts w:ascii="Arial" w:hAnsi="Arial" w:cs="Arial"/>
              <w:b/>
              <w:sz w:val="24"/>
              <w:szCs w:val="24"/>
            </w:rPr>
          </w:pPr>
          <w:r>
            <w:rPr>
              <w:rFonts w:ascii="Arial" w:hAnsi="Arial" w:cs="Arial"/>
              <w:b/>
              <w:sz w:val="24"/>
              <w:szCs w:val="24"/>
            </w:rPr>
            <w:t>2</w:t>
          </w:r>
          <w:r w:rsidR="00146B0E">
            <w:rPr>
              <w:rFonts w:ascii="Arial" w:hAnsi="Arial" w:cs="Arial"/>
              <w:b/>
              <w:sz w:val="24"/>
              <w:szCs w:val="24"/>
            </w:rPr>
            <w:t>41</w:t>
          </w:r>
          <w:r w:rsidR="00686FFD">
            <w:rPr>
              <w:rFonts w:ascii="Arial" w:hAnsi="Arial" w:cs="Arial"/>
              <w:b/>
              <w:sz w:val="24"/>
              <w:szCs w:val="24"/>
            </w:rPr>
            <w:t xml:space="preserve"> – </w:t>
          </w:r>
          <w:r w:rsidR="00146B0E">
            <w:rPr>
              <w:rFonts w:ascii="Arial" w:hAnsi="Arial" w:cs="Arial"/>
              <w:b/>
              <w:sz w:val="24"/>
              <w:szCs w:val="24"/>
            </w:rPr>
            <w:t>Screening for Risk of Sexual Victimization and Abusiveness</w:t>
          </w:r>
        </w:p>
      </w:tc>
    </w:tr>
    <w:tr w:rsidR="00EF3A81" w:rsidRPr="00A759FF" w:rsidTr="00867A7B">
      <w:tc>
        <w:tcPr>
          <w:tcW w:w="1998" w:type="dxa"/>
        </w:tcPr>
        <w:p w:rsidR="00EF3A81" w:rsidRPr="00830B81" w:rsidRDefault="00EF3A81" w:rsidP="00867A7B">
          <w:pPr>
            <w:pStyle w:val="Header"/>
            <w:spacing w:before="40"/>
            <w:jc w:val="right"/>
            <w:rPr>
              <w:rFonts w:ascii="Arial" w:hAnsi="Arial" w:cs="Arial"/>
              <w:b/>
              <w:sz w:val="24"/>
              <w:szCs w:val="24"/>
            </w:rPr>
          </w:pPr>
          <w:r w:rsidRPr="00830B81">
            <w:rPr>
              <w:rFonts w:ascii="Arial" w:hAnsi="Arial" w:cs="Arial"/>
              <w:b/>
              <w:sz w:val="24"/>
              <w:szCs w:val="24"/>
            </w:rPr>
            <w:t>Section:</w:t>
          </w:r>
        </w:p>
      </w:tc>
      <w:tc>
        <w:tcPr>
          <w:tcW w:w="4860" w:type="dxa"/>
        </w:tcPr>
        <w:p w:rsidR="00EF3A81" w:rsidRPr="00830B81" w:rsidRDefault="00EF3A81" w:rsidP="00867A7B">
          <w:pPr>
            <w:pStyle w:val="Header"/>
            <w:spacing w:before="40"/>
            <w:rPr>
              <w:rFonts w:ascii="Arial" w:hAnsi="Arial" w:cs="Arial"/>
              <w:b/>
              <w:sz w:val="24"/>
              <w:szCs w:val="24"/>
            </w:rPr>
          </w:pPr>
          <w:r>
            <w:rPr>
              <w:rFonts w:ascii="Arial" w:hAnsi="Arial" w:cs="Arial"/>
              <w:b/>
              <w:sz w:val="24"/>
              <w:szCs w:val="24"/>
            </w:rPr>
            <w:t>Personnel</w:t>
          </w:r>
        </w:p>
      </w:tc>
      <w:tc>
        <w:tcPr>
          <w:tcW w:w="1890" w:type="dxa"/>
        </w:tcPr>
        <w:p w:rsidR="00EF3A81" w:rsidRPr="00830B81" w:rsidRDefault="00EF3A81" w:rsidP="00867A7B">
          <w:pPr>
            <w:pStyle w:val="Header"/>
            <w:spacing w:before="40"/>
            <w:jc w:val="right"/>
            <w:rPr>
              <w:rFonts w:ascii="Arial" w:hAnsi="Arial" w:cs="Arial"/>
              <w:b/>
              <w:sz w:val="24"/>
              <w:szCs w:val="24"/>
            </w:rPr>
          </w:pPr>
        </w:p>
      </w:tc>
      <w:tc>
        <w:tcPr>
          <w:tcW w:w="1404" w:type="dxa"/>
        </w:tcPr>
        <w:p w:rsidR="00EF3A81" w:rsidRPr="00830B81" w:rsidRDefault="00EF3A81" w:rsidP="00867A7B">
          <w:pPr>
            <w:pStyle w:val="Header"/>
            <w:spacing w:before="40"/>
            <w:rPr>
              <w:rFonts w:ascii="Arial" w:hAnsi="Arial" w:cs="Arial"/>
              <w:b/>
              <w:sz w:val="24"/>
              <w:szCs w:val="24"/>
            </w:rPr>
          </w:pPr>
        </w:p>
      </w:tc>
    </w:tr>
    <w:tr w:rsidR="00EF3A81" w:rsidRPr="00A759FF" w:rsidTr="00867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98" w:type="dxa"/>
          <w:tcBorders>
            <w:top w:val="nil"/>
            <w:left w:val="nil"/>
            <w:bottom w:val="single" w:sz="18" w:space="0" w:color="auto"/>
            <w:right w:val="nil"/>
          </w:tcBorders>
        </w:tcPr>
        <w:p w:rsidR="00EF3A81" w:rsidRPr="00830B81" w:rsidRDefault="00EF3A81" w:rsidP="00867A7B">
          <w:pPr>
            <w:pStyle w:val="Header"/>
            <w:spacing w:before="40"/>
            <w:jc w:val="right"/>
            <w:rPr>
              <w:rFonts w:ascii="Arial" w:hAnsi="Arial" w:cs="Arial"/>
              <w:b/>
              <w:sz w:val="24"/>
              <w:szCs w:val="24"/>
            </w:rPr>
          </w:pPr>
          <w:r w:rsidRPr="00830B81">
            <w:rPr>
              <w:rFonts w:ascii="Arial" w:hAnsi="Arial" w:cs="Arial"/>
              <w:b/>
              <w:sz w:val="24"/>
              <w:szCs w:val="24"/>
            </w:rPr>
            <w:t>Date Issued:</w:t>
          </w:r>
        </w:p>
      </w:tc>
      <w:tc>
        <w:tcPr>
          <w:tcW w:w="4860" w:type="dxa"/>
          <w:tcBorders>
            <w:top w:val="nil"/>
            <w:left w:val="nil"/>
            <w:bottom w:val="single" w:sz="18" w:space="0" w:color="auto"/>
            <w:right w:val="nil"/>
          </w:tcBorders>
        </w:tcPr>
        <w:p w:rsidR="00EF3A81" w:rsidRPr="00830B81" w:rsidRDefault="00EF3A81" w:rsidP="00867A7B">
          <w:pPr>
            <w:pStyle w:val="Header"/>
            <w:spacing w:before="40"/>
            <w:rPr>
              <w:rFonts w:ascii="Arial" w:hAnsi="Arial" w:cs="Arial"/>
              <w:b/>
              <w:sz w:val="24"/>
              <w:szCs w:val="24"/>
            </w:rPr>
          </w:pPr>
          <w:r>
            <w:rPr>
              <w:rFonts w:ascii="Arial" w:hAnsi="Arial" w:cs="Arial"/>
              <w:b/>
              <w:sz w:val="24"/>
              <w:szCs w:val="24"/>
            </w:rPr>
            <w:t>01/30/16</w:t>
          </w:r>
        </w:p>
      </w:tc>
      <w:tc>
        <w:tcPr>
          <w:tcW w:w="1890" w:type="dxa"/>
          <w:tcBorders>
            <w:top w:val="nil"/>
            <w:left w:val="nil"/>
            <w:bottom w:val="single" w:sz="18" w:space="0" w:color="auto"/>
            <w:right w:val="nil"/>
          </w:tcBorders>
        </w:tcPr>
        <w:p w:rsidR="00EF3A81" w:rsidRPr="00830B81" w:rsidRDefault="00EF3A81" w:rsidP="00867A7B">
          <w:pPr>
            <w:pStyle w:val="Header"/>
            <w:spacing w:before="40"/>
            <w:jc w:val="right"/>
            <w:rPr>
              <w:rFonts w:ascii="Arial" w:hAnsi="Arial" w:cs="Arial"/>
              <w:b/>
              <w:sz w:val="24"/>
              <w:szCs w:val="24"/>
            </w:rPr>
          </w:pPr>
          <w:r w:rsidRPr="005424B5">
            <w:rPr>
              <w:rFonts w:ascii="Arial" w:hAnsi="Arial" w:cs="Arial"/>
              <w:b/>
              <w:sz w:val="24"/>
              <w:szCs w:val="24"/>
            </w:rPr>
            <w:t>Date Revised</w:t>
          </w:r>
          <w:r w:rsidRPr="00830B81">
            <w:rPr>
              <w:rFonts w:ascii="Arial" w:hAnsi="Arial" w:cs="Arial"/>
              <w:b/>
              <w:sz w:val="24"/>
              <w:szCs w:val="24"/>
            </w:rPr>
            <w:t>:</w:t>
          </w:r>
        </w:p>
      </w:tc>
      <w:tc>
        <w:tcPr>
          <w:tcW w:w="1404" w:type="dxa"/>
          <w:tcBorders>
            <w:top w:val="nil"/>
            <w:left w:val="nil"/>
            <w:bottom w:val="single" w:sz="18" w:space="0" w:color="auto"/>
            <w:right w:val="nil"/>
          </w:tcBorders>
        </w:tcPr>
        <w:p w:rsidR="00EF3A81" w:rsidRPr="00830B81" w:rsidRDefault="00EF3A81" w:rsidP="00867A7B">
          <w:pPr>
            <w:pStyle w:val="Header"/>
            <w:spacing w:before="40"/>
            <w:rPr>
              <w:rFonts w:ascii="Arial" w:hAnsi="Arial" w:cs="Arial"/>
              <w:b/>
              <w:sz w:val="24"/>
              <w:szCs w:val="24"/>
            </w:rPr>
          </w:pPr>
        </w:p>
      </w:tc>
    </w:tr>
  </w:tbl>
  <w:p w:rsidR="00EF3A81" w:rsidRDefault="00EF3A81" w:rsidP="00E65E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607F2"/>
    <w:multiLevelType w:val="multilevel"/>
    <w:tmpl w:val="E4620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A42F5C"/>
    <w:multiLevelType w:val="multilevel"/>
    <w:tmpl w:val="2ABCC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A375EA"/>
    <w:multiLevelType w:val="multilevel"/>
    <w:tmpl w:val="C4162994"/>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B94364"/>
    <w:multiLevelType w:val="multilevel"/>
    <w:tmpl w:val="33A6D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F76F8B"/>
    <w:multiLevelType w:val="multilevel"/>
    <w:tmpl w:val="06DECD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217909"/>
    <w:multiLevelType w:val="multilevel"/>
    <w:tmpl w:val="5D502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9E5985"/>
    <w:multiLevelType w:val="multilevel"/>
    <w:tmpl w:val="27D8DE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2"/>
  </w:num>
  <w:num w:numId="5">
    <w:abstractNumId w:val="1"/>
  </w:num>
  <w:num w:numId="6">
    <w:abstractNumId w:val="6"/>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18"/>
    <w:rsid w:val="00086CEC"/>
    <w:rsid w:val="000E5A5A"/>
    <w:rsid w:val="00146B0E"/>
    <w:rsid w:val="0022484D"/>
    <w:rsid w:val="002E4367"/>
    <w:rsid w:val="003177A6"/>
    <w:rsid w:val="00360CDC"/>
    <w:rsid w:val="00383589"/>
    <w:rsid w:val="0039330F"/>
    <w:rsid w:val="003947C8"/>
    <w:rsid w:val="003B453A"/>
    <w:rsid w:val="0047530D"/>
    <w:rsid w:val="00476227"/>
    <w:rsid w:val="004D1548"/>
    <w:rsid w:val="005A7721"/>
    <w:rsid w:val="00625CF6"/>
    <w:rsid w:val="00627109"/>
    <w:rsid w:val="00686FFD"/>
    <w:rsid w:val="0069726D"/>
    <w:rsid w:val="006F42D9"/>
    <w:rsid w:val="00757F0C"/>
    <w:rsid w:val="00794F13"/>
    <w:rsid w:val="00854899"/>
    <w:rsid w:val="00867A7B"/>
    <w:rsid w:val="008F43CA"/>
    <w:rsid w:val="00904DE8"/>
    <w:rsid w:val="0098352B"/>
    <w:rsid w:val="00987FDC"/>
    <w:rsid w:val="00991968"/>
    <w:rsid w:val="009B5848"/>
    <w:rsid w:val="009D1C0D"/>
    <w:rsid w:val="00A53827"/>
    <w:rsid w:val="00AA2E82"/>
    <w:rsid w:val="00B33319"/>
    <w:rsid w:val="00B74D7E"/>
    <w:rsid w:val="00C038D3"/>
    <w:rsid w:val="00C23CF3"/>
    <w:rsid w:val="00D024D9"/>
    <w:rsid w:val="00D30D07"/>
    <w:rsid w:val="00D30FDF"/>
    <w:rsid w:val="00D67111"/>
    <w:rsid w:val="00D97EAE"/>
    <w:rsid w:val="00E02267"/>
    <w:rsid w:val="00E247AC"/>
    <w:rsid w:val="00E65E18"/>
    <w:rsid w:val="00E704A2"/>
    <w:rsid w:val="00E9235E"/>
    <w:rsid w:val="00EB7211"/>
    <w:rsid w:val="00EF3A81"/>
    <w:rsid w:val="00F144C9"/>
    <w:rsid w:val="00F1472C"/>
    <w:rsid w:val="00F412ED"/>
    <w:rsid w:val="00F73E37"/>
    <w:rsid w:val="00F828D4"/>
    <w:rsid w:val="00F837E2"/>
    <w:rsid w:val="00FA08B7"/>
    <w:rsid w:val="00FD178C"/>
    <w:rsid w:val="00FD3089"/>
    <w:rsid w:val="00FD41E2"/>
    <w:rsid w:val="00FF0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5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E18"/>
  </w:style>
  <w:style w:type="paragraph" w:styleId="Footer">
    <w:name w:val="footer"/>
    <w:basedOn w:val="Normal"/>
    <w:link w:val="FooterChar"/>
    <w:uiPriority w:val="99"/>
    <w:unhideWhenUsed/>
    <w:rsid w:val="00E65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E18"/>
  </w:style>
  <w:style w:type="paragraph" w:styleId="BalloonText">
    <w:name w:val="Balloon Text"/>
    <w:basedOn w:val="Normal"/>
    <w:link w:val="BalloonTextChar"/>
    <w:uiPriority w:val="99"/>
    <w:semiHidden/>
    <w:unhideWhenUsed/>
    <w:rsid w:val="00E6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E18"/>
    <w:rPr>
      <w:rFonts w:ascii="Tahoma" w:hAnsi="Tahoma" w:cs="Tahoma"/>
      <w:sz w:val="16"/>
      <w:szCs w:val="16"/>
    </w:rPr>
  </w:style>
  <w:style w:type="table" w:styleId="TableGrid">
    <w:name w:val="Table Grid"/>
    <w:basedOn w:val="TableNormal"/>
    <w:rsid w:val="00E65E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E247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28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5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E18"/>
  </w:style>
  <w:style w:type="paragraph" w:styleId="Footer">
    <w:name w:val="footer"/>
    <w:basedOn w:val="Normal"/>
    <w:link w:val="FooterChar"/>
    <w:uiPriority w:val="99"/>
    <w:unhideWhenUsed/>
    <w:rsid w:val="00E65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E18"/>
  </w:style>
  <w:style w:type="paragraph" w:styleId="BalloonText">
    <w:name w:val="Balloon Text"/>
    <w:basedOn w:val="Normal"/>
    <w:link w:val="BalloonTextChar"/>
    <w:uiPriority w:val="99"/>
    <w:semiHidden/>
    <w:unhideWhenUsed/>
    <w:rsid w:val="00E6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E18"/>
    <w:rPr>
      <w:rFonts w:ascii="Tahoma" w:hAnsi="Tahoma" w:cs="Tahoma"/>
      <w:sz w:val="16"/>
      <w:szCs w:val="16"/>
    </w:rPr>
  </w:style>
  <w:style w:type="table" w:styleId="TableGrid">
    <w:name w:val="Table Grid"/>
    <w:basedOn w:val="TableNormal"/>
    <w:rsid w:val="00E65E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E247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2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ADF3A-36D8-4CEF-A44B-DBB8925FC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Kristen Jasper</cp:lastModifiedBy>
  <cp:revision>2</cp:revision>
  <cp:lastPrinted>2016-07-25T18:41:00Z</cp:lastPrinted>
  <dcterms:created xsi:type="dcterms:W3CDTF">2016-07-25T18:42:00Z</dcterms:created>
  <dcterms:modified xsi:type="dcterms:W3CDTF">2016-07-25T18:42:00Z</dcterms:modified>
</cp:coreProperties>
</file>