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8F9B" w14:textId="77777777" w:rsidR="00AD089C" w:rsidRPr="00AD089C" w:rsidRDefault="00AD089C" w:rsidP="00AD089C">
      <w:pPr>
        <w:spacing w:before="150" w:after="150" w:line="240" w:lineRule="atLeast"/>
        <w:outlineLvl w:val="3"/>
        <w:rPr>
          <w:rFonts w:ascii="Arial" w:eastAsia="Times New Roman" w:hAnsi="Arial" w:cs="Arial"/>
          <w:b/>
          <w:bCs/>
          <w:caps/>
          <w:color w:val="333333"/>
        </w:rPr>
      </w:pPr>
      <w:r w:rsidRPr="00AD089C">
        <w:rPr>
          <w:rFonts w:ascii="Arial" w:eastAsia="Times New Roman" w:hAnsi="Arial" w:cs="Arial"/>
          <w:b/>
          <w:bCs/>
          <w:caps/>
          <w:color w:val="333333"/>
        </w:rPr>
        <w:t>Use of screening information</w:t>
      </w:r>
    </w:p>
    <w:p w14:paraId="24001ADB"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Information from the risk screening shall be used to inform housing, bed, work, education, and program assignments with the goal of keeping separate those residents at high risk of being sexually victimized from those at high risk of being sexually abusive.</w:t>
      </w:r>
    </w:p>
    <w:p w14:paraId="33130C9D"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The contracting agency shall determine the gender of the resident by virtue of program assignment and TH shall make individualized determinations about how to ensure the safety of each resident.</w:t>
      </w:r>
    </w:p>
    <w:p w14:paraId="7CD7C0B1"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In deciding whether to assign a transgender or intersex resident to a facility for male or female residents, and in making other housing and programming assignments, the agency shall consider on a case-by-case basis whether a placement would ensure the residents health and safety, and whether the placement would present management or security problems.</w:t>
      </w:r>
    </w:p>
    <w:p w14:paraId="7C084873"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A transgender or intersex resident’s own views with respect to his or her own safety shall be given serious consideration.</w:t>
      </w:r>
    </w:p>
    <w:p w14:paraId="64D0513F"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Transgender and intersex residents shall be given the opportunity to shower separately from other residents at designated times as coordinated and managed by security staff for the resident’s privacy and safety.</w:t>
      </w:r>
    </w:p>
    <w:p w14:paraId="26C9C644" w14:textId="77777777" w:rsidR="00AD089C" w:rsidRPr="00AD089C" w:rsidRDefault="00AD089C" w:rsidP="00AD089C">
      <w:pPr>
        <w:numPr>
          <w:ilvl w:val="0"/>
          <w:numId w:val="8"/>
        </w:numPr>
        <w:spacing w:before="100" w:beforeAutospacing="1" w:after="100" w:afterAutospacing="1" w:line="300" w:lineRule="atLeast"/>
        <w:ind w:left="525"/>
        <w:rPr>
          <w:rFonts w:ascii="Arial" w:eastAsia="Times New Roman" w:hAnsi="Arial" w:cs="Arial"/>
          <w:color w:val="333333"/>
        </w:rPr>
      </w:pPr>
      <w:r w:rsidRPr="00AD089C">
        <w:rPr>
          <w:rFonts w:ascii="Arial" w:eastAsia="Times New Roman" w:hAnsi="Arial" w:cs="Arial"/>
          <w:color w:val="333333"/>
        </w:rPr>
        <w:t>The company shall not place lesbian, gay, bisexual, transgender, or intersex residents in dedicated facilities, units, or wings solely on the basis of such identification or status, unless such placement is in a dedicated facility unit, or wing established in connection with a consent decree, legal settlement, or legal judgment for the purpose of protecting such residents.</w:t>
      </w:r>
    </w:p>
    <w:p w14:paraId="25C7D328" w14:textId="77777777" w:rsidR="00987FDC" w:rsidRPr="00146B0E" w:rsidRDefault="00987FDC" w:rsidP="00E247AC">
      <w:pPr>
        <w:spacing w:before="360" w:after="0" w:line="240" w:lineRule="auto"/>
        <w:rPr>
          <w:rFonts w:ascii="Arial" w:hAnsi="Arial" w:cs="Arial"/>
          <w:b/>
        </w:rPr>
      </w:pPr>
    </w:p>
    <w:p w14:paraId="7DFC5EB3" w14:textId="77777777" w:rsidR="00C23CF3" w:rsidRDefault="00C23CF3" w:rsidP="00E247AC">
      <w:pPr>
        <w:spacing w:before="360" w:after="0" w:line="240" w:lineRule="auto"/>
        <w:rPr>
          <w:rFonts w:ascii="Arial" w:hAnsi="Arial" w:cs="Arial"/>
          <w:b/>
        </w:rPr>
      </w:pPr>
    </w:p>
    <w:p w14:paraId="55C9E992" w14:textId="77777777" w:rsidR="00AD089C" w:rsidRDefault="00AD089C" w:rsidP="00E247AC">
      <w:pPr>
        <w:spacing w:before="360" w:after="0" w:line="240" w:lineRule="auto"/>
        <w:rPr>
          <w:rFonts w:ascii="Arial" w:hAnsi="Arial" w:cs="Arial"/>
          <w:b/>
        </w:rPr>
      </w:pPr>
    </w:p>
    <w:p w14:paraId="3E125949" w14:textId="77777777" w:rsidR="00AD089C" w:rsidRDefault="00AD089C" w:rsidP="00E247AC">
      <w:pPr>
        <w:spacing w:before="360" w:after="0" w:line="240" w:lineRule="auto"/>
        <w:rPr>
          <w:rFonts w:ascii="Arial" w:hAnsi="Arial" w:cs="Arial"/>
          <w:b/>
        </w:rPr>
      </w:pPr>
    </w:p>
    <w:p w14:paraId="60F817CA" w14:textId="77777777" w:rsidR="00AD089C" w:rsidRDefault="00AD089C" w:rsidP="00E247AC">
      <w:pPr>
        <w:spacing w:before="360" w:after="0" w:line="240" w:lineRule="auto"/>
        <w:rPr>
          <w:rFonts w:ascii="Arial" w:hAnsi="Arial" w:cs="Arial"/>
          <w:b/>
        </w:rPr>
      </w:pPr>
    </w:p>
    <w:p w14:paraId="28B58B28" w14:textId="77777777" w:rsidR="00AD089C" w:rsidRDefault="00AD089C" w:rsidP="00E247AC">
      <w:pPr>
        <w:spacing w:before="360" w:after="0" w:line="240" w:lineRule="auto"/>
        <w:rPr>
          <w:rFonts w:ascii="Arial" w:hAnsi="Arial" w:cs="Arial"/>
          <w:b/>
        </w:rPr>
      </w:pPr>
    </w:p>
    <w:p w14:paraId="57A85126"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764827C6"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6F3E13EA"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3B8EF48A"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397FD3DA"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492AC85F" w14:textId="75666A36" w:rsidR="00E247AC" w:rsidRDefault="00B02FE4"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0955BEA7" w14:textId="77777777" w:rsidR="00E247AC" w:rsidRDefault="00E247AC" w:rsidP="00E247AC">
            <w:pPr>
              <w:spacing w:before="120"/>
              <w:jc w:val="center"/>
              <w:rPr>
                <w:rFonts w:ascii="Arial" w:hAnsi="Arial" w:cs="Arial"/>
                <w:sz w:val="22"/>
                <w:szCs w:val="22"/>
              </w:rPr>
            </w:pPr>
          </w:p>
        </w:tc>
      </w:tr>
    </w:tbl>
    <w:p w14:paraId="77EF1B19"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0238" w14:textId="77777777" w:rsidR="00EF3A81" w:rsidRDefault="00EF3A81" w:rsidP="00E65E18">
      <w:pPr>
        <w:spacing w:after="0" w:line="240" w:lineRule="auto"/>
      </w:pPr>
      <w:r>
        <w:separator/>
      </w:r>
    </w:p>
  </w:endnote>
  <w:endnote w:type="continuationSeparator" w:id="0">
    <w:p w14:paraId="0CBB2FC7" w14:textId="77777777"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E0C8" w14:textId="77777777" w:rsidR="00EF3A81" w:rsidRPr="00F412ED" w:rsidRDefault="00B02FE4"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sidR="00AD089C">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sidR="00AD089C">
          <w:rPr>
            <w:rFonts w:ascii="Arial" w:hAnsi="Arial"/>
            <w:bCs/>
            <w:noProof/>
            <w:sz w:val="18"/>
            <w:szCs w:val="18"/>
          </w:rPr>
          <w:t>1</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49A7" w14:textId="77777777" w:rsidR="00EF3A81" w:rsidRDefault="00EF3A81" w:rsidP="00E65E18">
      <w:pPr>
        <w:spacing w:after="0" w:line="240" w:lineRule="auto"/>
      </w:pPr>
      <w:r>
        <w:separator/>
      </w:r>
    </w:p>
  </w:footnote>
  <w:footnote w:type="continuationSeparator" w:id="0">
    <w:p w14:paraId="48F0BFA7" w14:textId="77777777"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5225" w14:textId="77777777" w:rsidR="00EF3A81" w:rsidRPr="00E93D45" w:rsidRDefault="00EF3A81" w:rsidP="00E65E18">
    <w:pPr>
      <w:pStyle w:val="Header"/>
      <w:jc w:val="center"/>
      <w:rPr>
        <w:rFonts w:cs="Arial"/>
      </w:rPr>
    </w:pPr>
    <w:r>
      <w:rPr>
        <w:noProof/>
      </w:rPr>
      <w:drawing>
        <wp:inline distT="0" distB="0" distL="0" distR="0" wp14:anchorId="2E5C3A3C" wp14:editId="2332CA2B">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14:paraId="571BE63D" w14:textId="77777777" w:rsidTr="00867A7B">
      <w:tc>
        <w:tcPr>
          <w:tcW w:w="1998" w:type="dxa"/>
        </w:tcPr>
        <w:p w14:paraId="5B3801F3"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0EAF9D13" w14:textId="77777777"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0229948F"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1034DD56"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14:paraId="32889845" w14:textId="77777777" w:rsidTr="00EF3A81">
      <w:tc>
        <w:tcPr>
          <w:tcW w:w="1998" w:type="dxa"/>
        </w:tcPr>
        <w:p w14:paraId="645C9344" w14:textId="77777777" w:rsidR="00EF3A81" w:rsidRPr="00830B81" w:rsidRDefault="00EF3A81" w:rsidP="00360CDC">
          <w:pPr>
            <w:pStyle w:val="Header"/>
            <w:spacing w:before="40"/>
            <w:jc w:val="center"/>
            <w:rPr>
              <w:rFonts w:ascii="Arial" w:hAnsi="Arial" w:cs="Arial"/>
              <w:b/>
              <w:sz w:val="24"/>
              <w:szCs w:val="24"/>
            </w:rPr>
          </w:pPr>
        </w:p>
      </w:tc>
      <w:tc>
        <w:tcPr>
          <w:tcW w:w="8154" w:type="dxa"/>
          <w:gridSpan w:val="3"/>
        </w:tcPr>
        <w:p w14:paraId="4E8A8120" w14:textId="77777777" w:rsidR="00EF3A81" w:rsidRDefault="00B33319" w:rsidP="00AD089C">
          <w:pPr>
            <w:pStyle w:val="Header"/>
            <w:spacing w:before="40"/>
            <w:rPr>
              <w:rFonts w:ascii="Arial" w:hAnsi="Arial" w:cs="Arial"/>
              <w:b/>
              <w:sz w:val="24"/>
              <w:szCs w:val="24"/>
            </w:rPr>
          </w:pPr>
          <w:r>
            <w:rPr>
              <w:rFonts w:ascii="Arial" w:hAnsi="Arial" w:cs="Arial"/>
              <w:b/>
              <w:sz w:val="24"/>
              <w:szCs w:val="24"/>
            </w:rPr>
            <w:t>2</w:t>
          </w:r>
          <w:r w:rsidR="00146B0E">
            <w:rPr>
              <w:rFonts w:ascii="Arial" w:hAnsi="Arial" w:cs="Arial"/>
              <w:b/>
              <w:sz w:val="24"/>
              <w:szCs w:val="24"/>
            </w:rPr>
            <w:t>4</w:t>
          </w:r>
          <w:r w:rsidR="00AD089C">
            <w:rPr>
              <w:rFonts w:ascii="Arial" w:hAnsi="Arial" w:cs="Arial"/>
              <w:b/>
              <w:sz w:val="24"/>
              <w:szCs w:val="24"/>
            </w:rPr>
            <w:t>2</w:t>
          </w:r>
          <w:r w:rsidR="00686FFD">
            <w:rPr>
              <w:rFonts w:ascii="Arial" w:hAnsi="Arial" w:cs="Arial"/>
              <w:b/>
              <w:sz w:val="24"/>
              <w:szCs w:val="24"/>
            </w:rPr>
            <w:t xml:space="preserve"> – </w:t>
          </w:r>
          <w:r w:rsidR="00AD089C">
            <w:rPr>
              <w:rFonts w:ascii="Arial" w:hAnsi="Arial" w:cs="Arial"/>
              <w:b/>
              <w:sz w:val="24"/>
              <w:szCs w:val="24"/>
            </w:rPr>
            <w:t xml:space="preserve">Use of </w:t>
          </w:r>
          <w:r w:rsidR="00146B0E">
            <w:rPr>
              <w:rFonts w:ascii="Arial" w:hAnsi="Arial" w:cs="Arial"/>
              <w:b/>
              <w:sz w:val="24"/>
              <w:szCs w:val="24"/>
            </w:rPr>
            <w:t xml:space="preserve">Screening </w:t>
          </w:r>
          <w:r w:rsidR="00AD089C">
            <w:rPr>
              <w:rFonts w:ascii="Arial" w:hAnsi="Arial" w:cs="Arial"/>
              <w:b/>
              <w:sz w:val="24"/>
              <w:szCs w:val="24"/>
            </w:rPr>
            <w:t>Information</w:t>
          </w:r>
        </w:p>
      </w:tc>
    </w:tr>
    <w:tr w:rsidR="00EF3A81" w:rsidRPr="00A759FF" w14:paraId="15AC2EF3" w14:textId="77777777" w:rsidTr="00867A7B">
      <w:tc>
        <w:tcPr>
          <w:tcW w:w="1998" w:type="dxa"/>
        </w:tcPr>
        <w:p w14:paraId="3D465B45"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4F28357D"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5498EAEE" w14:textId="77777777" w:rsidR="00EF3A81" w:rsidRPr="00830B81" w:rsidRDefault="00EF3A81" w:rsidP="00867A7B">
          <w:pPr>
            <w:pStyle w:val="Header"/>
            <w:spacing w:before="40"/>
            <w:jc w:val="right"/>
            <w:rPr>
              <w:rFonts w:ascii="Arial" w:hAnsi="Arial" w:cs="Arial"/>
              <w:b/>
              <w:sz w:val="24"/>
              <w:szCs w:val="24"/>
            </w:rPr>
          </w:pPr>
        </w:p>
      </w:tc>
      <w:tc>
        <w:tcPr>
          <w:tcW w:w="1404" w:type="dxa"/>
        </w:tcPr>
        <w:p w14:paraId="0979833B" w14:textId="77777777" w:rsidR="00EF3A81" w:rsidRPr="00830B81" w:rsidRDefault="00EF3A81" w:rsidP="00867A7B">
          <w:pPr>
            <w:pStyle w:val="Header"/>
            <w:spacing w:before="40"/>
            <w:rPr>
              <w:rFonts w:ascii="Arial" w:hAnsi="Arial" w:cs="Arial"/>
              <w:b/>
              <w:sz w:val="24"/>
              <w:szCs w:val="24"/>
            </w:rPr>
          </w:pPr>
        </w:p>
      </w:tc>
    </w:tr>
    <w:tr w:rsidR="00EF3A81" w:rsidRPr="00A759FF" w14:paraId="417DEF6F"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0991E2D1"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3CB72ACB"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59F1706E" w14:textId="61ED4C80"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B02FE4">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1E731F21" w14:textId="2A1EC04C" w:rsidR="00EF3A81" w:rsidRPr="00830B81" w:rsidRDefault="00B02FE4" w:rsidP="00867A7B">
          <w:pPr>
            <w:pStyle w:val="Header"/>
            <w:spacing w:before="40"/>
            <w:rPr>
              <w:rFonts w:ascii="Arial" w:hAnsi="Arial" w:cs="Arial"/>
              <w:b/>
              <w:sz w:val="24"/>
              <w:szCs w:val="24"/>
            </w:rPr>
          </w:pPr>
          <w:r>
            <w:rPr>
              <w:rFonts w:ascii="Arial" w:hAnsi="Arial" w:cs="Arial"/>
              <w:b/>
              <w:sz w:val="24"/>
              <w:szCs w:val="24"/>
            </w:rPr>
            <w:t>02/07/23</w:t>
          </w:r>
        </w:p>
      </w:tc>
    </w:tr>
  </w:tbl>
  <w:p w14:paraId="175742E1" w14:textId="77777777" w:rsidR="00EF3A81" w:rsidRDefault="00EF3A81"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516392">
    <w:abstractNumId w:val="1"/>
  </w:num>
  <w:num w:numId="2" w16cid:durableId="1936742255">
    <w:abstractNumId w:val="6"/>
  </w:num>
  <w:num w:numId="3" w16cid:durableId="1344864932">
    <w:abstractNumId w:val="4"/>
  </w:num>
  <w:num w:numId="4" w16cid:durableId="1106390952">
    <w:abstractNumId w:val="3"/>
  </w:num>
  <w:num w:numId="5" w16cid:durableId="1552839619">
    <w:abstractNumId w:val="2"/>
  </w:num>
  <w:num w:numId="6" w16cid:durableId="2026052914">
    <w:abstractNumId w:val="7"/>
  </w:num>
  <w:num w:numId="7" w16cid:durableId="1417753263">
    <w:abstractNumId w:val="5"/>
  </w:num>
  <w:num w:numId="8" w16cid:durableId="20092084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146B0E"/>
    <w:rsid w:val="0022484D"/>
    <w:rsid w:val="002E4367"/>
    <w:rsid w:val="003177A6"/>
    <w:rsid w:val="00360CDC"/>
    <w:rsid w:val="00383589"/>
    <w:rsid w:val="0039330F"/>
    <w:rsid w:val="003947C8"/>
    <w:rsid w:val="003B453A"/>
    <w:rsid w:val="0047530D"/>
    <w:rsid w:val="00476227"/>
    <w:rsid w:val="004D1548"/>
    <w:rsid w:val="005A7721"/>
    <w:rsid w:val="00625CF6"/>
    <w:rsid w:val="00627109"/>
    <w:rsid w:val="00686FFD"/>
    <w:rsid w:val="0069726D"/>
    <w:rsid w:val="006F42D9"/>
    <w:rsid w:val="00757F0C"/>
    <w:rsid w:val="00794F13"/>
    <w:rsid w:val="00854899"/>
    <w:rsid w:val="00867A7B"/>
    <w:rsid w:val="008F43CA"/>
    <w:rsid w:val="00904DE8"/>
    <w:rsid w:val="0098352B"/>
    <w:rsid w:val="00987FDC"/>
    <w:rsid w:val="00991968"/>
    <w:rsid w:val="009B5848"/>
    <w:rsid w:val="009D1C0D"/>
    <w:rsid w:val="00A53827"/>
    <w:rsid w:val="00AA2E82"/>
    <w:rsid w:val="00AD089C"/>
    <w:rsid w:val="00B02FE4"/>
    <w:rsid w:val="00B33319"/>
    <w:rsid w:val="00B74D7E"/>
    <w:rsid w:val="00C038D3"/>
    <w:rsid w:val="00C23CF3"/>
    <w:rsid w:val="00D024D9"/>
    <w:rsid w:val="00D30D07"/>
    <w:rsid w:val="00D30FDF"/>
    <w:rsid w:val="00D67111"/>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629AC7"/>
  <w15:docId w15:val="{C6C6BDE7-2BAD-4345-A805-A005654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FF90-BCCD-46F9-8C8D-963C7C60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2016-07-25T18:44:00Z</cp:lastPrinted>
  <dcterms:created xsi:type="dcterms:W3CDTF">2016-07-25T18:45:00Z</dcterms:created>
  <dcterms:modified xsi:type="dcterms:W3CDTF">2023-12-13T16:34:00Z</dcterms:modified>
</cp:coreProperties>
</file>