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738B"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A time limit shall not be imposed on when a resident may submit a grievance regarding an allegation of sexual abuse and all grievances alleging sexual abuse or sexual assault shall be considered an emergency grievance alleging that a resident is subject to a substantial risk of imminent sexual abuse and immediately reported to the contactor/investigative agency.</w:t>
      </w:r>
    </w:p>
    <w:p w14:paraId="15438154"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Otherwise-applicable time limits may apply on any portion of a grievance that does not allege an incident of sexual abuse.</w:t>
      </w:r>
    </w:p>
    <w:p w14:paraId="59C5214C"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Residents are not required to use any informal grievance process, or to otherwise attempt to resolve with staff, an alleged incident of sexual abuse.</w:t>
      </w:r>
    </w:p>
    <w:p w14:paraId="7A9B39C5"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Tomorrows Hope (TH) has the ability to defend against a lawsuit filed by a resident on the ground that the applicable statute of limitations has expired.</w:t>
      </w:r>
    </w:p>
    <w:p w14:paraId="3004409D"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A resident who alleges sexual abuse may submit a grievance without submitting it to a staff member who is the subject of the complaint, and</w:t>
      </w:r>
    </w:p>
    <w:p w14:paraId="2E2F9F3A"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Such grievance is not referred to a staff member who is the subject of the complaint.</w:t>
      </w:r>
    </w:p>
    <w:p w14:paraId="73FC45E4"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TH shall forward all grievances to the appropriate contractor and investigative agency.</w:t>
      </w:r>
    </w:p>
    <w:p w14:paraId="30122328"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TH shall provide an initial response within 48 hours. The initial response and final agency decision shall document the agency’s determination whether the resident is in substantial risk of imminent sexual abuse and the action taken in response to the emergency grievance. Whenever possible and upon receipt of final decision, it will be shared with the victim on the merits of any portion of a grievance alleging sexual abuse.</w:t>
      </w:r>
    </w:p>
    <w:p w14:paraId="42DB7B97"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The investigative agency may claim an extension of time to respond, of up to 70 days, if the normal time period for response is insufficient to make an appropriate decision. TH shall notify the resident in writing of any such extension and provide a date by which a decision will be made, if available.</w:t>
      </w:r>
    </w:p>
    <w:p w14:paraId="79212353"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Third parties, including fellow residents, staff members, family members, attorneys, and outside advocates, shall be permitted to assist residents in filing requests for administrative remedies relating to allegations of sexual abuse, and shall also be permitted to file such requests on behalf of residents.</w:t>
      </w:r>
    </w:p>
    <w:p w14:paraId="07550E55"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If a third party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w:t>
      </w:r>
    </w:p>
    <w:p w14:paraId="65138B00"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 xml:space="preserve">If the resident declines to have the request processed on his or her behalf, TH shall document the </w:t>
      </w:r>
      <w:proofErr w:type="spellStart"/>
      <w:r w:rsidRPr="00301347">
        <w:rPr>
          <w:rFonts w:ascii="Arial" w:eastAsia="Times New Roman" w:hAnsi="Arial" w:cs="Arial"/>
          <w:color w:val="333333"/>
        </w:rPr>
        <w:t>resident’s</w:t>
      </w:r>
      <w:proofErr w:type="spellEnd"/>
      <w:r w:rsidRPr="00301347">
        <w:rPr>
          <w:rFonts w:ascii="Arial" w:eastAsia="Times New Roman" w:hAnsi="Arial" w:cs="Arial"/>
          <w:color w:val="333333"/>
        </w:rPr>
        <w:t xml:space="preserve"> decision.</w:t>
      </w:r>
    </w:p>
    <w:p w14:paraId="39C85AB7" w14:textId="77777777" w:rsidR="00301347" w:rsidRPr="00301347" w:rsidRDefault="00301347" w:rsidP="00301347">
      <w:pPr>
        <w:numPr>
          <w:ilvl w:val="0"/>
          <w:numId w:val="10"/>
        </w:numPr>
        <w:spacing w:before="100" w:beforeAutospacing="1" w:after="100" w:afterAutospacing="1" w:line="300" w:lineRule="atLeast"/>
        <w:ind w:left="525"/>
        <w:rPr>
          <w:rFonts w:ascii="Arial" w:eastAsia="Times New Roman" w:hAnsi="Arial" w:cs="Arial"/>
          <w:color w:val="333333"/>
        </w:rPr>
      </w:pPr>
      <w:r w:rsidRPr="00301347">
        <w:rPr>
          <w:rFonts w:ascii="Arial" w:eastAsia="Times New Roman" w:hAnsi="Arial" w:cs="Arial"/>
          <w:color w:val="333333"/>
        </w:rPr>
        <w:t>TH may discipline a resident for filing a grievance related to alleged sexual abuse only where the agency demonstrates that the resident filed the grievance in bad faith.</w:t>
      </w:r>
    </w:p>
    <w:p w14:paraId="564CDE8B" w14:textId="77777777" w:rsidR="00E247AC" w:rsidRPr="00E247AC" w:rsidRDefault="00E65E18" w:rsidP="00E247AC">
      <w:pPr>
        <w:spacing w:before="360" w:after="0" w:line="240" w:lineRule="auto"/>
        <w:rPr>
          <w:rFonts w:ascii="Arial" w:hAnsi="Arial"/>
          <w:b/>
        </w:rPr>
      </w:pPr>
      <w:r w:rsidRPr="00E247AC">
        <w:rPr>
          <w:rFonts w:ascii="Arial" w:hAnsi="Arial" w:cs="Arial"/>
          <w:b/>
        </w:rPr>
        <w:t>APP</w:t>
      </w:r>
      <w:r w:rsidR="00C038D3">
        <w:rPr>
          <w:rFonts w:ascii="Arial" w:hAnsi="Arial" w:cs="Arial"/>
          <w:b/>
        </w:rPr>
        <w:t>R</w:t>
      </w:r>
      <w:r w:rsidRPr="00E247AC">
        <w:rPr>
          <w:rFonts w:ascii="Arial" w:hAnsi="Arial" w:cs="Arial"/>
          <w:b/>
        </w:rPr>
        <w:t>OVALS</w:t>
      </w:r>
    </w:p>
    <w:tbl>
      <w:tblPr>
        <w:tblStyle w:val="TableGrid1"/>
        <w:tblW w:w="10188" w:type="dxa"/>
        <w:tblLayout w:type="fixed"/>
        <w:tblLook w:val="04A0" w:firstRow="1" w:lastRow="0" w:firstColumn="1" w:lastColumn="0" w:noHBand="0" w:noVBand="1"/>
      </w:tblPr>
      <w:tblGrid>
        <w:gridCol w:w="3888"/>
        <w:gridCol w:w="6300"/>
      </w:tblGrid>
      <w:tr w:rsidR="00E247AC" w14:paraId="3CB85F73" w14:textId="77777777" w:rsidTr="00867A7B">
        <w:trPr>
          <w:cantSplit/>
          <w:tblHeader/>
        </w:trPr>
        <w:tc>
          <w:tcPr>
            <w:tcW w:w="3888" w:type="dxa"/>
            <w:tcBorders>
              <w:top w:val="single" w:sz="4" w:space="0" w:color="auto"/>
              <w:left w:val="single" w:sz="4" w:space="0" w:color="auto"/>
              <w:bottom w:val="single" w:sz="4" w:space="0" w:color="auto"/>
              <w:right w:val="single" w:sz="4" w:space="0" w:color="auto"/>
            </w:tcBorders>
            <w:shd w:val="solid" w:color="DBE5F1" w:fill="auto"/>
            <w:hideMark/>
          </w:tcPr>
          <w:p w14:paraId="5E025FF3" w14:textId="77777777" w:rsidR="00E247AC" w:rsidRDefault="00E247AC" w:rsidP="00E247AC">
            <w:pPr>
              <w:spacing w:before="120"/>
              <w:jc w:val="center"/>
              <w:rPr>
                <w:rFonts w:ascii="Arial" w:hAnsi="Arial" w:cs="Arial"/>
                <w:b/>
                <w:sz w:val="22"/>
                <w:szCs w:val="22"/>
              </w:rPr>
            </w:pPr>
            <w:r>
              <w:rPr>
                <w:rFonts w:ascii="Arial" w:hAnsi="Arial" w:cs="Arial"/>
                <w:b/>
              </w:rPr>
              <w:t>Approver’s Name</w:t>
            </w:r>
          </w:p>
        </w:tc>
        <w:tc>
          <w:tcPr>
            <w:tcW w:w="6300" w:type="dxa"/>
            <w:tcBorders>
              <w:top w:val="single" w:sz="4" w:space="0" w:color="auto"/>
              <w:left w:val="single" w:sz="4" w:space="0" w:color="auto"/>
              <w:bottom w:val="single" w:sz="4" w:space="0" w:color="auto"/>
              <w:right w:val="single" w:sz="4" w:space="0" w:color="auto"/>
            </w:tcBorders>
            <w:shd w:val="solid" w:color="DBE5F1" w:fill="auto"/>
            <w:hideMark/>
          </w:tcPr>
          <w:p w14:paraId="1C27C4DF" w14:textId="77777777" w:rsidR="00E247AC" w:rsidRDefault="00E247AC" w:rsidP="00E247AC">
            <w:pPr>
              <w:spacing w:before="120"/>
              <w:jc w:val="center"/>
              <w:rPr>
                <w:rFonts w:ascii="Arial" w:hAnsi="Arial" w:cs="Arial"/>
                <w:b/>
                <w:sz w:val="22"/>
                <w:szCs w:val="22"/>
              </w:rPr>
            </w:pPr>
            <w:r>
              <w:rPr>
                <w:rFonts w:ascii="Arial" w:hAnsi="Arial" w:cs="Arial"/>
                <w:b/>
              </w:rPr>
              <w:t>Approver’s Signature</w:t>
            </w:r>
          </w:p>
        </w:tc>
      </w:tr>
      <w:tr w:rsidR="00E247AC" w14:paraId="19D1B31F" w14:textId="77777777" w:rsidTr="00867A7B">
        <w:trPr>
          <w:cantSplit/>
        </w:trPr>
        <w:tc>
          <w:tcPr>
            <w:tcW w:w="3888" w:type="dxa"/>
            <w:tcBorders>
              <w:top w:val="single" w:sz="4" w:space="0" w:color="auto"/>
              <w:left w:val="single" w:sz="4" w:space="0" w:color="auto"/>
              <w:bottom w:val="single" w:sz="4" w:space="0" w:color="auto"/>
              <w:right w:val="single" w:sz="4" w:space="0" w:color="auto"/>
            </w:tcBorders>
          </w:tcPr>
          <w:p w14:paraId="0832A0B6" w14:textId="6E73C387" w:rsidR="00E247AC" w:rsidRDefault="00147FA9" w:rsidP="00E247AC">
            <w:pPr>
              <w:spacing w:before="120"/>
              <w:jc w:val="center"/>
              <w:rPr>
                <w:rFonts w:ascii="Arial" w:hAnsi="Arial" w:cs="Arial"/>
                <w:sz w:val="22"/>
                <w:szCs w:val="22"/>
              </w:rPr>
            </w:pPr>
            <w:r>
              <w:rPr>
                <w:rFonts w:ascii="Arial" w:hAnsi="Arial" w:cs="Arial"/>
                <w:sz w:val="22"/>
                <w:szCs w:val="22"/>
              </w:rPr>
              <w:lastRenderedPageBreak/>
              <w:t>Richard Metzger</w:t>
            </w:r>
          </w:p>
        </w:tc>
        <w:tc>
          <w:tcPr>
            <w:tcW w:w="6300" w:type="dxa"/>
            <w:tcBorders>
              <w:top w:val="single" w:sz="4" w:space="0" w:color="auto"/>
              <w:left w:val="single" w:sz="4" w:space="0" w:color="auto"/>
              <w:bottom w:val="single" w:sz="4" w:space="0" w:color="auto"/>
              <w:right w:val="single" w:sz="4" w:space="0" w:color="auto"/>
            </w:tcBorders>
          </w:tcPr>
          <w:p w14:paraId="194C291B" w14:textId="77777777" w:rsidR="00E247AC" w:rsidRDefault="00E247AC" w:rsidP="00E247AC">
            <w:pPr>
              <w:spacing w:before="120"/>
              <w:jc w:val="center"/>
              <w:rPr>
                <w:rFonts w:ascii="Arial" w:hAnsi="Arial" w:cs="Arial"/>
                <w:sz w:val="22"/>
                <w:szCs w:val="22"/>
              </w:rPr>
            </w:pPr>
          </w:p>
        </w:tc>
      </w:tr>
    </w:tbl>
    <w:p w14:paraId="1CD17C96" w14:textId="77777777" w:rsidR="00E65E18" w:rsidRPr="00E247AC" w:rsidRDefault="00E65E18" w:rsidP="00D30FDF">
      <w:pPr>
        <w:spacing w:line="240" w:lineRule="auto"/>
        <w:rPr>
          <w:rFonts w:ascii="Arial" w:hAnsi="Arial" w:cs="Arial"/>
        </w:rPr>
      </w:pPr>
    </w:p>
    <w:sectPr w:rsidR="00E65E18" w:rsidRPr="00E247AC" w:rsidSect="00F412ED">
      <w:headerReference w:type="default" r:id="rId8"/>
      <w:footerReference w:type="default" r:id="rId9"/>
      <w:pgSz w:w="12240" w:h="15840" w:code="1"/>
      <w:pgMar w:top="1296"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296F" w14:textId="77777777" w:rsidR="008F5A24" w:rsidRDefault="008F5A24" w:rsidP="00E65E18">
      <w:pPr>
        <w:spacing w:after="0" w:line="240" w:lineRule="auto"/>
      </w:pPr>
      <w:r>
        <w:separator/>
      </w:r>
    </w:p>
  </w:endnote>
  <w:endnote w:type="continuationSeparator" w:id="0">
    <w:p w14:paraId="6595C069" w14:textId="77777777" w:rsidR="008F5A24" w:rsidRDefault="008F5A24" w:rsidP="00E6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0B40" w14:textId="77777777" w:rsidR="008F5A24" w:rsidRPr="00F412ED" w:rsidRDefault="00147FA9" w:rsidP="00F412ED">
    <w:pPr>
      <w:tabs>
        <w:tab w:val="center" w:pos="4680"/>
        <w:tab w:val="right" w:pos="9360"/>
      </w:tabs>
      <w:spacing w:after="0" w:line="240" w:lineRule="auto"/>
      <w:jc w:val="center"/>
      <w:rPr>
        <w:rFonts w:ascii="Arial" w:hAnsi="Arial"/>
        <w:sz w:val="18"/>
        <w:szCs w:val="18"/>
      </w:rPr>
    </w:pPr>
    <w:sdt>
      <w:sdtPr>
        <w:rPr>
          <w:rFonts w:ascii="Arial" w:hAnsi="Arial"/>
          <w:sz w:val="18"/>
          <w:szCs w:val="18"/>
        </w:rPr>
        <w:id w:val="-1669238322"/>
        <w:docPartObj>
          <w:docPartGallery w:val="Page Numbers (Top of Page)"/>
          <w:docPartUnique/>
        </w:docPartObj>
      </w:sdtPr>
      <w:sdtEndPr/>
      <w:sdtContent>
        <w:r w:rsidR="008F5A24" w:rsidRPr="00F412ED">
          <w:rPr>
            <w:rFonts w:ascii="Arial" w:hAnsi="Arial"/>
            <w:bCs/>
            <w:sz w:val="18"/>
            <w:szCs w:val="18"/>
          </w:rPr>
          <w:fldChar w:fldCharType="begin"/>
        </w:r>
        <w:r w:rsidR="008F5A24" w:rsidRPr="00F412ED">
          <w:rPr>
            <w:rFonts w:ascii="Arial" w:hAnsi="Arial"/>
            <w:bCs/>
            <w:sz w:val="18"/>
            <w:szCs w:val="18"/>
          </w:rPr>
          <w:instrText xml:space="preserve"> PAGE </w:instrText>
        </w:r>
        <w:r w:rsidR="008F5A24" w:rsidRPr="00F412ED">
          <w:rPr>
            <w:rFonts w:ascii="Arial" w:hAnsi="Arial"/>
            <w:bCs/>
            <w:sz w:val="18"/>
            <w:szCs w:val="18"/>
          </w:rPr>
          <w:fldChar w:fldCharType="separate"/>
        </w:r>
        <w:r w:rsidR="00301347">
          <w:rPr>
            <w:rFonts w:ascii="Arial" w:hAnsi="Arial"/>
            <w:bCs/>
            <w:noProof/>
            <w:sz w:val="18"/>
            <w:szCs w:val="18"/>
          </w:rPr>
          <w:t>1</w:t>
        </w:r>
        <w:r w:rsidR="008F5A24" w:rsidRPr="00F412ED">
          <w:rPr>
            <w:rFonts w:ascii="Arial" w:hAnsi="Arial"/>
            <w:bCs/>
            <w:sz w:val="18"/>
            <w:szCs w:val="18"/>
          </w:rPr>
          <w:fldChar w:fldCharType="end"/>
        </w:r>
        <w:r w:rsidR="008F5A24" w:rsidRPr="00F412ED">
          <w:rPr>
            <w:rFonts w:ascii="Arial" w:hAnsi="Arial"/>
            <w:sz w:val="18"/>
            <w:szCs w:val="18"/>
          </w:rPr>
          <w:t xml:space="preserve"> of </w:t>
        </w:r>
        <w:r w:rsidR="008F5A24" w:rsidRPr="00F412ED">
          <w:rPr>
            <w:rFonts w:ascii="Arial" w:hAnsi="Arial"/>
            <w:bCs/>
            <w:sz w:val="18"/>
            <w:szCs w:val="18"/>
          </w:rPr>
          <w:fldChar w:fldCharType="begin"/>
        </w:r>
        <w:r w:rsidR="008F5A24" w:rsidRPr="00F412ED">
          <w:rPr>
            <w:rFonts w:ascii="Arial" w:hAnsi="Arial"/>
            <w:bCs/>
            <w:sz w:val="18"/>
            <w:szCs w:val="18"/>
          </w:rPr>
          <w:instrText xml:space="preserve"> NUMPAGES  </w:instrText>
        </w:r>
        <w:r w:rsidR="008F5A24" w:rsidRPr="00F412ED">
          <w:rPr>
            <w:rFonts w:ascii="Arial" w:hAnsi="Arial"/>
            <w:bCs/>
            <w:sz w:val="18"/>
            <w:szCs w:val="18"/>
          </w:rPr>
          <w:fldChar w:fldCharType="separate"/>
        </w:r>
        <w:r w:rsidR="00301347">
          <w:rPr>
            <w:rFonts w:ascii="Arial" w:hAnsi="Arial"/>
            <w:bCs/>
            <w:noProof/>
            <w:sz w:val="18"/>
            <w:szCs w:val="18"/>
          </w:rPr>
          <w:t>1</w:t>
        </w:r>
        <w:r w:rsidR="008F5A24" w:rsidRPr="00F412ED">
          <w:rPr>
            <w:rFonts w:ascii="Arial" w:hAnsi="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812E" w14:textId="77777777" w:rsidR="008F5A24" w:rsidRDefault="008F5A24" w:rsidP="00E65E18">
      <w:pPr>
        <w:spacing w:after="0" w:line="240" w:lineRule="auto"/>
      </w:pPr>
      <w:r>
        <w:separator/>
      </w:r>
    </w:p>
  </w:footnote>
  <w:footnote w:type="continuationSeparator" w:id="0">
    <w:p w14:paraId="6ACC6810" w14:textId="77777777" w:rsidR="008F5A24" w:rsidRDefault="008F5A24" w:rsidP="00E6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12C9" w14:textId="77777777" w:rsidR="008F5A24" w:rsidRPr="00E93D45" w:rsidRDefault="008F5A24" w:rsidP="00E65E18">
    <w:pPr>
      <w:pStyle w:val="Header"/>
      <w:jc w:val="center"/>
      <w:rPr>
        <w:rFonts w:cs="Arial"/>
      </w:rPr>
    </w:pPr>
    <w:r>
      <w:rPr>
        <w:noProof/>
      </w:rPr>
      <w:drawing>
        <wp:inline distT="0" distB="0" distL="0" distR="0" wp14:anchorId="3B345475" wp14:editId="6198DA47">
          <wp:extent cx="2871216" cy="34747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71216" cy="34747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4860"/>
      <w:gridCol w:w="1890"/>
      <w:gridCol w:w="1404"/>
    </w:tblGrid>
    <w:tr w:rsidR="008F5A24" w:rsidRPr="00A759FF" w14:paraId="0F24D82E" w14:textId="77777777" w:rsidTr="00867A7B">
      <w:tc>
        <w:tcPr>
          <w:tcW w:w="1998" w:type="dxa"/>
        </w:tcPr>
        <w:p w14:paraId="4E4F71C6"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Name:</w:t>
          </w:r>
        </w:p>
      </w:tc>
      <w:tc>
        <w:tcPr>
          <w:tcW w:w="4860" w:type="dxa"/>
        </w:tcPr>
        <w:p w14:paraId="58CCA114" w14:textId="77777777" w:rsidR="008F5A24" w:rsidRPr="00830B81" w:rsidRDefault="008F5A24" w:rsidP="00E704A2">
          <w:pPr>
            <w:pStyle w:val="Header"/>
            <w:spacing w:before="40"/>
            <w:rPr>
              <w:rFonts w:ascii="Arial" w:hAnsi="Arial" w:cs="Arial"/>
              <w:b/>
              <w:sz w:val="24"/>
              <w:szCs w:val="24"/>
            </w:rPr>
          </w:pPr>
          <w:r>
            <w:rPr>
              <w:rFonts w:ascii="Arial" w:hAnsi="Arial" w:cs="Arial"/>
              <w:b/>
              <w:sz w:val="24"/>
              <w:szCs w:val="24"/>
            </w:rPr>
            <w:t xml:space="preserve">PREA </w:t>
          </w:r>
        </w:p>
      </w:tc>
      <w:tc>
        <w:tcPr>
          <w:tcW w:w="1890" w:type="dxa"/>
        </w:tcPr>
        <w:p w14:paraId="3D4C688A"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w:t>
          </w:r>
        </w:p>
      </w:tc>
      <w:tc>
        <w:tcPr>
          <w:tcW w:w="1404" w:type="dxa"/>
        </w:tcPr>
        <w:p w14:paraId="37533BAB"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3.17</w:t>
          </w:r>
        </w:p>
      </w:tc>
    </w:tr>
    <w:tr w:rsidR="008F5A24" w:rsidRPr="00A759FF" w14:paraId="1FE1CAFD" w14:textId="77777777" w:rsidTr="00EF3A81">
      <w:tc>
        <w:tcPr>
          <w:tcW w:w="1998" w:type="dxa"/>
        </w:tcPr>
        <w:p w14:paraId="13861403" w14:textId="77777777" w:rsidR="008F5A24" w:rsidRPr="00830B81" w:rsidRDefault="008F5A24" w:rsidP="00360CDC">
          <w:pPr>
            <w:pStyle w:val="Header"/>
            <w:spacing w:before="40"/>
            <w:jc w:val="center"/>
            <w:rPr>
              <w:rFonts w:ascii="Arial" w:hAnsi="Arial" w:cs="Arial"/>
              <w:b/>
              <w:sz w:val="24"/>
              <w:szCs w:val="24"/>
            </w:rPr>
          </w:pPr>
        </w:p>
      </w:tc>
      <w:tc>
        <w:tcPr>
          <w:tcW w:w="8154" w:type="dxa"/>
          <w:gridSpan w:val="3"/>
        </w:tcPr>
        <w:p w14:paraId="19BA6C84" w14:textId="77777777" w:rsidR="008F5A24" w:rsidRDefault="008F5A24" w:rsidP="00301347">
          <w:pPr>
            <w:pStyle w:val="Header"/>
            <w:spacing w:before="40"/>
            <w:rPr>
              <w:rFonts w:ascii="Arial" w:hAnsi="Arial" w:cs="Arial"/>
              <w:b/>
              <w:sz w:val="24"/>
              <w:szCs w:val="24"/>
            </w:rPr>
          </w:pPr>
          <w:r>
            <w:rPr>
              <w:rFonts w:ascii="Arial" w:hAnsi="Arial" w:cs="Arial"/>
              <w:b/>
              <w:sz w:val="24"/>
              <w:szCs w:val="24"/>
            </w:rPr>
            <w:t>25</w:t>
          </w:r>
          <w:r w:rsidR="00301347">
            <w:rPr>
              <w:rFonts w:ascii="Arial" w:hAnsi="Arial" w:cs="Arial"/>
              <w:b/>
              <w:sz w:val="24"/>
              <w:szCs w:val="24"/>
            </w:rPr>
            <w:t>2</w:t>
          </w:r>
          <w:r>
            <w:rPr>
              <w:rFonts w:ascii="Arial" w:hAnsi="Arial" w:cs="Arial"/>
              <w:b/>
              <w:sz w:val="24"/>
              <w:szCs w:val="24"/>
            </w:rPr>
            <w:t xml:space="preserve"> – </w:t>
          </w:r>
          <w:r w:rsidR="00301347">
            <w:rPr>
              <w:rFonts w:ascii="Arial" w:hAnsi="Arial" w:cs="Arial"/>
              <w:b/>
              <w:sz w:val="24"/>
              <w:szCs w:val="24"/>
            </w:rPr>
            <w:t>Exhaustion of Administrative Remedies</w:t>
          </w:r>
        </w:p>
      </w:tc>
    </w:tr>
    <w:tr w:rsidR="008F5A24" w:rsidRPr="00A759FF" w14:paraId="0F10A44C" w14:textId="77777777" w:rsidTr="00867A7B">
      <w:tc>
        <w:tcPr>
          <w:tcW w:w="1998" w:type="dxa"/>
        </w:tcPr>
        <w:p w14:paraId="343506E1"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Section:</w:t>
          </w:r>
        </w:p>
      </w:tc>
      <w:tc>
        <w:tcPr>
          <w:tcW w:w="4860" w:type="dxa"/>
        </w:tcPr>
        <w:p w14:paraId="7155BDB4"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Personnel</w:t>
          </w:r>
        </w:p>
      </w:tc>
      <w:tc>
        <w:tcPr>
          <w:tcW w:w="1890" w:type="dxa"/>
        </w:tcPr>
        <w:p w14:paraId="015B85AD" w14:textId="77777777" w:rsidR="008F5A24" w:rsidRPr="00830B81" w:rsidRDefault="008F5A24" w:rsidP="00867A7B">
          <w:pPr>
            <w:pStyle w:val="Header"/>
            <w:spacing w:before="40"/>
            <w:jc w:val="right"/>
            <w:rPr>
              <w:rFonts w:ascii="Arial" w:hAnsi="Arial" w:cs="Arial"/>
              <w:b/>
              <w:sz w:val="24"/>
              <w:szCs w:val="24"/>
            </w:rPr>
          </w:pPr>
        </w:p>
      </w:tc>
      <w:tc>
        <w:tcPr>
          <w:tcW w:w="1404" w:type="dxa"/>
        </w:tcPr>
        <w:p w14:paraId="2F23E4E3" w14:textId="77777777" w:rsidR="008F5A24" w:rsidRPr="00830B81" w:rsidRDefault="008F5A24" w:rsidP="00867A7B">
          <w:pPr>
            <w:pStyle w:val="Header"/>
            <w:spacing w:before="40"/>
            <w:rPr>
              <w:rFonts w:ascii="Arial" w:hAnsi="Arial" w:cs="Arial"/>
              <w:b/>
              <w:sz w:val="24"/>
              <w:szCs w:val="24"/>
            </w:rPr>
          </w:pPr>
        </w:p>
      </w:tc>
    </w:tr>
    <w:tr w:rsidR="008F5A24" w:rsidRPr="00A759FF" w14:paraId="2884A082" w14:textId="77777777" w:rsidTr="0086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single" w:sz="18" w:space="0" w:color="auto"/>
            <w:right w:val="nil"/>
          </w:tcBorders>
        </w:tcPr>
        <w:p w14:paraId="0C7BAFB2" w14:textId="77777777"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Date Issued:</w:t>
          </w:r>
        </w:p>
      </w:tc>
      <w:tc>
        <w:tcPr>
          <w:tcW w:w="4860" w:type="dxa"/>
          <w:tcBorders>
            <w:top w:val="nil"/>
            <w:left w:val="nil"/>
            <w:bottom w:val="single" w:sz="18" w:space="0" w:color="auto"/>
            <w:right w:val="nil"/>
          </w:tcBorders>
        </w:tcPr>
        <w:p w14:paraId="001004B7" w14:textId="77777777" w:rsidR="008F5A24" w:rsidRPr="00830B81" w:rsidRDefault="008F5A24" w:rsidP="00867A7B">
          <w:pPr>
            <w:pStyle w:val="Header"/>
            <w:spacing w:before="40"/>
            <w:rPr>
              <w:rFonts w:ascii="Arial" w:hAnsi="Arial" w:cs="Arial"/>
              <w:b/>
              <w:sz w:val="24"/>
              <w:szCs w:val="24"/>
            </w:rPr>
          </w:pPr>
          <w:r>
            <w:rPr>
              <w:rFonts w:ascii="Arial" w:hAnsi="Arial" w:cs="Arial"/>
              <w:b/>
              <w:sz w:val="24"/>
              <w:szCs w:val="24"/>
            </w:rPr>
            <w:t>01/30/16</w:t>
          </w:r>
        </w:p>
      </w:tc>
      <w:tc>
        <w:tcPr>
          <w:tcW w:w="1890" w:type="dxa"/>
          <w:tcBorders>
            <w:top w:val="nil"/>
            <w:left w:val="nil"/>
            <w:bottom w:val="single" w:sz="18" w:space="0" w:color="auto"/>
            <w:right w:val="nil"/>
          </w:tcBorders>
        </w:tcPr>
        <w:p w14:paraId="01918F6D" w14:textId="14049157" w:rsidR="008F5A24" w:rsidRPr="00830B81" w:rsidRDefault="008F5A24" w:rsidP="00867A7B">
          <w:pPr>
            <w:pStyle w:val="Header"/>
            <w:spacing w:before="40"/>
            <w:jc w:val="right"/>
            <w:rPr>
              <w:rFonts w:ascii="Arial" w:hAnsi="Arial" w:cs="Arial"/>
              <w:b/>
              <w:sz w:val="24"/>
              <w:szCs w:val="24"/>
            </w:rPr>
          </w:pPr>
          <w:r w:rsidRPr="005424B5">
            <w:rPr>
              <w:rFonts w:ascii="Arial" w:hAnsi="Arial" w:cs="Arial"/>
              <w:b/>
              <w:sz w:val="24"/>
              <w:szCs w:val="24"/>
            </w:rPr>
            <w:t>Date Revi</w:t>
          </w:r>
          <w:r w:rsidR="00147FA9">
            <w:rPr>
              <w:rFonts w:ascii="Arial" w:hAnsi="Arial" w:cs="Arial"/>
              <w:b/>
              <w:sz w:val="24"/>
              <w:szCs w:val="24"/>
            </w:rPr>
            <w:t>ew</w:t>
          </w:r>
          <w:r w:rsidRPr="005424B5">
            <w:rPr>
              <w:rFonts w:ascii="Arial" w:hAnsi="Arial" w:cs="Arial"/>
              <w:b/>
              <w:sz w:val="24"/>
              <w:szCs w:val="24"/>
            </w:rPr>
            <w:t>ed</w:t>
          </w:r>
          <w:r w:rsidRPr="00830B81">
            <w:rPr>
              <w:rFonts w:ascii="Arial" w:hAnsi="Arial" w:cs="Arial"/>
              <w:b/>
              <w:sz w:val="24"/>
              <w:szCs w:val="24"/>
            </w:rPr>
            <w:t>:</w:t>
          </w:r>
        </w:p>
      </w:tc>
      <w:tc>
        <w:tcPr>
          <w:tcW w:w="1404" w:type="dxa"/>
          <w:tcBorders>
            <w:top w:val="nil"/>
            <w:left w:val="nil"/>
            <w:bottom w:val="single" w:sz="18" w:space="0" w:color="auto"/>
            <w:right w:val="nil"/>
          </w:tcBorders>
        </w:tcPr>
        <w:p w14:paraId="48380780" w14:textId="52C47FE5" w:rsidR="008F5A24" w:rsidRPr="00830B81" w:rsidRDefault="00147FA9" w:rsidP="00867A7B">
          <w:pPr>
            <w:pStyle w:val="Header"/>
            <w:spacing w:before="40"/>
            <w:rPr>
              <w:rFonts w:ascii="Arial" w:hAnsi="Arial" w:cs="Arial"/>
              <w:b/>
              <w:sz w:val="24"/>
              <w:szCs w:val="24"/>
            </w:rPr>
          </w:pPr>
          <w:r>
            <w:rPr>
              <w:rFonts w:ascii="Arial" w:hAnsi="Arial" w:cs="Arial"/>
              <w:b/>
              <w:sz w:val="24"/>
              <w:szCs w:val="24"/>
            </w:rPr>
            <w:t>02/07/23</w:t>
          </w:r>
        </w:p>
      </w:tc>
    </w:tr>
  </w:tbl>
  <w:p w14:paraId="030E6808" w14:textId="77777777" w:rsidR="008F5A24" w:rsidRDefault="008F5A24" w:rsidP="00E6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2936"/>
    <w:multiLevelType w:val="multilevel"/>
    <w:tmpl w:val="5E78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607F2"/>
    <w:multiLevelType w:val="multilevel"/>
    <w:tmpl w:val="E46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42F5C"/>
    <w:multiLevelType w:val="multilevel"/>
    <w:tmpl w:val="2AB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375EA"/>
    <w:multiLevelType w:val="multilevel"/>
    <w:tmpl w:val="C416299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625D8"/>
    <w:multiLevelType w:val="multilevel"/>
    <w:tmpl w:val="2AF8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C20577"/>
    <w:multiLevelType w:val="multilevel"/>
    <w:tmpl w:val="BE3207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94364"/>
    <w:multiLevelType w:val="multilevel"/>
    <w:tmpl w:val="33A6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76F8B"/>
    <w:multiLevelType w:val="multilevel"/>
    <w:tmpl w:val="06DEC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17909"/>
    <w:multiLevelType w:val="multilevel"/>
    <w:tmpl w:val="5D50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E5985"/>
    <w:multiLevelType w:val="multilevel"/>
    <w:tmpl w:val="27D8D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277990">
    <w:abstractNumId w:val="1"/>
  </w:num>
  <w:num w:numId="2" w16cid:durableId="201327790">
    <w:abstractNumId w:val="8"/>
  </w:num>
  <w:num w:numId="3" w16cid:durableId="963191697">
    <w:abstractNumId w:val="6"/>
  </w:num>
  <w:num w:numId="4" w16cid:durableId="461077608">
    <w:abstractNumId w:val="3"/>
  </w:num>
  <w:num w:numId="5" w16cid:durableId="1546407121">
    <w:abstractNumId w:val="2"/>
  </w:num>
  <w:num w:numId="6" w16cid:durableId="1832670178">
    <w:abstractNumId w:val="9"/>
  </w:num>
  <w:num w:numId="7" w16cid:durableId="396514711">
    <w:abstractNumId w:val="7"/>
  </w:num>
  <w:num w:numId="8" w16cid:durableId="370150222">
    <w:abstractNumId w:val="0"/>
  </w:num>
  <w:num w:numId="9" w16cid:durableId="867988569">
    <w:abstractNumId w:val="5"/>
  </w:num>
  <w:num w:numId="10" w16cid:durableId="11441589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E18"/>
    <w:rsid w:val="00086CEC"/>
    <w:rsid w:val="000E5A5A"/>
    <w:rsid w:val="00146B0E"/>
    <w:rsid w:val="00147FA9"/>
    <w:rsid w:val="0022484D"/>
    <w:rsid w:val="002E4367"/>
    <w:rsid w:val="00301347"/>
    <w:rsid w:val="003177A6"/>
    <w:rsid w:val="00360CDC"/>
    <w:rsid w:val="00383589"/>
    <w:rsid w:val="00383CE6"/>
    <w:rsid w:val="0039330F"/>
    <w:rsid w:val="003947C8"/>
    <w:rsid w:val="003B453A"/>
    <w:rsid w:val="0047530D"/>
    <w:rsid w:val="00476227"/>
    <w:rsid w:val="004D1548"/>
    <w:rsid w:val="005A7721"/>
    <w:rsid w:val="00625CF6"/>
    <w:rsid w:val="00627109"/>
    <w:rsid w:val="00686FFD"/>
    <w:rsid w:val="0069726D"/>
    <w:rsid w:val="006F42D9"/>
    <w:rsid w:val="00710E60"/>
    <w:rsid w:val="00757F0C"/>
    <w:rsid w:val="00794F13"/>
    <w:rsid w:val="00854899"/>
    <w:rsid w:val="00867A7B"/>
    <w:rsid w:val="008F43CA"/>
    <w:rsid w:val="008F5A24"/>
    <w:rsid w:val="00903360"/>
    <w:rsid w:val="00904DE8"/>
    <w:rsid w:val="0098352B"/>
    <w:rsid w:val="00987FDC"/>
    <w:rsid w:val="00991968"/>
    <w:rsid w:val="009B5848"/>
    <w:rsid w:val="009D1C0D"/>
    <w:rsid w:val="00A53827"/>
    <w:rsid w:val="00AA2E82"/>
    <w:rsid w:val="00AD089C"/>
    <w:rsid w:val="00B33319"/>
    <w:rsid w:val="00B74D7E"/>
    <w:rsid w:val="00C038D3"/>
    <w:rsid w:val="00C23CF3"/>
    <w:rsid w:val="00D024D9"/>
    <w:rsid w:val="00D30D07"/>
    <w:rsid w:val="00D30FDF"/>
    <w:rsid w:val="00D67111"/>
    <w:rsid w:val="00D97EAE"/>
    <w:rsid w:val="00E02267"/>
    <w:rsid w:val="00E247AC"/>
    <w:rsid w:val="00E65E18"/>
    <w:rsid w:val="00E704A2"/>
    <w:rsid w:val="00E9235E"/>
    <w:rsid w:val="00EB7211"/>
    <w:rsid w:val="00EF3A81"/>
    <w:rsid w:val="00F144C9"/>
    <w:rsid w:val="00F1472C"/>
    <w:rsid w:val="00F412ED"/>
    <w:rsid w:val="00F73E37"/>
    <w:rsid w:val="00F828D4"/>
    <w:rsid w:val="00F837E2"/>
    <w:rsid w:val="00FA08B7"/>
    <w:rsid w:val="00FD178C"/>
    <w:rsid w:val="00FD3089"/>
    <w:rsid w:val="00FD41E2"/>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4FC793"/>
  <w15:docId w15:val="{22B6ACDB-805D-4FC8-84B8-1C470B47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18"/>
  </w:style>
  <w:style w:type="paragraph" w:styleId="Footer">
    <w:name w:val="footer"/>
    <w:basedOn w:val="Normal"/>
    <w:link w:val="FooterChar"/>
    <w:uiPriority w:val="99"/>
    <w:unhideWhenUsed/>
    <w:rsid w:val="00E6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18"/>
  </w:style>
  <w:style w:type="paragraph" w:styleId="BalloonText">
    <w:name w:val="Balloon Text"/>
    <w:basedOn w:val="Normal"/>
    <w:link w:val="BalloonTextChar"/>
    <w:uiPriority w:val="99"/>
    <w:semiHidden/>
    <w:unhideWhenUsed/>
    <w:rsid w:val="00E6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18"/>
    <w:rPr>
      <w:rFonts w:ascii="Tahoma" w:hAnsi="Tahoma" w:cs="Tahoma"/>
      <w:sz w:val="16"/>
      <w:szCs w:val="16"/>
    </w:rPr>
  </w:style>
  <w:style w:type="table" w:styleId="TableGrid">
    <w:name w:val="Table Grid"/>
    <w:basedOn w:val="TableNormal"/>
    <w:rsid w:val="00E65E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47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896D-A62B-480F-998C-B8C45E05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James Parsons</cp:lastModifiedBy>
  <cp:revision>3</cp:revision>
  <cp:lastPrinted>2016-07-25T19:05:00Z</cp:lastPrinted>
  <dcterms:created xsi:type="dcterms:W3CDTF">2016-07-25T19:20:00Z</dcterms:created>
  <dcterms:modified xsi:type="dcterms:W3CDTF">2023-12-13T16:34:00Z</dcterms:modified>
</cp:coreProperties>
</file>