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78" w:rsidRPr="00790978" w:rsidRDefault="00790978" w:rsidP="00790978">
      <w:pPr>
        <w:spacing w:before="150" w:after="150" w:line="240" w:lineRule="atLeast"/>
        <w:outlineLvl w:val="3"/>
        <w:rPr>
          <w:rFonts w:ascii="Arial" w:eastAsia="Times New Roman" w:hAnsi="Arial" w:cs="Arial"/>
          <w:b/>
          <w:bCs/>
          <w:caps/>
          <w:color w:val="333333"/>
        </w:rPr>
      </w:pPr>
      <w:r w:rsidRPr="00790978">
        <w:rPr>
          <w:rFonts w:ascii="Arial" w:eastAsia="Times New Roman" w:hAnsi="Arial" w:cs="Arial"/>
          <w:b/>
          <w:bCs/>
          <w:caps/>
          <w:color w:val="333333"/>
        </w:rPr>
        <w:t>Sexual abuse incident reviews</w:t>
      </w:r>
    </w:p>
    <w:p w:rsidR="00790978" w:rsidRPr="00790978" w:rsidRDefault="00790978" w:rsidP="00790978">
      <w:pPr>
        <w:numPr>
          <w:ilvl w:val="0"/>
          <w:numId w:val="24"/>
        </w:numPr>
        <w:spacing w:before="100" w:beforeAutospacing="1" w:after="100" w:afterAutospacing="1" w:line="300" w:lineRule="atLeast"/>
        <w:ind w:left="525"/>
        <w:rPr>
          <w:rFonts w:ascii="Arial" w:eastAsia="Times New Roman" w:hAnsi="Arial" w:cs="Arial"/>
          <w:color w:val="333333"/>
        </w:rPr>
      </w:pPr>
      <w:r w:rsidRPr="00790978">
        <w:rPr>
          <w:rFonts w:ascii="Arial" w:eastAsia="Times New Roman" w:hAnsi="Arial" w:cs="Arial"/>
          <w:color w:val="333333"/>
        </w:rPr>
        <w:t>Tomorrows Hope shall conduct a sexual abuse incident review at the conclusion of every sexual abuse investigation, including where the allegation has not been substantiated, unless the allegation has been determined to be unfounded.</w:t>
      </w:r>
    </w:p>
    <w:p w:rsidR="00790978" w:rsidRPr="00790978" w:rsidRDefault="00790978" w:rsidP="00790978">
      <w:pPr>
        <w:numPr>
          <w:ilvl w:val="0"/>
          <w:numId w:val="24"/>
        </w:numPr>
        <w:spacing w:before="100" w:beforeAutospacing="1" w:after="100" w:afterAutospacing="1" w:line="300" w:lineRule="atLeast"/>
        <w:ind w:left="525"/>
        <w:rPr>
          <w:rFonts w:ascii="Arial" w:eastAsia="Times New Roman" w:hAnsi="Arial" w:cs="Arial"/>
          <w:color w:val="333333"/>
        </w:rPr>
      </w:pPr>
      <w:r w:rsidRPr="00790978">
        <w:rPr>
          <w:rFonts w:ascii="Arial" w:eastAsia="Times New Roman" w:hAnsi="Arial" w:cs="Arial"/>
          <w:color w:val="333333"/>
        </w:rPr>
        <w:t>Such review shall ordinarily occur within 30 days of the conclusion of the investigation.</w:t>
      </w:r>
    </w:p>
    <w:p w:rsidR="00790978" w:rsidRPr="00790978" w:rsidRDefault="00790978" w:rsidP="00790978">
      <w:pPr>
        <w:numPr>
          <w:ilvl w:val="0"/>
          <w:numId w:val="24"/>
        </w:numPr>
        <w:spacing w:before="100" w:beforeAutospacing="1" w:after="100" w:afterAutospacing="1" w:line="300" w:lineRule="atLeast"/>
        <w:ind w:left="525"/>
        <w:rPr>
          <w:rFonts w:ascii="Arial" w:eastAsia="Times New Roman" w:hAnsi="Arial" w:cs="Arial"/>
          <w:color w:val="333333"/>
        </w:rPr>
      </w:pPr>
      <w:r w:rsidRPr="00790978">
        <w:rPr>
          <w:rFonts w:ascii="Arial" w:eastAsia="Times New Roman" w:hAnsi="Arial" w:cs="Arial"/>
          <w:color w:val="333333"/>
        </w:rPr>
        <w:t>The review team shall include upper-level management officials, with input from line supervisors, investigators, the local PREA manager, the corporate PREA coordinator and when staff is potentially involved, the corporate director of human resources. When needed medical or mental health practitioners may be included.</w:t>
      </w:r>
    </w:p>
    <w:p w:rsidR="00790978" w:rsidRPr="00790978" w:rsidRDefault="00790978" w:rsidP="00790978">
      <w:pPr>
        <w:numPr>
          <w:ilvl w:val="0"/>
          <w:numId w:val="24"/>
        </w:numPr>
        <w:spacing w:before="100" w:beforeAutospacing="1" w:after="100" w:afterAutospacing="1" w:line="300" w:lineRule="atLeast"/>
        <w:ind w:left="525"/>
        <w:rPr>
          <w:rFonts w:ascii="Arial" w:eastAsia="Times New Roman" w:hAnsi="Arial" w:cs="Arial"/>
          <w:color w:val="333333"/>
        </w:rPr>
      </w:pPr>
      <w:r w:rsidRPr="00790978">
        <w:rPr>
          <w:rFonts w:ascii="Arial" w:eastAsia="Times New Roman" w:hAnsi="Arial" w:cs="Arial"/>
          <w:color w:val="333333"/>
        </w:rPr>
        <w:t>The review team shall:</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Consider whether the allegation or investigation indicates a need to change policy or practice to better prevent, detect, or respond to sexual abuse;</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Consider whether the incident or allegation was motivated by race; ethnicity; gender identity; lesbian, gay, bisexual, transgender, or intersex identification, status, or perceived status; or gang affiliation; or was motivated or otherwise caused by other group dynamics at the facility;</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Examine the area in the facility where the incident allegedly occurred to assess whether physical barriers in the area may enable abuse;</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Assess the adequacy of staffing levels in that area during different shifts;</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Assess whether monitoring technology should be deployed or augmented to supplement supervision by staff; and</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TH shall prepare a report of its findings and any recommendations for improvement, and submit such report to the facility head and PREA compliance manager.</w:t>
      </w:r>
    </w:p>
    <w:p w:rsidR="00790978" w:rsidRPr="00790978" w:rsidRDefault="00790978" w:rsidP="00790978">
      <w:pPr>
        <w:numPr>
          <w:ilvl w:val="1"/>
          <w:numId w:val="24"/>
        </w:numPr>
        <w:spacing w:before="100" w:beforeAutospacing="1" w:after="100" w:afterAutospacing="1" w:line="300" w:lineRule="atLeast"/>
        <w:ind w:left="900"/>
        <w:rPr>
          <w:rFonts w:ascii="Arial" w:eastAsia="Times New Roman" w:hAnsi="Arial" w:cs="Arial"/>
          <w:color w:val="333333"/>
        </w:rPr>
      </w:pPr>
      <w:r w:rsidRPr="00790978">
        <w:rPr>
          <w:rFonts w:ascii="Arial" w:eastAsia="Times New Roman" w:hAnsi="Arial" w:cs="Arial"/>
          <w:color w:val="333333"/>
        </w:rPr>
        <w:t>TH shall implement the re</w:t>
      </w:r>
      <w:bookmarkStart w:id="0" w:name="_GoBack"/>
      <w:bookmarkEnd w:id="0"/>
      <w:r w:rsidRPr="00790978">
        <w:rPr>
          <w:rFonts w:ascii="Arial" w:eastAsia="Times New Roman" w:hAnsi="Arial" w:cs="Arial"/>
          <w:color w:val="333333"/>
        </w:rPr>
        <w:t>commendations for improvement, or shall document its reasons for not doing so.</w:t>
      </w:r>
    </w:p>
    <w:p w:rsidR="000B00A2" w:rsidRDefault="000B00A2" w:rsidP="00E247AC">
      <w:pPr>
        <w:spacing w:before="360" w:after="0" w:line="240" w:lineRule="auto"/>
        <w:rPr>
          <w:rFonts w:ascii="Arial" w:hAnsi="Arial" w:cs="Arial"/>
          <w:b/>
        </w:rPr>
      </w:pPr>
    </w:p>
    <w:p w:rsidR="001F3F17" w:rsidRDefault="001F3F17" w:rsidP="00E247AC">
      <w:pPr>
        <w:spacing w:before="360" w:after="0" w:line="240" w:lineRule="auto"/>
        <w:rPr>
          <w:rFonts w:ascii="Arial" w:hAnsi="Arial" w:cs="Arial"/>
          <w:b/>
        </w:rPr>
      </w:pPr>
    </w:p>
    <w:p w:rsidR="00C0650B" w:rsidRDefault="00C0650B"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D9" w:rsidRDefault="00C075D9" w:rsidP="00E65E18">
      <w:pPr>
        <w:spacing w:after="0" w:line="240" w:lineRule="auto"/>
      </w:pPr>
      <w:r>
        <w:separator/>
      </w:r>
    </w:p>
  </w:endnote>
  <w:endnote w:type="continuationSeparator" w:id="0">
    <w:p w:rsidR="00C075D9" w:rsidRDefault="00C075D9"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F412ED" w:rsidRDefault="00C075D9"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Content>
        <w:r w:rsidRPr="00F412ED">
          <w:rPr>
            <w:rFonts w:ascii="Arial" w:hAnsi="Arial"/>
            <w:bCs/>
            <w:sz w:val="18"/>
            <w:szCs w:val="18"/>
          </w:rPr>
          <w:fldChar w:fldCharType="begin"/>
        </w:r>
        <w:r w:rsidRPr="00F412ED">
          <w:rPr>
            <w:rFonts w:ascii="Arial" w:hAnsi="Arial"/>
            <w:bCs/>
            <w:sz w:val="18"/>
            <w:szCs w:val="18"/>
          </w:rPr>
          <w:instrText xml:space="preserve"> PAGE </w:instrText>
        </w:r>
        <w:r w:rsidRPr="00F412ED">
          <w:rPr>
            <w:rFonts w:ascii="Arial" w:hAnsi="Arial"/>
            <w:bCs/>
            <w:sz w:val="18"/>
            <w:szCs w:val="18"/>
          </w:rPr>
          <w:fldChar w:fldCharType="separate"/>
        </w:r>
        <w:r w:rsidR="00790978">
          <w:rPr>
            <w:rFonts w:ascii="Arial" w:hAnsi="Arial"/>
            <w:bCs/>
            <w:noProof/>
            <w:sz w:val="18"/>
            <w:szCs w:val="18"/>
          </w:rPr>
          <w:t>1</w:t>
        </w:r>
        <w:r w:rsidRPr="00F412ED">
          <w:rPr>
            <w:rFonts w:ascii="Arial" w:hAnsi="Arial"/>
            <w:bCs/>
            <w:sz w:val="18"/>
            <w:szCs w:val="18"/>
          </w:rPr>
          <w:fldChar w:fldCharType="end"/>
        </w:r>
        <w:r w:rsidRPr="00F412ED">
          <w:rPr>
            <w:rFonts w:ascii="Arial" w:hAnsi="Arial"/>
            <w:sz w:val="18"/>
            <w:szCs w:val="18"/>
          </w:rPr>
          <w:t xml:space="preserve"> of </w:t>
        </w:r>
        <w:r w:rsidRPr="00F412ED">
          <w:rPr>
            <w:rFonts w:ascii="Arial" w:hAnsi="Arial"/>
            <w:bCs/>
            <w:sz w:val="18"/>
            <w:szCs w:val="18"/>
          </w:rPr>
          <w:fldChar w:fldCharType="begin"/>
        </w:r>
        <w:r w:rsidRPr="00F412ED">
          <w:rPr>
            <w:rFonts w:ascii="Arial" w:hAnsi="Arial"/>
            <w:bCs/>
            <w:sz w:val="18"/>
            <w:szCs w:val="18"/>
          </w:rPr>
          <w:instrText xml:space="preserve"> NUMPAGES  </w:instrText>
        </w:r>
        <w:r w:rsidRPr="00F412ED">
          <w:rPr>
            <w:rFonts w:ascii="Arial" w:hAnsi="Arial"/>
            <w:bCs/>
            <w:sz w:val="18"/>
            <w:szCs w:val="18"/>
          </w:rPr>
          <w:fldChar w:fldCharType="separate"/>
        </w:r>
        <w:r w:rsidR="00790978">
          <w:rPr>
            <w:rFonts w:ascii="Arial" w:hAnsi="Arial"/>
            <w:bCs/>
            <w:noProof/>
            <w:sz w:val="18"/>
            <w:szCs w:val="18"/>
          </w:rPr>
          <w:t>1</w:t>
        </w:r>
        <w:r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D9" w:rsidRDefault="00C075D9" w:rsidP="00E65E18">
      <w:pPr>
        <w:spacing w:after="0" w:line="240" w:lineRule="auto"/>
      </w:pPr>
      <w:r>
        <w:separator/>
      </w:r>
    </w:p>
  </w:footnote>
  <w:footnote w:type="continuationSeparator" w:id="0">
    <w:p w:rsidR="00C075D9" w:rsidRDefault="00C075D9"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E93D45" w:rsidRDefault="00C075D9" w:rsidP="00E65E18">
    <w:pPr>
      <w:pStyle w:val="Header"/>
      <w:jc w:val="center"/>
      <w:rPr>
        <w:rFonts w:cs="Arial"/>
      </w:rPr>
    </w:pPr>
    <w:r>
      <w:rPr>
        <w:noProof/>
      </w:rPr>
      <w:drawing>
        <wp:inline distT="0" distB="0" distL="0" distR="0" wp14:anchorId="19072E60" wp14:editId="438AD2A5">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C075D9" w:rsidRPr="00830B81" w:rsidRDefault="00C075D9"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3.17</w:t>
          </w:r>
        </w:p>
      </w:tc>
    </w:tr>
    <w:tr w:rsidR="00C075D9" w:rsidRPr="00A759FF" w:rsidTr="00EF3A81">
      <w:tc>
        <w:tcPr>
          <w:tcW w:w="1998" w:type="dxa"/>
        </w:tcPr>
        <w:p w:rsidR="00C075D9" w:rsidRPr="00830B81" w:rsidRDefault="00C075D9" w:rsidP="00360CDC">
          <w:pPr>
            <w:pStyle w:val="Header"/>
            <w:spacing w:before="40"/>
            <w:jc w:val="center"/>
            <w:rPr>
              <w:rFonts w:ascii="Arial" w:hAnsi="Arial" w:cs="Arial"/>
              <w:b/>
              <w:sz w:val="24"/>
              <w:szCs w:val="24"/>
            </w:rPr>
          </w:pPr>
        </w:p>
      </w:tc>
      <w:tc>
        <w:tcPr>
          <w:tcW w:w="8154" w:type="dxa"/>
          <w:gridSpan w:val="3"/>
        </w:tcPr>
        <w:p w:rsidR="00C075D9" w:rsidRDefault="00C075D9" w:rsidP="00790978">
          <w:pPr>
            <w:pStyle w:val="Header"/>
            <w:spacing w:before="40"/>
            <w:rPr>
              <w:rFonts w:ascii="Arial" w:hAnsi="Arial" w:cs="Arial"/>
              <w:b/>
              <w:sz w:val="24"/>
              <w:szCs w:val="24"/>
            </w:rPr>
          </w:pPr>
          <w:r>
            <w:rPr>
              <w:rFonts w:ascii="Arial" w:hAnsi="Arial" w:cs="Arial"/>
              <w:b/>
              <w:sz w:val="24"/>
              <w:szCs w:val="24"/>
            </w:rPr>
            <w:t>2</w:t>
          </w:r>
          <w:r w:rsidR="009A79EF">
            <w:rPr>
              <w:rFonts w:ascii="Arial" w:hAnsi="Arial" w:cs="Arial"/>
              <w:b/>
              <w:sz w:val="24"/>
              <w:szCs w:val="24"/>
            </w:rPr>
            <w:t>8</w:t>
          </w:r>
          <w:r w:rsidR="00790978">
            <w:rPr>
              <w:rFonts w:ascii="Arial" w:hAnsi="Arial" w:cs="Arial"/>
              <w:b/>
              <w:sz w:val="24"/>
              <w:szCs w:val="24"/>
            </w:rPr>
            <w:t>6</w:t>
          </w:r>
          <w:r>
            <w:rPr>
              <w:rFonts w:ascii="Arial" w:hAnsi="Arial" w:cs="Arial"/>
              <w:b/>
              <w:sz w:val="24"/>
              <w:szCs w:val="24"/>
            </w:rPr>
            <w:t xml:space="preserve"> – </w:t>
          </w:r>
          <w:r w:rsidR="00790978">
            <w:rPr>
              <w:rFonts w:ascii="Arial" w:hAnsi="Arial" w:cs="Arial"/>
              <w:b/>
              <w:sz w:val="24"/>
              <w:szCs w:val="24"/>
            </w:rPr>
            <w:t>Sexual Abuse Incident Reviews</w:t>
          </w:r>
        </w:p>
      </w:tc>
    </w:tr>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C075D9" w:rsidRPr="00830B81" w:rsidRDefault="00C075D9" w:rsidP="00867A7B">
          <w:pPr>
            <w:pStyle w:val="Header"/>
            <w:spacing w:before="40"/>
            <w:jc w:val="right"/>
            <w:rPr>
              <w:rFonts w:ascii="Arial" w:hAnsi="Arial" w:cs="Arial"/>
              <w:b/>
              <w:sz w:val="24"/>
              <w:szCs w:val="24"/>
            </w:rPr>
          </w:pPr>
        </w:p>
      </w:tc>
      <w:tc>
        <w:tcPr>
          <w:tcW w:w="1404" w:type="dxa"/>
        </w:tcPr>
        <w:p w:rsidR="00C075D9" w:rsidRPr="00830B81" w:rsidRDefault="00C075D9" w:rsidP="00867A7B">
          <w:pPr>
            <w:pStyle w:val="Header"/>
            <w:spacing w:before="40"/>
            <w:rPr>
              <w:rFonts w:ascii="Arial" w:hAnsi="Arial" w:cs="Arial"/>
              <w:b/>
              <w:sz w:val="24"/>
              <w:szCs w:val="24"/>
            </w:rPr>
          </w:pPr>
        </w:p>
      </w:tc>
    </w:tr>
    <w:tr w:rsidR="00C075D9"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p>
      </w:tc>
    </w:tr>
  </w:tbl>
  <w:p w:rsidR="00C075D9" w:rsidRDefault="00C075D9"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6255A"/>
    <w:multiLevelType w:val="multilevel"/>
    <w:tmpl w:val="6C1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B52DE"/>
    <w:multiLevelType w:val="multilevel"/>
    <w:tmpl w:val="A18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262D56"/>
    <w:multiLevelType w:val="multilevel"/>
    <w:tmpl w:val="CF3C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0563C6"/>
    <w:multiLevelType w:val="multilevel"/>
    <w:tmpl w:val="ECD8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243C9"/>
    <w:multiLevelType w:val="multilevel"/>
    <w:tmpl w:val="771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A91ECA"/>
    <w:multiLevelType w:val="multilevel"/>
    <w:tmpl w:val="CD2E0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A86769"/>
    <w:multiLevelType w:val="multilevel"/>
    <w:tmpl w:val="DC5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C033F5"/>
    <w:multiLevelType w:val="multilevel"/>
    <w:tmpl w:val="FAE00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12"/>
  </w:num>
  <w:num w:numId="4">
    <w:abstractNumId w:val="5"/>
  </w:num>
  <w:num w:numId="5">
    <w:abstractNumId w:val="4"/>
  </w:num>
  <w:num w:numId="6">
    <w:abstractNumId w:val="18"/>
  </w:num>
  <w:num w:numId="7">
    <w:abstractNumId w:val="14"/>
  </w:num>
  <w:num w:numId="8">
    <w:abstractNumId w:val="0"/>
  </w:num>
  <w:num w:numId="9">
    <w:abstractNumId w:val="11"/>
  </w:num>
  <w:num w:numId="10">
    <w:abstractNumId w:val="7"/>
  </w:num>
  <w:num w:numId="11">
    <w:abstractNumId w:val="23"/>
  </w:num>
  <w:num w:numId="12">
    <w:abstractNumId w:val="20"/>
  </w:num>
  <w:num w:numId="13">
    <w:abstractNumId w:val="1"/>
  </w:num>
  <w:num w:numId="14">
    <w:abstractNumId w:val="2"/>
  </w:num>
  <w:num w:numId="15">
    <w:abstractNumId w:val="9"/>
  </w:num>
  <w:num w:numId="16">
    <w:abstractNumId w:val="6"/>
  </w:num>
  <w:num w:numId="17">
    <w:abstractNumId w:val="8"/>
  </w:num>
  <w:num w:numId="18">
    <w:abstractNumId w:val="22"/>
  </w:num>
  <w:num w:numId="19">
    <w:abstractNumId w:val="10"/>
  </w:num>
  <w:num w:numId="20">
    <w:abstractNumId w:val="15"/>
  </w:num>
  <w:num w:numId="21">
    <w:abstractNumId w:val="17"/>
  </w:num>
  <w:num w:numId="22">
    <w:abstractNumId w:val="21"/>
  </w:num>
  <w:num w:numId="23">
    <w:abstractNumId w:val="13"/>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B00A2"/>
    <w:rsid w:val="000E5A5A"/>
    <w:rsid w:val="00146B0E"/>
    <w:rsid w:val="001F3F17"/>
    <w:rsid w:val="00220F20"/>
    <w:rsid w:val="0022484D"/>
    <w:rsid w:val="002A5358"/>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0978"/>
    <w:rsid w:val="00794F13"/>
    <w:rsid w:val="00854899"/>
    <w:rsid w:val="008678BE"/>
    <w:rsid w:val="00867A7B"/>
    <w:rsid w:val="008F43CA"/>
    <w:rsid w:val="008F5A24"/>
    <w:rsid w:val="00903360"/>
    <w:rsid w:val="00904DE8"/>
    <w:rsid w:val="0098352B"/>
    <w:rsid w:val="009839F1"/>
    <w:rsid w:val="00987FDC"/>
    <w:rsid w:val="00991968"/>
    <w:rsid w:val="009A79EF"/>
    <w:rsid w:val="009B5848"/>
    <w:rsid w:val="009D1C0D"/>
    <w:rsid w:val="00A53827"/>
    <w:rsid w:val="00AA2E82"/>
    <w:rsid w:val="00AD089C"/>
    <w:rsid w:val="00B33319"/>
    <w:rsid w:val="00B74D7E"/>
    <w:rsid w:val="00B80B1B"/>
    <w:rsid w:val="00BC14E2"/>
    <w:rsid w:val="00C038D3"/>
    <w:rsid w:val="00C0650B"/>
    <w:rsid w:val="00C075D9"/>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C686E"/>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D7B7-2CE1-44C9-B043-576B0717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2016-07-26T17:31:00Z</cp:lastPrinted>
  <dcterms:created xsi:type="dcterms:W3CDTF">2016-07-26T17:32:00Z</dcterms:created>
  <dcterms:modified xsi:type="dcterms:W3CDTF">2016-07-26T17:32:00Z</dcterms:modified>
</cp:coreProperties>
</file>