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C964" w14:textId="61130560" w:rsidR="00505F55" w:rsidRDefault="00D44A21" w:rsidP="00505F55">
      <w:pPr>
        <w:jc w:val="center"/>
        <w:rPr>
          <w:b/>
          <w:bCs/>
        </w:rPr>
      </w:pPr>
      <w:r>
        <w:rPr>
          <w:noProof/>
        </w:rPr>
        <w:drawing>
          <wp:inline distT="0" distB="0" distL="0" distR="0" wp14:anchorId="6E87E7D3" wp14:editId="6C50567E">
            <wp:extent cx="5905500" cy="2362200"/>
            <wp:effectExtent l="0" t="0" r="0" b="0"/>
            <wp:docPr id="1686286039" name="Picture 1" descr="A black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286039" name="Picture 1" descr="A black and blue logo&#10;&#10;Description automatically generated with low confidence"/>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5500" cy="2362200"/>
                    </a:xfrm>
                    <a:prstGeom prst="rect">
                      <a:avLst/>
                    </a:prstGeom>
                  </pic:spPr>
                </pic:pic>
              </a:graphicData>
            </a:graphic>
          </wp:inline>
        </w:drawing>
      </w:r>
      <w:r w:rsidR="00505F55" w:rsidRPr="00505F55">
        <w:rPr>
          <w:b/>
          <w:bCs/>
        </w:rPr>
        <w:t>Vice Health and Wellness Inc.</w:t>
      </w:r>
      <w:r w:rsidR="00505F55">
        <w:rPr>
          <w:b/>
          <w:bCs/>
        </w:rPr>
        <w:t xml:space="preserve"> Announces Receipt of Purchase Order Fr</w:t>
      </w:r>
      <w:r w:rsidR="008518CA">
        <w:rPr>
          <w:b/>
          <w:bCs/>
        </w:rPr>
        <w:t>om Porter Airlines For</w:t>
      </w:r>
      <w:r w:rsidR="00505F55">
        <w:rPr>
          <w:b/>
          <w:bCs/>
        </w:rPr>
        <w:t xml:space="preserve"> Peachy Bees and Watermelon Shark</w:t>
      </w:r>
      <w:r w:rsidR="008518CA">
        <w:rPr>
          <w:b/>
          <w:bCs/>
        </w:rPr>
        <w:t>s</w:t>
      </w:r>
    </w:p>
    <w:p w14:paraId="10E29529" w14:textId="57D4BC07" w:rsidR="00505F55" w:rsidRDefault="00505F55" w:rsidP="00505F55">
      <w:pPr>
        <w:pStyle w:val="ListParagraph"/>
        <w:numPr>
          <w:ilvl w:val="0"/>
          <w:numId w:val="2"/>
        </w:numPr>
        <w:rPr>
          <w:i/>
          <w:iCs/>
        </w:rPr>
      </w:pPr>
      <w:r w:rsidRPr="00505F55">
        <w:rPr>
          <w:i/>
          <w:iCs/>
        </w:rPr>
        <w:t>The 50g Peachy Bees and Watermelon Sharks to be featured for sale on Porter’s “Buy-On-Board” program</w:t>
      </w:r>
    </w:p>
    <w:p w14:paraId="5B253E2B" w14:textId="34953FB2" w:rsidR="00505F55" w:rsidRDefault="00505F55" w:rsidP="00505F55">
      <w:pPr>
        <w:pStyle w:val="ListParagraph"/>
        <w:numPr>
          <w:ilvl w:val="0"/>
          <w:numId w:val="2"/>
        </w:numPr>
        <w:rPr>
          <w:i/>
          <w:iCs/>
        </w:rPr>
      </w:pPr>
      <w:r w:rsidRPr="00505F55">
        <w:rPr>
          <w:i/>
          <w:iCs/>
        </w:rPr>
        <w:t>Peachy Bees and Watermelon Sharks now available for sale on two major Canadian airlines</w:t>
      </w:r>
    </w:p>
    <w:p w14:paraId="2B53FFE0" w14:textId="6F5E26AB" w:rsidR="00505F55" w:rsidRPr="00505F55" w:rsidRDefault="00505F55" w:rsidP="00505F55">
      <w:pPr>
        <w:pStyle w:val="ListParagraph"/>
        <w:numPr>
          <w:ilvl w:val="0"/>
          <w:numId w:val="2"/>
        </w:numPr>
      </w:pPr>
      <w:r>
        <w:rPr>
          <w:i/>
          <w:iCs/>
        </w:rPr>
        <w:t>Porter purchase order to</w:t>
      </w:r>
      <w:r w:rsidRPr="00505F55">
        <w:rPr>
          <w:i/>
          <w:iCs/>
        </w:rPr>
        <w:t xml:space="preserve"> extend the reach and effectiveness</w:t>
      </w:r>
      <w:r>
        <w:rPr>
          <w:i/>
          <w:iCs/>
        </w:rPr>
        <w:t xml:space="preserve"> </w:t>
      </w:r>
      <w:r w:rsidRPr="00505F55">
        <w:rPr>
          <w:i/>
          <w:iCs/>
        </w:rPr>
        <w:t>of</w:t>
      </w:r>
      <w:r>
        <w:rPr>
          <w:i/>
          <w:iCs/>
        </w:rPr>
        <w:t xml:space="preserve"> both the Watermelon Sharks and Peachy Bees</w:t>
      </w:r>
      <w:r w:rsidRPr="00505F55">
        <w:rPr>
          <w:i/>
          <w:iCs/>
        </w:rPr>
        <w:t xml:space="preserve"> purpose driven mission to support endangered keystone species</w:t>
      </w:r>
    </w:p>
    <w:p w14:paraId="23D43627" w14:textId="39ED68F4" w:rsidR="00505F55" w:rsidRPr="00505F55" w:rsidRDefault="00505F55" w:rsidP="00D44A21">
      <w:pPr>
        <w:jc w:val="both"/>
      </w:pPr>
      <w:r w:rsidRPr="00505F55">
        <w:rPr>
          <w:b/>
          <w:bCs/>
        </w:rPr>
        <w:t>VANCOUVER, June </w:t>
      </w:r>
      <w:r w:rsidR="00D44A21">
        <w:rPr>
          <w:b/>
          <w:bCs/>
        </w:rPr>
        <w:t xml:space="preserve">28, </w:t>
      </w:r>
      <w:r w:rsidRPr="00505F55">
        <w:rPr>
          <w:b/>
          <w:bCs/>
        </w:rPr>
        <w:t>202</w:t>
      </w:r>
      <w:r>
        <w:rPr>
          <w:b/>
          <w:bCs/>
        </w:rPr>
        <w:t>3</w:t>
      </w:r>
      <w:r w:rsidRPr="00505F55">
        <w:rPr>
          <w:b/>
          <w:bCs/>
        </w:rPr>
        <w:t xml:space="preserve"> – </w:t>
      </w:r>
      <w:r w:rsidRPr="00505F55">
        <w:t>Vice Health and Wellness Inc.</w:t>
      </w:r>
      <w:r w:rsidRPr="00505F55">
        <w:rPr>
          <w:b/>
          <w:bCs/>
        </w:rPr>
        <w:t xml:space="preserve"> </w:t>
      </w:r>
      <w:r>
        <w:rPr>
          <w:b/>
          <w:bCs/>
        </w:rPr>
        <w:t xml:space="preserve"> </w:t>
      </w:r>
      <w:r w:rsidRPr="00505F55">
        <w:rPr>
          <w:b/>
          <w:bCs/>
        </w:rPr>
        <w:t>(“</w:t>
      </w:r>
      <w:r>
        <w:rPr>
          <w:b/>
          <w:bCs/>
        </w:rPr>
        <w:t>VICE</w:t>
      </w:r>
      <w:r w:rsidRPr="00505F55">
        <w:rPr>
          <w:b/>
          <w:bCs/>
        </w:rPr>
        <w:t>” </w:t>
      </w:r>
      <w:r w:rsidRPr="00505F55">
        <w:t>or the</w:t>
      </w:r>
      <w:r w:rsidRPr="00505F55">
        <w:rPr>
          <w:b/>
          <w:bCs/>
        </w:rPr>
        <w:t xml:space="preserve"> “Company”) (CSE: </w:t>
      </w:r>
      <w:r w:rsidR="00D44A21">
        <w:rPr>
          <w:b/>
          <w:bCs/>
        </w:rPr>
        <w:t>VICE</w:t>
      </w:r>
      <w:r w:rsidRPr="00505F55">
        <w:rPr>
          <w:b/>
          <w:bCs/>
        </w:rPr>
        <w:t xml:space="preserve"> - FSE: 0OS - OTC: </w:t>
      </w:r>
      <w:r w:rsidR="00D44A21">
        <w:rPr>
          <w:b/>
          <w:bCs/>
        </w:rPr>
        <w:t>GUMY</w:t>
      </w:r>
      <w:r w:rsidRPr="00505F55">
        <w:rPr>
          <w:b/>
          <w:bCs/>
        </w:rPr>
        <w:t>F) </w:t>
      </w:r>
      <w:r w:rsidRPr="00505F55">
        <w:t xml:space="preserve">is </w:t>
      </w:r>
      <w:r>
        <w:t>pleased</w:t>
      </w:r>
      <w:r w:rsidRPr="00505F55">
        <w:t xml:space="preserve"> to announce that the Company has </w:t>
      </w:r>
      <w:r w:rsidR="00351644">
        <w:t>received</w:t>
      </w:r>
      <w:r w:rsidRPr="00505F55">
        <w:t xml:space="preserve"> </w:t>
      </w:r>
      <w:r w:rsidR="00351644">
        <w:t>a purchase order for its 50g packages of</w:t>
      </w:r>
      <w:r w:rsidRPr="00505F55">
        <w:t xml:space="preserve"> </w:t>
      </w:r>
      <w:r w:rsidR="00351644">
        <w:t>Peachy Bees and Watermelon Sharks</w:t>
      </w:r>
      <w:r w:rsidRPr="00505F55">
        <w:t xml:space="preserve"> </w:t>
      </w:r>
      <w:r w:rsidR="00351644">
        <w:t>from</w:t>
      </w:r>
      <w:r w:rsidRPr="00505F55">
        <w:t xml:space="preserve"> </w:t>
      </w:r>
      <w:r w:rsidR="00351644">
        <w:t>Porter Airlines.</w:t>
      </w:r>
    </w:p>
    <w:p w14:paraId="6844A6EE" w14:textId="10C37943" w:rsidR="008518CA" w:rsidRDefault="00505F55" w:rsidP="00D44A21">
      <w:pPr>
        <w:jc w:val="both"/>
      </w:pPr>
      <w:r w:rsidRPr="00505F55">
        <w:t>“</w:t>
      </w:r>
      <w:r w:rsidR="00A57F1F" w:rsidRPr="00A57F1F">
        <w:t xml:space="preserve">We are </w:t>
      </w:r>
      <w:r w:rsidR="00A57F1F">
        <w:t>absolutely thrilled t</w:t>
      </w:r>
      <w:r w:rsidR="00A57F1F" w:rsidRPr="00A57F1F">
        <w:t xml:space="preserve">o </w:t>
      </w:r>
      <w:r w:rsidR="00A57F1F">
        <w:t xml:space="preserve">receive this purchase order from Porter </w:t>
      </w:r>
      <w:r w:rsidR="00A57F1F" w:rsidRPr="00A57F1F">
        <w:t>due to their</w:t>
      </w:r>
      <w:r w:rsidR="008518CA">
        <w:t xml:space="preserve"> rapid growth and</w:t>
      </w:r>
      <w:r w:rsidR="00A57F1F">
        <w:t xml:space="preserve"> tremendous</w:t>
      </w:r>
      <w:r w:rsidR="00A57F1F" w:rsidRPr="00A57F1F">
        <w:t xml:space="preserve"> brand reputation</w:t>
      </w:r>
      <w:r w:rsidR="00A17C1A">
        <w:t xml:space="preserve"> within the airline industry</w:t>
      </w:r>
      <w:r w:rsidR="00A57F1F" w:rsidRPr="00A57F1F">
        <w:t xml:space="preserve"> across Canada</w:t>
      </w:r>
      <w:r w:rsidR="00870396">
        <w:t xml:space="preserve">”, said </w:t>
      </w:r>
      <w:r w:rsidR="00870396" w:rsidRPr="00870396">
        <w:t>Maciej Lis, President &amp; CEO</w:t>
      </w:r>
      <w:r w:rsidR="00870396">
        <w:t xml:space="preserve"> of VICE.  “From the outset, our goal has been to penetrate the “buy-on-board” programs of </w:t>
      </w:r>
      <w:r w:rsidR="006546AC">
        <w:t xml:space="preserve">major </w:t>
      </w:r>
      <w:r w:rsidR="00870396">
        <w:t xml:space="preserve">airlines across North America and we very much looking forward to adding additional airline customers in the very near future as </w:t>
      </w:r>
      <w:r w:rsidR="00D44A21">
        <w:t>The Gummy Project</w:t>
      </w:r>
      <w:r w:rsidR="00870396">
        <w:t xml:space="preserve"> </w:t>
      </w:r>
      <w:r w:rsidR="00D44A21">
        <w:t>continues</w:t>
      </w:r>
      <w:r w:rsidR="00870396">
        <w:t xml:space="preserve"> to </w:t>
      </w:r>
      <w:r w:rsidR="00870396" w:rsidRPr="00870396">
        <w:t>becom</w:t>
      </w:r>
      <w:r w:rsidR="00870396">
        <w:t>e</w:t>
      </w:r>
      <w:r w:rsidR="00870396" w:rsidRPr="00870396">
        <w:t xml:space="preserve"> a household name in the ‘Better-for-you’ product sector</w:t>
      </w:r>
      <w:r w:rsidR="00870396">
        <w:t>”.</w:t>
      </w:r>
    </w:p>
    <w:p w14:paraId="4E70BA57" w14:textId="50CA0266" w:rsidR="008518CA" w:rsidRPr="00A7208A" w:rsidRDefault="008518CA" w:rsidP="00D44A21">
      <w:pPr>
        <w:jc w:val="both"/>
      </w:pPr>
      <w:r w:rsidRPr="00A7208A">
        <w:t xml:space="preserve">Headquartered at Billy Bishop Toronto City Airport, Porter’s network includes 25 destinations both within Canada and the United </w:t>
      </w:r>
      <w:r>
        <w:t>S</w:t>
      </w:r>
      <w:r w:rsidRPr="00A7208A">
        <w:t>tates and includes a fleet of more than 36 aircraft</w:t>
      </w:r>
      <w:r>
        <w:t>.  It is expected that the Peachy Bees and Watermelon Sharks will be featured for sale on each of Porter’s aircraft where the “buy-on-board” program is available.</w:t>
      </w:r>
    </w:p>
    <w:p w14:paraId="2AABAE4D" w14:textId="431BDACC" w:rsidR="00505F55" w:rsidRPr="00505F55" w:rsidRDefault="00505F55" w:rsidP="00505F55">
      <w:r w:rsidRPr="00505F55">
        <w:rPr>
          <w:b/>
          <w:bCs/>
        </w:rPr>
        <w:t xml:space="preserve">About </w:t>
      </w:r>
      <w:r w:rsidR="008518CA" w:rsidRPr="00505F55">
        <w:rPr>
          <w:b/>
          <w:bCs/>
        </w:rPr>
        <w:t>Vice Health and Wellness Inc.</w:t>
      </w:r>
    </w:p>
    <w:p w14:paraId="5B71E0C8" w14:textId="77777777" w:rsidR="00D44A21" w:rsidRDefault="00D44A21" w:rsidP="00D44A21">
      <w:pPr>
        <w:pStyle w:val="TextJustified"/>
        <w:rPr>
          <w:rFonts w:asciiTheme="minorHAnsi" w:hAnsiTheme="minorHAnsi" w:cstheme="minorHAnsi"/>
          <w:sz w:val="20"/>
          <w:szCs w:val="20"/>
          <w:lang w:val="en-CA"/>
        </w:rPr>
      </w:pPr>
      <w:r>
        <w:rPr>
          <w:rFonts w:asciiTheme="minorHAnsi" w:hAnsiTheme="minorHAnsi" w:cstheme="minorHAnsi"/>
        </w:rPr>
        <w:t xml:space="preserve">Vice Health and Wellness is a publicly traded company committed to supporting healthy lifestyle choices by providing a range of products which offer consumers healthier options to improve overall mental and physical well-being. We are a growing community of individuals and organizations who believe small contributions can add up to something big. We sell low-sugar, plant-based gummy products while raising </w:t>
      </w:r>
      <w:r>
        <w:rPr>
          <w:rFonts w:asciiTheme="minorHAnsi" w:hAnsiTheme="minorHAnsi" w:cstheme="minorHAnsi"/>
        </w:rPr>
        <w:lastRenderedPageBreak/>
        <w:t xml:space="preserve">money (and awareness) to support endangered keystone species. We are actively developing products to capitalize on emerging trends in the health and wellness sector. </w:t>
      </w:r>
    </w:p>
    <w:p w14:paraId="20D6B673" w14:textId="39B71D9C" w:rsidR="00505F55" w:rsidRPr="00505F55" w:rsidRDefault="008518CA" w:rsidP="00505F55">
      <w:r w:rsidRPr="00870396">
        <w:t>Maciej Lis</w:t>
      </w:r>
      <w:r w:rsidR="00505F55" w:rsidRPr="00505F55">
        <w:t>, President &amp; CEO, Director</w:t>
      </w:r>
    </w:p>
    <w:p w14:paraId="68220FCC" w14:textId="77777777" w:rsidR="00505F55" w:rsidRPr="00505F55" w:rsidRDefault="00505F55" w:rsidP="00505F55">
      <w:r w:rsidRPr="00505F55">
        <w:t>Telephone: 1(236) 317-2812 - Toll free 1(888) 556-9656</w:t>
      </w:r>
    </w:p>
    <w:p w14:paraId="7DC503E2" w14:textId="14D102BD" w:rsidR="00505F55" w:rsidRPr="00505F55" w:rsidRDefault="00505F55" w:rsidP="00505F55">
      <w:r w:rsidRPr="00505F55">
        <w:t xml:space="preserve">E-mail: </w:t>
      </w:r>
      <w:proofErr w:type="spellStart"/>
      <w:r w:rsidR="00D44A21">
        <w:t>info@vice.health</w:t>
      </w:r>
      <w:proofErr w:type="spellEnd"/>
    </w:p>
    <w:p w14:paraId="61E7ECD6" w14:textId="360E52CC" w:rsidR="00505F55" w:rsidRPr="00505F55" w:rsidRDefault="00505F55" w:rsidP="00505F55">
      <w:r w:rsidRPr="00505F55">
        <w:t> Neither the Canadian Securities Exchange nor its Regulation Services Provider (as that term is defined in the policies of the Canadian Securities Exchange) accepts responsibility for the adequacy or accuracy of this release.</w:t>
      </w:r>
    </w:p>
    <w:p w14:paraId="0E0FB2B5" w14:textId="77777777" w:rsidR="00D44A21" w:rsidRDefault="00D44A21" w:rsidP="00D44A21">
      <w:pPr>
        <w:autoSpaceDE w:val="0"/>
        <w:autoSpaceDN w:val="0"/>
        <w:adjustRightInd w:val="0"/>
        <w:snapToGrid w:val="0"/>
        <w:spacing w:before="228"/>
        <w:ind w:left="1"/>
        <w:jc w:val="both"/>
        <w:rPr>
          <w:rFonts w:asciiTheme="minorHAnsi" w:hAnsiTheme="minorHAnsi" w:cstheme="minorHAnsi"/>
        </w:rPr>
      </w:pPr>
      <w:r>
        <w:rPr>
          <w:rFonts w:asciiTheme="minorHAnsi" w:hAnsiTheme="minorHAnsi" w:cstheme="minorHAnsi"/>
          <w:spacing w:val="-1"/>
        </w:rPr>
        <w:t>Certain</w:t>
      </w:r>
      <w:r>
        <w:rPr>
          <w:rFonts w:asciiTheme="minorHAnsi" w:hAnsiTheme="minorHAnsi" w:cstheme="minorHAnsi"/>
          <w:spacing w:val="32"/>
        </w:rPr>
        <w:t xml:space="preserve"> </w:t>
      </w:r>
      <w:r>
        <w:rPr>
          <w:rFonts w:asciiTheme="minorHAnsi" w:hAnsiTheme="minorHAnsi" w:cstheme="minorHAnsi"/>
          <w:spacing w:val="-1"/>
        </w:rPr>
        <w:t>infor</w:t>
      </w:r>
      <w:r>
        <w:rPr>
          <w:rFonts w:asciiTheme="minorHAnsi" w:hAnsiTheme="minorHAnsi" w:cstheme="minorHAnsi"/>
        </w:rPr>
        <w:t>mation</w:t>
      </w:r>
      <w:r>
        <w:rPr>
          <w:rFonts w:asciiTheme="minorHAnsi" w:hAnsiTheme="minorHAnsi" w:cstheme="minorHAnsi"/>
          <w:spacing w:val="33"/>
        </w:rPr>
        <w:t xml:space="preserve"> </w:t>
      </w:r>
      <w:r>
        <w:rPr>
          <w:rFonts w:asciiTheme="minorHAnsi" w:hAnsiTheme="minorHAnsi" w:cstheme="minorHAnsi"/>
        </w:rPr>
        <w:t>set</w:t>
      </w:r>
      <w:r>
        <w:rPr>
          <w:rFonts w:asciiTheme="minorHAnsi" w:hAnsiTheme="minorHAnsi" w:cstheme="minorHAnsi"/>
          <w:spacing w:val="33"/>
        </w:rPr>
        <w:t xml:space="preserve"> </w:t>
      </w:r>
      <w:r>
        <w:rPr>
          <w:rFonts w:asciiTheme="minorHAnsi" w:hAnsiTheme="minorHAnsi" w:cstheme="minorHAnsi"/>
        </w:rPr>
        <w:t>forth</w:t>
      </w:r>
      <w:r>
        <w:rPr>
          <w:rFonts w:asciiTheme="minorHAnsi" w:hAnsiTheme="minorHAnsi" w:cstheme="minorHAnsi"/>
          <w:spacing w:val="33"/>
        </w:rPr>
        <w:t xml:space="preserve"> </w:t>
      </w:r>
      <w:r>
        <w:rPr>
          <w:rFonts w:asciiTheme="minorHAnsi" w:hAnsiTheme="minorHAnsi" w:cstheme="minorHAnsi"/>
        </w:rPr>
        <w:t>in</w:t>
      </w:r>
      <w:r>
        <w:rPr>
          <w:rFonts w:asciiTheme="minorHAnsi" w:hAnsiTheme="minorHAnsi" w:cstheme="minorHAnsi"/>
          <w:spacing w:val="33"/>
        </w:rPr>
        <w:t xml:space="preserve"> </w:t>
      </w:r>
      <w:r>
        <w:rPr>
          <w:rFonts w:asciiTheme="minorHAnsi" w:hAnsiTheme="minorHAnsi" w:cstheme="minorHAnsi"/>
        </w:rPr>
        <w:t>this</w:t>
      </w:r>
      <w:r>
        <w:rPr>
          <w:rFonts w:asciiTheme="minorHAnsi" w:hAnsiTheme="minorHAnsi" w:cstheme="minorHAnsi"/>
          <w:spacing w:val="33"/>
        </w:rPr>
        <w:t xml:space="preserve"> </w:t>
      </w:r>
      <w:r>
        <w:rPr>
          <w:rFonts w:asciiTheme="minorHAnsi" w:hAnsiTheme="minorHAnsi" w:cstheme="minorHAnsi"/>
        </w:rPr>
        <w:t>news</w:t>
      </w:r>
      <w:r>
        <w:rPr>
          <w:rFonts w:asciiTheme="minorHAnsi" w:hAnsiTheme="minorHAnsi" w:cstheme="minorHAnsi"/>
          <w:spacing w:val="33"/>
        </w:rPr>
        <w:t xml:space="preserve"> </w:t>
      </w:r>
      <w:r>
        <w:rPr>
          <w:rFonts w:asciiTheme="minorHAnsi" w:hAnsiTheme="minorHAnsi" w:cstheme="minorHAnsi"/>
        </w:rPr>
        <w:t>release</w:t>
      </w:r>
      <w:r>
        <w:rPr>
          <w:rFonts w:asciiTheme="minorHAnsi" w:hAnsiTheme="minorHAnsi" w:cstheme="minorHAnsi"/>
          <w:spacing w:val="33"/>
        </w:rPr>
        <w:t xml:space="preserve"> </w:t>
      </w:r>
      <w:r>
        <w:rPr>
          <w:rFonts w:asciiTheme="minorHAnsi" w:hAnsiTheme="minorHAnsi" w:cstheme="minorHAnsi"/>
        </w:rPr>
        <w:t>may</w:t>
      </w:r>
      <w:r>
        <w:rPr>
          <w:rFonts w:asciiTheme="minorHAnsi" w:hAnsiTheme="minorHAnsi" w:cstheme="minorHAnsi"/>
          <w:spacing w:val="33"/>
        </w:rPr>
        <w:t xml:space="preserve"> </w:t>
      </w:r>
      <w:r>
        <w:rPr>
          <w:rFonts w:asciiTheme="minorHAnsi" w:hAnsiTheme="minorHAnsi" w:cstheme="minorHAnsi"/>
        </w:rPr>
        <w:t>contain</w:t>
      </w:r>
      <w:r>
        <w:rPr>
          <w:rFonts w:asciiTheme="minorHAnsi" w:hAnsiTheme="minorHAnsi" w:cstheme="minorHAnsi"/>
          <w:spacing w:val="33"/>
        </w:rPr>
        <w:t xml:space="preserve"> </w:t>
      </w:r>
      <w:r>
        <w:rPr>
          <w:rFonts w:asciiTheme="minorHAnsi" w:hAnsiTheme="minorHAnsi" w:cstheme="minorHAnsi"/>
        </w:rPr>
        <w:t>forward-looking</w:t>
      </w:r>
      <w:r>
        <w:rPr>
          <w:rFonts w:asciiTheme="minorHAnsi" w:hAnsiTheme="minorHAnsi" w:cstheme="minorHAnsi"/>
          <w:spacing w:val="33"/>
        </w:rPr>
        <w:t xml:space="preserve"> </w:t>
      </w:r>
      <w:r>
        <w:rPr>
          <w:rFonts w:asciiTheme="minorHAnsi" w:hAnsiTheme="minorHAnsi" w:cstheme="minorHAnsi"/>
        </w:rPr>
        <w:t>statements</w:t>
      </w:r>
      <w:r>
        <w:rPr>
          <w:rFonts w:asciiTheme="minorHAnsi" w:hAnsiTheme="minorHAnsi" w:cstheme="minorHAnsi"/>
          <w:spacing w:val="33"/>
        </w:rPr>
        <w:t xml:space="preserve"> </w:t>
      </w:r>
      <w:r>
        <w:rPr>
          <w:rFonts w:asciiTheme="minorHAnsi" w:hAnsiTheme="minorHAnsi" w:cstheme="minorHAnsi"/>
        </w:rPr>
        <w:t>that</w:t>
      </w:r>
      <w:r>
        <w:rPr>
          <w:rFonts w:asciiTheme="minorHAnsi" w:hAnsiTheme="minorHAnsi" w:cstheme="minorHAnsi"/>
          <w:spacing w:val="36"/>
        </w:rPr>
        <w:t xml:space="preserve"> </w:t>
      </w:r>
      <w:r>
        <w:rPr>
          <w:rFonts w:asciiTheme="minorHAnsi" w:hAnsiTheme="minorHAnsi" w:cstheme="minorHAnsi"/>
        </w:rPr>
        <w:t xml:space="preserve">involve </w:t>
      </w:r>
      <w:r>
        <w:rPr>
          <w:rFonts w:asciiTheme="minorHAnsi" w:hAnsiTheme="minorHAnsi" w:cstheme="minorHAnsi"/>
          <w:spacing w:val="-1"/>
        </w:rPr>
        <w:t>subst</w:t>
      </w:r>
      <w:r>
        <w:rPr>
          <w:rFonts w:asciiTheme="minorHAnsi" w:hAnsiTheme="minorHAnsi" w:cstheme="minorHAnsi"/>
        </w:rPr>
        <w:t>antial known and unknown risks and uncertainties. All statements other than statements of historical fact are forward-looking statements, including, without limitation, statements regarding future financial position,</w:t>
      </w:r>
      <w:r>
        <w:rPr>
          <w:rFonts w:asciiTheme="minorHAnsi" w:hAnsiTheme="minorHAnsi" w:cstheme="minorHAnsi"/>
          <w:spacing w:val="12"/>
        </w:rPr>
        <w:t xml:space="preserve"> </w:t>
      </w:r>
      <w:r>
        <w:rPr>
          <w:rFonts w:asciiTheme="minorHAnsi" w:hAnsiTheme="minorHAnsi" w:cstheme="minorHAnsi"/>
        </w:rPr>
        <w:t>business</w:t>
      </w:r>
      <w:r>
        <w:rPr>
          <w:rFonts w:asciiTheme="minorHAnsi" w:hAnsiTheme="minorHAnsi" w:cstheme="minorHAnsi"/>
          <w:spacing w:val="12"/>
        </w:rPr>
        <w:t xml:space="preserve"> </w:t>
      </w:r>
      <w:r>
        <w:rPr>
          <w:rFonts w:asciiTheme="minorHAnsi" w:hAnsiTheme="minorHAnsi" w:cstheme="minorHAnsi"/>
        </w:rPr>
        <w:t>strategy,</w:t>
      </w:r>
      <w:r>
        <w:rPr>
          <w:rFonts w:asciiTheme="minorHAnsi" w:hAnsiTheme="minorHAnsi" w:cstheme="minorHAnsi"/>
          <w:spacing w:val="12"/>
        </w:rPr>
        <w:t xml:space="preserve"> </w:t>
      </w:r>
      <w:r>
        <w:rPr>
          <w:rFonts w:asciiTheme="minorHAnsi" w:hAnsiTheme="minorHAnsi" w:cstheme="minorHAnsi"/>
        </w:rPr>
        <w:t>use</w:t>
      </w:r>
      <w:r>
        <w:rPr>
          <w:rFonts w:asciiTheme="minorHAnsi" w:hAnsiTheme="minorHAnsi" w:cstheme="minorHAnsi"/>
          <w:spacing w:val="12"/>
        </w:rPr>
        <w:t xml:space="preserve"> </w:t>
      </w:r>
      <w:r>
        <w:rPr>
          <w:rFonts w:asciiTheme="minorHAnsi" w:hAnsiTheme="minorHAnsi" w:cstheme="minorHAnsi"/>
        </w:rPr>
        <w:t>of</w:t>
      </w:r>
      <w:r>
        <w:rPr>
          <w:rFonts w:asciiTheme="minorHAnsi" w:hAnsiTheme="minorHAnsi" w:cstheme="minorHAnsi"/>
          <w:spacing w:val="12"/>
        </w:rPr>
        <w:t xml:space="preserve"> </w:t>
      </w:r>
      <w:r>
        <w:rPr>
          <w:rFonts w:asciiTheme="minorHAnsi" w:hAnsiTheme="minorHAnsi" w:cstheme="minorHAnsi"/>
        </w:rPr>
        <w:t>proceeds,</w:t>
      </w:r>
      <w:r>
        <w:rPr>
          <w:rFonts w:asciiTheme="minorHAnsi" w:hAnsiTheme="minorHAnsi" w:cstheme="minorHAnsi"/>
          <w:spacing w:val="12"/>
        </w:rPr>
        <w:t xml:space="preserve"> </w:t>
      </w:r>
      <w:r>
        <w:rPr>
          <w:rFonts w:asciiTheme="minorHAnsi" w:hAnsiTheme="minorHAnsi" w:cstheme="minorHAnsi"/>
        </w:rPr>
        <w:t>corporate</w:t>
      </w:r>
      <w:r>
        <w:rPr>
          <w:rFonts w:asciiTheme="minorHAnsi" w:hAnsiTheme="minorHAnsi" w:cstheme="minorHAnsi"/>
          <w:spacing w:val="12"/>
        </w:rPr>
        <w:t xml:space="preserve"> </w:t>
      </w:r>
      <w:r>
        <w:rPr>
          <w:rFonts w:asciiTheme="minorHAnsi" w:hAnsiTheme="minorHAnsi" w:cstheme="minorHAnsi"/>
        </w:rPr>
        <w:t>vision,</w:t>
      </w:r>
      <w:r>
        <w:rPr>
          <w:rFonts w:asciiTheme="minorHAnsi" w:hAnsiTheme="minorHAnsi" w:cstheme="minorHAnsi"/>
          <w:spacing w:val="12"/>
        </w:rPr>
        <w:t xml:space="preserve"> </w:t>
      </w:r>
      <w:r>
        <w:rPr>
          <w:rFonts w:asciiTheme="minorHAnsi" w:hAnsiTheme="minorHAnsi" w:cstheme="minorHAnsi"/>
        </w:rPr>
        <w:t>proposed</w:t>
      </w:r>
      <w:r>
        <w:rPr>
          <w:rFonts w:asciiTheme="minorHAnsi" w:hAnsiTheme="minorHAnsi" w:cstheme="minorHAnsi"/>
          <w:spacing w:val="12"/>
        </w:rPr>
        <w:t xml:space="preserve"> </w:t>
      </w:r>
      <w:r>
        <w:rPr>
          <w:rFonts w:asciiTheme="minorHAnsi" w:hAnsiTheme="minorHAnsi" w:cstheme="minorHAnsi"/>
        </w:rPr>
        <w:t>acquisitions,</w:t>
      </w:r>
      <w:r>
        <w:rPr>
          <w:rFonts w:asciiTheme="minorHAnsi" w:hAnsiTheme="minorHAnsi" w:cstheme="minorHAnsi"/>
          <w:spacing w:val="12"/>
        </w:rPr>
        <w:t xml:space="preserve"> </w:t>
      </w:r>
      <w:r>
        <w:rPr>
          <w:rFonts w:asciiTheme="minorHAnsi" w:hAnsiTheme="minorHAnsi" w:cstheme="minorHAnsi"/>
        </w:rPr>
        <w:t>partnerships,</w:t>
      </w:r>
      <w:r>
        <w:rPr>
          <w:rFonts w:asciiTheme="minorHAnsi" w:hAnsiTheme="minorHAnsi" w:cstheme="minorHAnsi"/>
          <w:spacing w:val="12"/>
        </w:rPr>
        <w:t xml:space="preserve"> </w:t>
      </w:r>
      <w:r>
        <w:rPr>
          <w:rFonts w:asciiTheme="minorHAnsi" w:hAnsiTheme="minorHAnsi" w:cstheme="minorHAnsi"/>
        </w:rPr>
        <w:t>joint- ventures and strategic alliances and co-operations, budgets, cost and</w:t>
      </w:r>
      <w:r>
        <w:rPr>
          <w:rFonts w:asciiTheme="minorHAnsi" w:hAnsiTheme="minorHAnsi" w:cstheme="minorHAnsi"/>
          <w:spacing w:val="7"/>
        </w:rPr>
        <w:t xml:space="preserve"> </w:t>
      </w:r>
      <w:r>
        <w:rPr>
          <w:rFonts w:asciiTheme="minorHAnsi" w:hAnsiTheme="minorHAnsi" w:cstheme="minorHAnsi"/>
        </w:rPr>
        <w:t>plans and</w:t>
      </w:r>
      <w:r>
        <w:rPr>
          <w:rFonts w:asciiTheme="minorHAnsi" w:hAnsiTheme="minorHAnsi" w:cstheme="minorHAnsi"/>
          <w:spacing w:val="7"/>
        </w:rPr>
        <w:t xml:space="preserve"> </w:t>
      </w:r>
      <w:r>
        <w:rPr>
          <w:rFonts w:asciiTheme="minorHAnsi" w:hAnsiTheme="minorHAnsi" w:cstheme="minorHAnsi"/>
        </w:rPr>
        <w:t xml:space="preserve">objectives of or involving the Company. Such forward-looking information reflects management’s current beliefs and is based on information currently available to management. Often, but not always, forward-looking statements can be </w:t>
      </w:r>
      <w:r>
        <w:rPr>
          <w:rFonts w:asciiTheme="minorHAnsi" w:hAnsiTheme="minorHAnsi" w:cstheme="minorHAnsi"/>
          <w:spacing w:val="-1"/>
        </w:rPr>
        <w:t>identified by</w:t>
      </w:r>
      <w:r>
        <w:rPr>
          <w:rFonts w:asciiTheme="minorHAnsi" w:hAnsiTheme="minorHAnsi" w:cstheme="minorHAnsi"/>
          <w:spacing w:val="-6"/>
        </w:rPr>
        <w:t xml:space="preserve"> </w:t>
      </w:r>
      <w:r>
        <w:rPr>
          <w:rFonts w:asciiTheme="minorHAnsi" w:hAnsiTheme="minorHAnsi" w:cstheme="minorHAnsi"/>
          <w:spacing w:val="-1"/>
        </w:rPr>
        <w:t>the use of</w:t>
      </w:r>
      <w:r>
        <w:rPr>
          <w:rFonts w:asciiTheme="minorHAnsi" w:hAnsiTheme="minorHAnsi" w:cstheme="minorHAnsi"/>
          <w:spacing w:val="-6"/>
        </w:rPr>
        <w:t xml:space="preserve"> </w:t>
      </w:r>
      <w:r>
        <w:rPr>
          <w:rFonts w:asciiTheme="minorHAnsi" w:hAnsiTheme="minorHAnsi" w:cstheme="minorHAnsi"/>
          <w:spacing w:val="-1"/>
        </w:rPr>
        <w:t>words</w:t>
      </w:r>
      <w:r>
        <w:rPr>
          <w:rFonts w:asciiTheme="minorHAnsi" w:hAnsiTheme="minorHAnsi" w:cstheme="minorHAnsi"/>
          <w:spacing w:val="-6"/>
        </w:rPr>
        <w:t xml:space="preserve"> </w:t>
      </w:r>
      <w:r>
        <w:rPr>
          <w:rFonts w:asciiTheme="minorHAnsi" w:hAnsiTheme="minorHAnsi" w:cstheme="minorHAnsi"/>
          <w:spacing w:val="-1"/>
        </w:rPr>
        <w:t>such as</w:t>
      </w:r>
      <w:r>
        <w:rPr>
          <w:rFonts w:asciiTheme="minorHAnsi" w:hAnsiTheme="minorHAnsi" w:cstheme="minorHAnsi"/>
          <w:spacing w:val="-6"/>
        </w:rPr>
        <w:t xml:space="preserve"> </w:t>
      </w:r>
      <w:r>
        <w:rPr>
          <w:rFonts w:asciiTheme="minorHAnsi" w:hAnsiTheme="minorHAnsi" w:cstheme="minorHAnsi"/>
          <w:spacing w:val="-1"/>
        </w:rPr>
        <w:t>“plans”,</w:t>
      </w:r>
      <w:r>
        <w:rPr>
          <w:rFonts w:asciiTheme="minorHAnsi" w:hAnsiTheme="minorHAnsi" w:cstheme="minorHAnsi"/>
          <w:spacing w:val="-6"/>
        </w:rPr>
        <w:t xml:space="preserve"> </w:t>
      </w:r>
      <w:r>
        <w:rPr>
          <w:rFonts w:asciiTheme="minorHAnsi" w:hAnsiTheme="minorHAnsi" w:cstheme="minorHAnsi"/>
          <w:spacing w:val="-1"/>
        </w:rPr>
        <w:t>“expects”,</w:t>
      </w:r>
      <w:r>
        <w:rPr>
          <w:rFonts w:asciiTheme="minorHAnsi" w:hAnsiTheme="minorHAnsi" w:cstheme="minorHAnsi"/>
          <w:spacing w:val="-6"/>
        </w:rPr>
        <w:t xml:space="preserve"> </w:t>
      </w:r>
      <w:r>
        <w:rPr>
          <w:rFonts w:asciiTheme="minorHAnsi" w:hAnsiTheme="minorHAnsi" w:cstheme="minorHAnsi"/>
          <w:spacing w:val="-1"/>
        </w:rPr>
        <w:t>“is</w:t>
      </w:r>
      <w:r>
        <w:rPr>
          <w:rFonts w:asciiTheme="minorHAnsi" w:hAnsiTheme="minorHAnsi" w:cstheme="minorHAnsi"/>
          <w:spacing w:val="-6"/>
        </w:rPr>
        <w:t xml:space="preserve"> </w:t>
      </w:r>
      <w:r>
        <w:rPr>
          <w:rFonts w:asciiTheme="minorHAnsi" w:hAnsiTheme="minorHAnsi" w:cstheme="minorHAnsi"/>
          <w:spacing w:val="-1"/>
        </w:rPr>
        <w:t>expec</w:t>
      </w:r>
      <w:r>
        <w:rPr>
          <w:rFonts w:asciiTheme="minorHAnsi" w:hAnsiTheme="minorHAnsi" w:cstheme="minorHAnsi"/>
        </w:rPr>
        <w:t>ted”,</w:t>
      </w:r>
      <w:r>
        <w:rPr>
          <w:rFonts w:asciiTheme="minorHAnsi" w:hAnsiTheme="minorHAnsi" w:cstheme="minorHAnsi"/>
          <w:spacing w:val="-5"/>
        </w:rPr>
        <w:t xml:space="preserve"> </w:t>
      </w:r>
      <w:r>
        <w:rPr>
          <w:rFonts w:asciiTheme="minorHAnsi" w:hAnsiTheme="minorHAnsi" w:cstheme="minorHAnsi"/>
        </w:rPr>
        <w:t>“budget”, “scheduled”,</w:t>
      </w:r>
      <w:r>
        <w:rPr>
          <w:rFonts w:asciiTheme="minorHAnsi" w:hAnsiTheme="minorHAnsi" w:cstheme="minorHAnsi"/>
          <w:spacing w:val="-5"/>
        </w:rPr>
        <w:t xml:space="preserve"> </w:t>
      </w:r>
      <w:r>
        <w:rPr>
          <w:rFonts w:asciiTheme="minorHAnsi" w:hAnsiTheme="minorHAnsi" w:cstheme="minorHAnsi"/>
        </w:rPr>
        <w:t xml:space="preserve">“estimates”, “forecasts”, “predicts”, “intends”, “targets”, “aims”, “anticipates” or “believes” or variations (including </w:t>
      </w:r>
      <w:r>
        <w:rPr>
          <w:rFonts w:asciiTheme="minorHAnsi" w:hAnsiTheme="minorHAnsi" w:cstheme="minorHAnsi"/>
          <w:spacing w:val="-1"/>
        </w:rPr>
        <w:t>negative</w:t>
      </w:r>
      <w:r>
        <w:rPr>
          <w:rFonts w:asciiTheme="minorHAnsi" w:hAnsiTheme="minorHAnsi" w:cstheme="minorHAnsi"/>
          <w:spacing w:val="-6"/>
        </w:rPr>
        <w:t xml:space="preserve"> </w:t>
      </w:r>
      <w:r>
        <w:rPr>
          <w:rFonts w:asciiTheme="minorHAnsi" w:hAnsiTheme="minorHAnsi" w:cstheme="minorHAnsi"/>
          <w:spacing w:val="-1"/>
        </w:rPr>
        <w:t>variations)</w:t>
      </w:r>
      <w:r>
        <w:rPr>
          <w:rFonts w:asciiTheme="minorHAnsi" w:hAnsiTheme="minorHAnsi" w:cstheme="minorHAnsi"/>
          <w:spacing w:val="-6"/>
        </w:rPr>
        <w:t xml:space="preserve"> </w:t>
      </w:r>
      <w:r>
        <w:rPr>
          <w:rFonts w:asciiTheme="minorHAnsi" w:hAnsiTheme="minorHAnsi" w:cstheme="minorHAnsi"/>
          <w:spacing w:val="-1"/>
        </w:rPr>
        <w:t>o</w:t>
      </w:r>
      <w:r>
        <w:rPr>
          <w:rFonts w:asciiTheme="minorHAnsi" w:hAnsiTheme="minorHAnsi" w:cstheme="minorHAnsi"/>
        </w:rPr>
        <w:t>f</w:t>
      </w:r>
      <w:r>
        <w:rPr>
          <w:rFonts w:asciiTheme="minorHAnsi" w:hAnsiTheme="minorHAnsi" w:cstheme="minorHAnsi"/>
          <w:spacing w:val="-5"/>
        </w:rPr>
        <w:t xml:space="preserve"> </w:t>
      </w:r>
      <w:r>
        <w:rPr>
          <w:rFonts w:asciiTheme="minorHAnsi" w:hAnsiTheme="minorHAnsi" w:cstheme="minorHAnsi"/>
        </w:rPr>
        <w:t>such</w:t>
      </w:r>
      <w:r>
        <w:rPr>
          <w:rFonts w:asciiTheme="minorHAnsi" w:hAnsiTheme="minorHAnsi" w:cstheme="minorHAnsi"/>
          <w:spacing w:val="-5"/>
        </w:rPr>
        <w:t xml:space="preserve"> </w:t>
      </w:r>
      <w:r>
        <w:rPr>
          <w:rFonts w:asciiTheme="minorHAnsi" w:hAnsiTheme="minorHAnsi" w:cstheme="minorHAnsi"/>
        </w:rPr>
        <w:t>words and</w:t>
      </w:r>
      <w:r>
        <w:rPr>
          <w:rFonts w:asciiTheme="minorHAnsi" w:hAnsiTheme="minorHAnsi" w:cstheme="minorHAnsi"/>
          <w:spacing w:val="-5"/>
        </w:rPr>
        <w:t xml:space="preserve"> </w:t>
      </w:r>
      <w:r>
        <w:rPr>
          <w:rFonts w:asciiTheme="minorHAnsi" w:hAnsiTheme="minorHAnsi" w:cstheme="minorHAnsi"/>
        </w:rPr>
        <w:t>phrases</w:t>
      </w:r>
      <w:r>
        <w:rPr>
          <w:rFonts w:asciiTheme="minorHAnsi" w:hAnsiTheme="minorHAnsi" w:cstheme="minorHAnsi"/>
          <w:spacing w:val="-5"/>
        </w:rPr>
        <w:t xml:space="preserve"> </w:t>
      </w:r>
      <w:r>
        <w:rPr>
          <w:rFonts w:asciiTheme="minorHAnsi" w:hAnsiTheme="minorHAnsi" w:cstheme="minorHAnsi"/>
        </w:rPr>
        <w:t>or may be identified by</w:t>
      </w:r>
      <w:r>
        <w:rPr>
          <w:rFonts w:asciiTheme="minorHAnsi" w:hAnsiTheme="minorHAnsi" w:cstheme="minorHAnsi"/>
          <w:spacing w:val="-5"/>
        </w:rPr>
        <w:t xml:space="preserve"> </w:t>
      </w:r>
      <w:r>
        <w:rPr>
          <w:rFonts w:asciiTheme="minorHAnsi" w:hAnsiTheme="minorHAnsi" w:cstheme="minorHAnsi"/>
        </w:rPr>
        <w:t>statements to</w:t>
      </w:r>
      <w:r>
        <w:rPr>
          <w:rFonts w:asciiTheme="minorHAnsi" w:hAnsiTheme="minorHAnsi" w:cstheme="minorHAnsi"/>
          <w:spacing w:val="-5"/>
        </w:rPr>
        <w:t xml:space="preserve"> </w:t>
      </w:r>
      <w:r>
        <w:rPr>
          <w:rFonts w:asciiTheme="minorHAnsi" w:hAnsiTheme="minorHAnsi" w:cstheme="minorHAnsi"/>
        </w:rPr>
        <w:t>the effect</w:t>
      </w:r>
      <w:r>
        <w:rPr>
          <w:rFonts w:asciiTheme="minorHAnsi" w:hAnsiTheme="minorHAnsi" w:cstheme="minorHAnsi"/>
          <w:spacing w:val="-5"/>
        </w:rPr>
        <w:t xml:space="preserve"> </w:t>
      </w:r>
      <w:r>
        <w:rPr>
          <w:rFonts w:asciiTheme="minorHAnsi" w:hAnsiTheme="minorHAnsi" w:cstheme="minorHAnsi"/>
        </w:rPr>
        <w:t>that</w:t>
      </w:r>
      <w:r>
        <w:rPr>
          <w:rFonts w:asciiTheme="minorHAnsi" w:hAnsiTheme="minorHAnsi" w:cstheme="minorHAnsi"/>
          <w:spacing w:val="-5"/>
        </w:rPr>
        <w:t xml:space="preserve"> </w:t>
      </w:r>
      <w:r>
        <w:rPr>
          <w:rFonts w:asciiTheme="minorHAnsi" w:hAnsiTheme="minorHAnsi" w:cstheme="minorHAnsi"/>
        </w:rPr>
        <w:t>certain actions</w:t>
      </w:r>
      <w:r>
        <w:rPr>
          <w:rFonts w:asciiTheme="minorHAnsi" w:hAnsiTheme="minorHAnsi" w:cstheme="minorHAnsi"/>
          <w:spacing w:val="16"/>
        </w:rPr>
        <w:t xml:space="preserve"> </w:t>
      </w:r>
      <w:r>
        <w:rPr>
          <w:rFonts w:asciiTheme="minorHAnsi" w:hAnsiTheme="minorHAnsi" w:cstheme="minorHAnsi"/>
        </w:rPr>
        <w:t>“may”,</w:t>
      </w:r>
      <w:r>
        <w:rPr>
          <w:rFonts w:asciiTheme="minorHAnsi" w:hAnsiTheme="minorHAnsi" w:cstheme="minorHAnsi"/>
          <w:spacing w:val="16"/>
        </w:rPr>
        <w:t xml:space="preserve"> </w:t>
      </w:r>
      <w:r>
        <w:rPr>
          <w:rFonts w:asciiTheme="minorHAnsi" w:hAnsiTheme="minorHAnsi" w:cstheme="minorHAnsi"/>
        </w:rPr>
        <w:t>“could”,</w:t>
      </w:r>
      <w:r>
        <w:rPr>
          <w:rFonts w:asciiTheme="minorHAnsi" w:hAnsiTheme="minorHAnsi" w:cstheme="minorHAnsi"/>
          <w:spacing w:val="16"/>
        </w:rPr>
        <w:t xml:space="preserve"> </w:t>
      </w:r>
      <w:r>
        <w:rPr>
          <w:rFonts w:asciiTheme="minorHAnsi" w:hAnsiTheme="minorHAnsi" w:cstheme="minorHAnsi"/>
        </w:rPr>
        <w:t>“should”,</w:t>
      </w:r>
      <w:r>
        <w:rPr>
          <w:rFonts w:asciiTheme="minorHAnsi" w:hAnsiTheme="minorHAnsi" w:cstheme="minorHAnsi"/>
          <w:spacing w:val="16"/>
        </w:rPr>
        <w:t xml:space="preserve"> </w:t>
      </w:r>
      <w:r>
        <w:rPr>
          <w:rFonts w:asciiTheme="minorHAnsi" w:hAnsiTheme="minorHAnsi" w:cstheme="minorHAnsi"/>
        </w:rPr>
        <w:t>“would”,</w:t>
      </w:r>
      <w:r>
        <w:rPr>
          <w:rFonts w:asciiTheme="minorHAnsi" w:hAnsiTheme="minorHAnsi" w:cstheme="minorHAnsi"/>
          <w:spacing w:val="16"/>
        </w:rPr>
        <w:t xml:space="preserve"> </w:t>
      </w:r>
      <w:r>
        <w:rPr>
          <w:rFonts w:asciiTheme="minorHAnsi" w:hAnsiTheme="minorHAnsi" w:cstheme="minorHAnsi"/>
        </w:rPr>
        <w:t>“might”</w:t>
      </w:r>
      <w:r>
        <w:rPr>
          <w:rFonts w:asciiTheme="minorHAnsi" w:hAnsiTheme="minorHAnsi" w:cstheme="minorHAnsi"/>
          <w:spacing w:val="16"/>
        </w:rPr>
        <w:t xml:space="preserve"> </w:t>
      </w:r>
      <w:r>
        <w:rPr>
          <w:rFonts w:asciiTheme="minorHAnsi" w:hAnsiTheme="minorHAnsi" w:cstheme="minorHAnsi"/>
        </w:rPr>
        <w:t>or</w:t>
      </w:r>
      <w:r>
        <w:rPr>
          <w:rFonts w:asciiTheme="minorHAnsi" w:hAnsiTheme="minorHAnsi" w:cstheme="minorHAnsi"/>
          <w:spacing w:val="16"/>
        </w:rPr>
        <w:t xml:space="preserve"> </w:t>
      </w:r>
      <w:r>
        <w:rPr>
          <w:rFonts w:asciiTheme="minorHAnsi" w:hAnsiTheme="minorHAnsi" w:cstheme="minorHAnsi"/>
        </w:rPr>
        <w:t>“will”</w:t>
      </w:r>
      <w:r>
        <w:rPr>
          <w:rFonts w:asciiTheme="minorHAnsi" w:hAnsiTheme="minorHAnsi" w:cstheme="minorHAnsi"/>
          <w:spacing w:val="16"/>
        </w:rPr>
        <w:t xml:space="preserve"> </w:t>
      </w:r>
      <w:r>
        <w:rPr>
          <w:rFonts w:asciiTheme="minorHAnsi" w:hAnsiTheme="minorHAnsi" w:cstheme="minorHAnsi"/>
        </w:rPr>
        <w:t>be</w:t>
      </w:r>
      <w:r>
        <w:rPr>
          <w:rFonts w:asciiTheme="minorHAnsi" w:hAnsiTheme="minorHAnsi" w:cstheme="minorHAnsi"/>
          <w:spacing w:val="16"/>
        </w:rPr>
        <w:t xml:space="preserve"> </w:t>
      </w:r>
      <w:r>
        <w:rPr>
          <w:rFonts w:asciiTheme="minorHAnsi" w:hAnsiTheme="minorHAnsi" w:cstheme="minorHAnsi"/>
        </w:rPr>
        <w:t>taken,</w:t>
      </w:r>
      <w:r>
        <w:rPr>
          <w:rFonts w:asciiTheme="minorHAnsi" w:hAnsiTheme="minorHAnsi" w:cstheme="minorHAnsi"/>
          <w:spacing w:val="16"/>
        </w:rPr>
        <w:t xml:space="preserve"> </w:t>
      </w:r>
      <w:r>
        <w:rPr>
          <w:rFonts w:asciiTheme="minorHAnsi" w:hAnsiTheme="minorHAnsi" w:cstheme="minorHAnsi"/>
        </w:rPr>
        <w:t>occur</w:t>
      </w:r>
      <w:r>
        <w:rPr>
          <w:rFonts w:asciiTheme="minorHAnsi" w:hAnsiTheme="minorHAnsi" w:cstheme="minorHAnsi"/>
          <w:spacing w:val="19"/>
        </w:rPr>
        <w:t xml:space="preserve"> </w:t>
      </w:r>
      <w:r>
        <w:rPr>
          <w:rFonts w:asciiTheme="minorHAnsi" w:hAnsiTheme="minorHAnsi" w:cstheme="minorHAnsi"/>
        </w:rPr>
        <w:t>or</w:t>
      </w:r>
      <w:r>
        <w:rPr>
          <w:rFonts w:asciiTheme="minorHAnsi" w:hAnsiTheme="minorHAnsi" w:cstheme="minorHAnsi"/>
          <w:spacing w:val="16"/>
        </w:rPr>
        <w:t xml:space="preserve"> </w:t>
      </w:r>
      <w:r>
        <w:rPr>
          <w:rFonts w:asciiTheme="minorHAnsi" w:hAnsiTheme="minorHAnsi" w:cstheme="minorHAnsi"/>
        </w:rPr>
        <w:t>be</w:t>
      </w:r>
      <w:r>
        <w:rPr>
          <w:rFonts w:asciiTheme="minorHAnsi" w:hAnsiTheme="minorHAnsi" w:cstheme="minorHAnsi"/>
          <w:spacing w:val="19"/>
        </w:rPr>
        <w:t xml:space="preserve"> </w:t>
      </w:r>
      <w:r>
        <w:rPr>
          <w:rFonts w:asciiTheme="minorHAnsi" w:hAnsiTheme="minorHAnsi" w:cstheme="minorHAnsi"/>
        </w:rPr>
        <w:t>achieved.</w:t>
      </w:r>
      <w:r>
        <w:rPr>
          <w:rFonts w:asciiTheme="minorHAnsi" w:hAnsiTheme="minorHAnsi" w:cstheme="minorHAnsi"/>
          <w:spacing w:val="19"/>
        </w:rPr>
        <w:t xml:space="preserve"> </w:t>
      </w:r>
      <w:r>
        <w:rPr>
          <w:rFonts w:asciiTheme="minorHAnsi" w:hAnsiTheme="minorHAnsi" w:cstheme="minorHAnsi"/>
        </w:rPr>
        <w:t>A</w:t>
      </w:r>
      <w:r>
        <w:rPr>
          <w:rFonts w:asciiTheme="minorHAnsi" w:hAnsiTheme="minorHAnsi" w:cstheme="minorHAnsi"/>
          <w:spacing w:val="19"/>
        </w:rPr>
        <w:t xml:space="preserve"> </w:t>
      </w:r>
      <w:r>
        <w:rPr>
          <w:rFonts w:asciiTheme="minorHAnsi" w:hAnsiTheme="minorHAnsi" w:cstheme="minorHAnsi"/>
        </w:rPr>
        <w:t>number</w:t>
      </w:r>
      <w:r>
        <w:rPr>
          <w:rFonts w:asciiTheme="minorHAnsi" w:hAnsiTheme="minorHAnsi" w:cstheme="minorHAnsi"/>
          <w:spacing w:val="19"/>
        </w:rPr>
        <w:t xml:space="preserve"> </w:t>
      </w:r>
      <w:r>
        <w:rPr>
          <w:rFonts w:asciiTheme="minorHAnsi" w:hAnsiTheme="minorHAnsi" w:cstheme="minorHAnsi"/>
        </w:rPr>
        <w:t xml:space="preserve">of </w:t>
      </w:r>
      <w:r>
        <w:rPr>
          <w:rFonts w:asciiTheme="minorHAnsi" w:hAnsiTheme="minorHAnsi" w:cstheme="minorHAnsi"/>
          <w:spacing w:val="-1"/>
        </w:rPr>
        <w:t>known and unknow</w:t>
      </w:r>
      <w:r>
        <w:rPr>
          <w:rFonts w:asciiTheme="minorHAnsi" w:hAnsiTheme="minorHAnsi" w:cstheme="minorHAnsi"/>
        </w:rPr>
        <w:t>n risks, uncertainties and other factors may cause the actual results or performance to materially differ from any future results or performance expressed or implied by the forward-looking information. These forward-looking statements</w:t>
      </w:r>
      <w:r>
        <w:rPr>
          <w:rFonts w:asciiTheme="minorHAnsi" w:hAnsiTheme="minorHAnsi" w:cstheme="minorHAnsi"/>
          <w:spacing w:val="7"/>
        </w:rPr>
        <w:t xml:space="preserve"> </w:t>
      </w:r>
      <w:r>
        <w:rPr>
          <w:rFonts w:asciiTheme="minorHAnsi" w:hAnsiTheme="minorHAnsi" w:cstheme="minorHAnsi"/>
        </w:rPr>
        <w:t>are subject to</w:t>
      </w:r>
      <w:r>
        <w:rPr>
          <w:rFonts w:asciiTheme="minorHAnsi" w:hAnsiTheme="minorHAnsi" w:cstheme="minorHAnsi"/>
          <w:spacing w:val="7"/>
        </w:rPr>
        <w:t xml:space="preserve"> </w:t>
      </w:r>
      <w:r>
        <w:rPr>
          <w:rFonts w:asciiTheme="minorHAnsi" w:hAnsiTheme="minorHAnsi" w:cstheme="minorHAnsi"/>
        </w:rPr>
        <w:t xml:space="preserve">numerous risks and uncertainties, certain of which are beyond the control of the Company including, but not limited to, the impact of general economic </w:t>
      </w:r>
      <w:r>
        <w:rPr>
          <w:rFonts w:asciiTheme="minorHAnsi" w:hAnsiTheme="minorHAnsi" w:cstheme="minorHAnsi"/>
          <w:spacing w:val="-1"/>
        </w:rPr>
        <w:t>conditions,</w:t>
      </w:r>
      <w:r>
        <w:rPr>
          <w:rFonts w:asciiTheme="minorHAnsi" w:hAnsiTheme="minorHAnsi" w:cstheme="minorHAnsi"/>
          <w:spacing w:val="-9"/>
        </w:rPr>
        <w:t xml:space="preserve"> </w:t>
      </w:r>
      <w:r>
        <w:rPr>
          <w:rFonts w:asciiTheme="minorHAnsi" w:hAnsiTheme="minorHAnsi" w:cstheme="minorHAnsi"/>
          <w:spacing w:val="-1"/>
        </w:rPr>
        <w:t>industry</w:t>
      </w:r>
      <w:r>
        <w:rPr>
          <w:rFonts w:asciiTheme="minorHAnsi" w:hAnsiTheme="minorHAnsi" w:cstheme="minorHAnsi"/>
          <w:spacing w:val="-9"/>
        </w:rPr>
        <w:t xml:space="preserve"> </w:t>
      </w:r>
      <w:r>
        <w:rPr>
          <w:rFonts w:asciiTheme="minorHAnsi" w:hAnsiTheme="minorHAnsi" w:cstheme="minorHAnsi"/>
          <w:spacing w:val="-1"/>
        </w:rPr>
        <w:t>conditions</w:t>
      </w:r>
      <w:r>
        <w:rPr>
          <w:rFonts w:asciiTheme="minorHAnsi" w:hAnsiTheme="minorHAnsi" w:cstheme="minorHAnsi"/>
          <w:spacing w:val="-9"/>
        </w:rPr>
        <w:t xml:space="preserve"> </w:t>
      </w:r>
      <w:r>
        <w:rPr>
          <w:rFonts w:asciiTheme="minorHAnsi" w:hAnsiTheme="minorHAnsi" w:cstheme="minorHAnsi"/>
          <w:spacing w:val="-1"/>
        </w:rPr>
        <w:t>and</w:t>
      </w:r>
      <w:r>
        <w:rPr>
          <w:rFonts w:asciiTheme="minorHAnsi" w:hAnsiTheme="minorHAnsi" w:cstheme="minorHAnsi"/>
          <w:spacing w:val="-9"/>
        </w:rPr>
        <w:t xml:space="preserve"> </w:t>
      </w:r>
      <w:r>
        <w:rPr>
          <w:rFonts w:asciiTheme="minorHAnsi" w:hAnsiTheme="minorHAnsi" w:cstheme="minorHAnsi"/>
          <w:spacing w:val="-1"/>
        </w:rPr>
        <w:t>dependence</w:t>
      </w:r>
      <w:r>
        <w:rPr>
          <w:rFonts w:asciiTheme="minorHAnsi" w:hAnsiTheme="minorHAnsi" w:cstheme="minorHAnsi"/>
          <w:spacing w:val="-9"/>
        </w:rPr>
        <w:t xml:space="preserve"> </w:t>
      </w:r>
      <w:r>
        <w:rPr>
          <w:rFonts w:asciiTheme="minorHAnsi" w:hAnsiTheme="minorHAnsi" w:cstheme="minorHAnsi"/>
          <w:spacing w:val="-1"/>
        </w:rPr>
        <w:t>up</w:t>
      </w:r>
      <w:r>
        <w:rPr>
          <w:rFonts w:asciiTheme="minorHAnsi" w:hAnsiTheme="minorHAnsi" w:cstheme="minorHAnsi"/>
        </w:rPr>
        <w:t>on</w:t>
      </w:r>
      <w:r>
        <w:rPr>
          <w:rFonts w:asciiTheme="minorHAnsi" w:hAnsiTheme="minorHAnsi" w:cstheme="minorHAnsi"/>
          <w:spacing w:val="-8"/>
        </w:rPr>
        <w:t xml:space="preserve"> </w:t>
      </w:r>
      <w:r>
        <w:rPr>
          <w:rFonts w:asciiTheme="minorHAnsi" w:hAnsiTheme="minorHAnsi" w:cstheme="minorHAnsi"/>
        </w:rPr>
        <w:t>regulatory</w:t>
      </w:r>
      <w:r>
        <w:rPr>
          <w:rFonts w:asciiTheme="minorHAnsi" w:hAnsiTheme="minorHAnsi" w:cstheme="minorHAnsi"/>
          <w:spacing w:val="-5"/>
        </w:rPr>
        <w:t xml:space="preserve"> </w:t>
      </w:r>
      <w:r>
        <w:rPr>
          <w:rFonts w:asciiTheme="minorHAnsi" w:hAnsiTheme="minorHAnsi" w:cstheme="minorHAnsi"/>
        </w:rPr>
        <w:t>approvals.</w:t>
      </w:r>
      <w:r>
        <w:rPr>
          <w:rFonts w:asciiTheme="minorHAnsi" w:hAnsiTheme="minorHAnsi" w:cstheme="minorHAnsi"/>
          <w:spacing w:val="-8"/>
        </w:rPr>
        <w:t xml:space="preserve"> </w:t>
      </w:r>
      <w:r>
        <w:rPr>
          <w:rFonts w:asciiTheme="minorHAnsi" w:hAnsiTheme="minorHAnsi" w:cstheme="minorHAnsi"/>
        </w:rPr>
        <w:t>Readers</w:t>
      </w:r>
      <w:r>
        <w:rPr>
          <w:rFonts w:asciiTheme="minorHAnsi" w:hAnsiTheme="minorHAnsi" w:cstheme="minorHAnsi"/>
          <w:spacing w:val="-8"/>
        </w:rPr>
        <w:t xml:space="preserve"> </w:t>
      </w:r>
      <w:r>
        <w:rPr>
          <w:rFonts w:asciiTheme="minorHAnsi" w:hAnsiTheme="minorHAnsi" w:cstheme="minorHAnsi"/>
        </w:rPr>
        <w:t>are</w:t>
      </w:r>
      <w:r>
        <w:rPr>
          <w:rFonts w:asciiTheme="minorHAnsi" w:hAnsiTheme="minorHAnsi" w:cstheme="minorHAnsi"/>
          <w:spacing w:val="-8"/>
        </w:rPr>
        <w:t xml:space="preserve"> </w:t>
      </w:r>
      <w:r>
        <w:rPr>
          <w:rFonts w:asciiTheme="minorHAnsi" w:hAnsiTheme="minorHAnsi" w:cstheme="minorHAnsi"/>
        </w:rPr>
        <w:t>cautioned</w:t>
      </w:r>
      <w:r>
        <w:rPr>
          <w:rFonts w:asciiTheme="minorHAnsi" w:hAnsiTheme="minorHAnsi" w:cstheme="minorHAnsi"/>
          <w:spacing w:val="-5"/>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rPr>
        <w:t>the assumptions used in the preparation of such information, although considered reasonable at the time of preparation, may prove to be imprecise and, as such, undue reliance should not be placed on forward- looking statements. The Company</w:t>
      </w:r>
      <w:r>
        <w:rPr>
          <w:rFonts w:asciiTheme="minorHAnsi" w:hAnsiTheme="minorHAnsi" w:cstheme="minorHAnsi"/>
          <w:spacing w:val="7"/>
        </w:rPr>
        <w:t xml:space="preserve"> </w:t>
      </w:r>
      <w:r>
        <w:rPr>
          <w:rFonts w:asciiTheme="minorHAnsi" w:hAnsiTheme="minorHAnsi" w:cstheme="minorHAnsi"/>
        </w:rPr>
        <w:t>does not assume any obligation to update or revise its forward-looking statements, whether as a result of new information, future events, or otherwise, except as required by securities laws.</w:t>
      </w:r>
    </w:p>
    <w:p w14:paraId="591B458C" w14:textId="77777777" w:rsidR="006C3F9D" w:rsidRPr="00FD1E4C" w:rsidRDefault="006C3F9D"/>
    <w:sectPr w:rsidR="006C3F9D" w:rsidRPr="00FD1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kt Pro Lt">
    <w:altName w:val="Calibri"/>
    <w:charset w:val="00"/>
    <w:family w:val="auto"/>
    <w:pitch w:val="variable"/>
    <w:sig w:usb0="00000087" w:usb1="00000001"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3E7E"/>
    <w:multiLevelType w:val="hybridMultilevel"/>
    <w:tmpl w:val="54801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50210C"/>
    <w:multiLevelType w:val="multilevel"/>
    <w:tmpl w:val="2548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7120038">
    <w:abstractNumId w:val="1"/>
  </w:num>
  <w:num w:numId="2" w16cid:durableId="762461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55"/>
    <w:rsid w:val="002A5743"/>
    <w:rsid w:val="00351644"/>
    <w:rsid w:val="003F0225"/>
    <w:rsid w:val="004316B4"/>
    <w:rsid w:val="00505F55"/>
    <w:rsid w:val="006546AC"/>
    <w:rsid w:val="006C3F9D"/>
    <w:rsid w:val="008518CA"/>
    <w:rsid w:val="00870396"/>
    <w:rsid w:val="00A17C1A"/>
    <w:rsid w:val="00A57F1F"/>
    <w:rsid w:val="00A7208A"/>
    <w:rsid w:val="00D44A21"/>
    <w:rsid w:val="00F45024"/>
    <w:rsid w:val="00FD1E4C"/>
    <w:rsid w:val="00FD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7DA6"/>
  <w15:chartTrackingRefBased/>
  <w15:docId w15:val="{55A8A53A-D4E9-478A-8325-3E49C539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akt Pro Lt" w:eastAsiaTheme="minorHAnsi" w:hAnsi="Fakt Pro Lt"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55"/>
    <w:pPr>
      <w:ind w:left="720"/>
      <w:contextualSpacing/>
    </w:pPr>
  </w:style>
  <w:style w:type="character" w:customStyle="1" w:styleId="TextJustifiedChar">
    <w:name w:val="Text Justified Char"/>
    <w:basedOn w:val="DefaultParagraphFont"/>
    <w:link w:val="TextJustified"/>
    <w:locked/>
    <w:rsid w:val="00D44A21"/>
    <w:rPr>
      <w:rFonts w:ascii="Arial" w:hAnsi="Arial" w:cs="Arial"/>
    </w:rPr>
  </w:style>
  <w:style w:type="paragraph" w:customStyle="1" w:styleId="TextJustified">
    <w:name w:val="Text Justified"/>
    <w:basedOn w:val="Normal"/>
    <w:link w:val="TextJustifiedChar"/>
    <w:rsid w:val="00D44A21"/>
    <w:pPr>
      <w:spacing w:after="24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17637">
      <w:bodyDiv w:val="1"/>
      <w:marLeft w:val="0"/>
      <w:marRight w:val="0"/>
      <w:marTop w:val="0"/>
      <w:marBottom w:val="0"/>
      <w:divBdr>
        <w:top w:val="none" w:sz="0" w:space="0" w:color="auto"/>
        <w:left w:val="none" w:sz="0" w:space="0" w:color="auto"/>
        <w:bottom w:val="none" w:sz="0" w:space="0" w:color="auto"/>
        <w:right w:val="none" w:sz="0" w:space="0" w:color="auto"/>
      </w:divBdr>
    </w:div>
    <w:div w:id="1100446401">
      <w:bodyDiv w:val="1"/>
      <w:marLeft w:val="0"/>
      <w:marRight w:val="0"/>
      <w:marTop w:val="0"/>
      <w:marBottom w:val="0"/>
      <w:divBdr>
        <w:top w:val="none" w:sz="0" w:space="0" w:color="auto"/>
        <w:left w:val="none" w:sz="0" w:space="0" w:color="auto"/>
        <w:bottom w:val="none" w:sz="0" w:space="0" w:color="auto"/>
        <w:right w:val="none" w:sz="0" w:space="0" w:color="auto"/>
      </w:divBdr>
      <w:divsChild>
        <w:div w:id="9563276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191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Lamb</dc:creator>
  <cp:keywords/>
  <dc:description/>
  <cp:lastModifiedBy>Robert Payment</cp:lastModifiedBy>
  <cp:revision>6</cp:revision>
  <dcterms:created xsi:type="dcterms:W3CDTF">2023-06-21T19:18:00Z</dcterms:created>
  <dcterms:modified xsi:type="dcterms:W3CDTF">2023-06-27T20:16:00Z</dcterms:modified>
</cp:coreProperties>
</file>