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2101" w14:textId="20E861F6" w:rsidR="007E761A" w:rsidRPr="00700084" w:rsidRDefault="00700084" w:rsidP="002C53A3">
      <w:pPr>
        <w:jc w:val="center"/>
        <w:rPr>
          <w:rFonts w:ascii="Arial" w:hAnsi="Arial" w:cs="Arial"/>
          <w:b/>
          <w:bCs/>
          <w:sz w:val="32"/>
          <w:szCs w:val="32"/>
        </w:rPr>
      </w:pPr>
      <w:r w:rsidRPr="00700084">
        <w:rPr>
          <w:rFonts w:ascii="Arial" w:hAnsi="Arial" w:cs="Arial"/>
          <w:noProof/>
        </w:rPr>
        <w:drawing>
          <wp:inline distT="0" distB="0" distL="0" distR="0" wp14:anchorId="0E02CF92" wp14:editId="1CE1C62B">
            <wp:extent cx="1914525" cy="1768502"/>
            <wp:effectExtent l="0" t="0" r="0" b="3175"/>
            <wp:docPr id="872217481" name="Picture 1" descr="A picture containing font, screenshot,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17481" name="Picture 1" descr="A picture containing font, screenshot, design, text&#10;&#10;Description automatically generated"/>
                    <pic:cNvPicPr/>
                  </pic:nvPicPr>
                  <pic:blipFill>
                    <a:blip r:embed="rId8"/>
                    <a:stretch>
                      <a:fillRect/>
                    </a:stretch>
                  </pic:blipFill>
                  <pic:spPr>
                    <a:xfrm>
                      <a:off x="0" y="0"/>
                      <a:ext cx="1916961" cy="1770752"/>
                    </a:xfrm>
                    <a:prstGeom prst="rect">
                      <a:avLst/>
                    </a:prstGeom>
                  </pic:spPr>
                </pic:pic>
              </a:graphicData>
            </a:graphic>
          </wp:inline>
        </w:drawing>
      </w:r>
    </w:p>
    <w:p w14:paraId="0AC24EC5" w14:textId="567D87A7" w:rsidR="002C53A3" w:rsidRPr="00700084" w:rsidRDefault="00700084" w:rsidP="002C53A3">
      <w:pPr>
        <w:jc w:val="center"/>
        <w:rPr>
          <w:rFonts w:ascii="Arial" w:hAnsi="Arial" w:cs="Arial"/>
          <w:b/>
          <w:bCs/>
          <w:sz w:val="32"/>
          <w:szCs w:val="32"/>
        </w:rPr>
      </w:pPr>
      <w:r w:rsidRPr="00700084">
        <w:rPr>
          <w:rFonts w:ascii="Arial" w:hAnsi="Arial" w:cs="Arial"/>
          <w:b/>
          <w:bCs/>
          <w:sz w:val="32"/>
          <w:szCs w:val="32"/>
        </w:rPr>
        <w:t>VICE HEALTH AND WELLNESS</w:t>
      </w:r>
      <w:r w:rsidR="000444EC" w:rsidRPr="00700084">
        <w:rPr>
          <w:rFonts w:ascii="Arial" w:hAnsi="Arial" w:cs="Arial"/>
          <w:b/>
          <w:bCs/>
          <w:sz w:val="32"/>
          <w:szCs w:val="32"/>
        </w:rPr>
        <w:t xml:space="preserve"> </w:t>
      </w:r>
      <w:r w:rsidR="00BC5650" w:rsidRPr="00700084">
        <w:rPr>
          <w:rFonts w:ascii="Arial" w:hAnsi="Arial" w:cs="Arial"/>
          <w:b/>
          <w:bCs/>
          <w:sz w:val="32"/>
          <w:szCs w:val="32"/>
        </w:rPr>
        <w:t>ISSUES SHARES FOR SERVICE</w:t>
      </w:r>
    </w:p>
    <w:p w14:paraId="0FCB8A1E" w14:textId="15BD3427" w:rsidR="007067EE" w:rsidRPr="00700084" w:rsidRDefault="00BD4DCF" w:rsidP="00BC5650">
      <w:pPr>
        <w:spacing w:line="240" w:lineRule="auto"/>
        <w:jc w:val="both"/>
        <w:rPr>
          <w:rFonts w:ascii="Arial" w:hAnsi="Arial" w:cs="Arial"/>
          <w:u w:color="373737"/>
        </w:rPr>
      </w:pPr>
      <w:r w:rsidRPr="00700084">
        <w:rPr>
          <w:rFonts w:ascii="Arial" w:hAnsi="Arial" w:cs="Arial"/>
          <w:b/>
          <w:bCs/>
          <w:u w:color="373737"/>
        </w:rPr>
        <w:t xml:space="preserve">VANCOUVER, </w:t>
      </w:r>
      <w:r w:rsidR="00D57E62" w:rsidRPr="00700084">
        <w:rPr>
          <w:rFonts w:ascii="Arial" w:hAnsi="Arial" w:cs="Arial"/>
          <w:b/>
          <w:bCs/>
          <w:u w:color="373737"/>
        </w:rPr>
        <w:t>BC</w:t>
      </w:r>
      <w:r w:rsidRPr="00700084">
        <w:rPr>
          <w:rFonts w:ascii="Arial" w:hAnsi="Arial" w:cs="Arial"/>
          <w:b/>
          <w:bCs/>
          <w:u w:color="373737"/>
        </w:rPr>
        <w:t xml:space="preserve"> </w:t>
      </w:r>
      <w:r w:rsidR="00700084">
        <w:rPr>
          <w:rFonts w:ascii="Arial" w:hAnsi="Arial" w:cs="Arial"/>
          <w:b/>
          <w:bCs/>
          <w:u w:color="373737"/>
        </w:rPr>
        <w:t>July 1</w:t>
      </w:r>
      <w:r w:rsidR="00122978">
        <w:rPr>
          <w:rFonts w:ascii="Arial" w:hAnsi="Arial" w:cs="Arial"/>
          <w:b/>
          <w:bCs/>
          <w:u w:color="373737"/>
        </w:rPr>
        <w:t>9</w:t>
      </w:r>
      <w:r w:rsidR="00700084">
        <w:rPr>
          <w:rFonts w:ascii="Arial" w:hAnsi="Arial" w:cs="Arial"/>
          <w:b/>
          <w:bCs/>
          <w:u w:color="373737"/>
        </w:rPr>
        <w:t>,</w:t>
      </w:r>
      <w:r w:rsidR="00BC5650" w:rsidRPr="00700084">
        <w:rPr>
          <w:rFonts w:ascii="Arial" w:hAnsi="Arial" w:cs="Arial"/>
          <w:b/>
          <w:bCs/>
          <w:u w:color="373737"/>
        </w:rPr>
        <w:t xml:space="preserve"> </w:t>
      </w:r>
      <w:r w:rsidRPr="00700084">
        <w:rPr>
          <w:rFonts w:ascii="Arial" w:hAnsi="Arial" w:cs="Arial"/>
          <w:b/>
          <w:bCs/>
          <w:u w:color="373737"/>
        </w:rPr>
        <w:t>202</w:t>
      </w:r>
      <w:r w:rsidR="00700084">
        <w:rPr>
          <w:rFonts w:ascii="Arial" w:hAnsi="Arial" w:cs="Arial"/>
          <w:b/>
          <w:bCs/>
          <w:u w:color="373737"/>
        </w:rPr>
        <w:t>3</w:t>
      </w:r>
      <w:r w:rsidRPr="00700084">
        <w:rPr>
          <w:rFonts w:ascii="Arial" w:hAnsi="Arial" w:cs="Arial"/>
          <w:b/>
          <w:bCs/>
          <w:u w:color="373737"/>
        </w:rPr>
        <w:t xml:space="preserve"> – </w:t>
      </w:r>
      <w:r w:rsidR="00700084">
        <w:rPr>
          <w:rFonts w:ascii="Arial" w:hAnsi="Arial" w:cs="Arial"/>
          <w:b/>
          <w:bCs/>
          <w:u w:color="373737"/>
        </w:rPr>
        <w:t>Vice Health and Wellness</w:t>
      </w:r>
      <w:r w:rsidRPr="00700084">
        <w:rPr>
          <w:rFonts w:ascii="Arial" w:hAnsi="Arial" w:cs="Arial"/>
          <w:b/>
          <w:bCs/>
          <w:u w:color="373737"/>
        </w:rPr>
        <w:t xml:space="preserve"> Inc. (“</w:t>
      </w:r>
      <w:r w:rsidR="00700084">
        <w:rPr>
          <w:rFonts w:ascii="Arial" w:hAnsi="Arial" w:cs="Arial"/>
          <w:b/>
          <w:bCs/>
          <w:u w:color="373737"/>
        </w:rPr>
        <w:t>VICE</w:t>
      </w:r>
      <w:r w:rsidRPr="00700084">
        <w:rPr>
          <w:rFonts w:ascii="Arial" w:hAnsi="Arial" w:cs="Arial"/>
          <w:b/>
          <w:bCs/>
          <w:u w:color="373737"/>
        </w:rPr>
        <w:t xml:space="preserve">” </w:t>
      </w:r>
      <w:r w:rsidRPr="00700084">
        <w:rPr>
          <w:rFonts w:ascii="Arial" w:hAnsi="Arial" w:cs="Arial"/>
          <w:u w:color="373737"/>
        </w:rPr>
        <w:t>or the</w:t>
      </w:r>
      <w:r w:rsidRPr="00700084">
        <w:rPr>
          <w:rFonts w:ascii="Arial" w:hAnsi="Arial" w:cs="Arial"/>
          <w:b/>
          <w:bCs/>
          <w:u w:color="373737"/>
        </w:rPr>
        <w:t xml:space="preserve"> “Company”) (CSE: </w:t>
      </w:r>
      <w:r w:rsidR="00700084">
        <w:rPr>
          <w:rFonts w:ascii="Arial" w:hAnsi="Arial" w:cs="Arial"/>
          <w:b/>
          <w:bCs/>
          <w:u w:color="373737"/>
        </w:rPr>
        <w:t>VICE</w:t>
      </w:r>
      <w:r w:rsidRPr="00700084">
        <w:rPr>
          <w:rFonts w:ascii="Arial" w:hAnsi="Arial" w:cs="Arial"/>
          <w:b/>
          <w:bCs/>
          <w:u w:color="373737"/>
        </w:rPr>
        <w:t xml:space="preserve"> - FSE: </w:t>
      </w:r>
      <w:r w:rsidR="00700084">
        <w:rPr>
          <w:rFonts w:ascii="Arial" w:hAnsi="Arial" w:cs="Arial"/>
          <w:b/>
          <w:bCs/>
          <w:u w:color="373737"/>
        </w:rPr>
        <w:t>Z24</w:t>
      </w:r>
      <w:r w:rsidRPr="00700084">
        <w:rPr>
          <w:rFonts w:ascii="Arial" w:hAnsi="Arial" w:cs="Arial"/>
          <w:b/>
          <w:bCs/>
          <w:u w:color="373737"/>
        </w:rPr>
        <w:t xml:space="preserve"> </w:t>
      </w:r>
      <w:r w:rsidR="00700084">
        <w:rPr>
          <w:rFonts w:ascii="Arial" w:hAnsi="Arial" w:cs="Arial"/>
          <w:b/>
          <w:bCs/>
          <w:u w:color="373737"/>
        </w:rPr>
        <w:t>–</w:t>
      </w:r>
      <w:r w:rsidRPr="00700084">
        <w:rPr>
          <w:rFonts w:ascii="Arial" w:hAnsi="Arial" w:cs="Arial"/>
          <w:b/>
          <w:bCs/>
          <w:u w:color="373737"/>
        </w:rPr>
        <w:t xml:space="preserve"> OTC</w:t>
      </w:r>
      <w:r w:rsidR="00700084">
        <w:rPr>
          <w:rFonts w:ascii="Arial" w:hAnsi="Arial" w:cs="Arial"/>
          <w:b/>
          <w:bCs/>
          <w:u w:color="373737"/>
        </w:rPr>
        <w:t xml:space="preserve"> Pink</w:t>
      </w:r>
      <w:r w:rsidRPr="00700084">
        <w:rPr>
          <w:rFonts w:ascii="Arial" w:hAnsi="Arial" w:cs="Arial"/>
          <w:b/>
          <w:bCs/>
          <w:u w:color="373737"/>
        </w:rPr>
        <w:t xml:space="preserve">: </w:t>
      </w:r>
      <w:r w:rsidR="00BC5650" w:rsidRPr="00700084">
        <w:rPr>
          <w:rFonts w:ascii="Arial" w:hAnsi="Arial" w:cs="Arial"/>
          <w:b/>
          <w:bCs/>
          <w:u w:color="373737"/>
        </w:rPr>
        <w:t>GUMYF</w:t>
      </w:r>
      <w:r w:rsidRPr="00700084">
        <w:rPr>
          <w:rFonts w:ascii="Arial" w:hAnsi="Arial" w:cs="Arial"/>
          <w:b/>
          <w:bCs/>
          <w:u w:color="373737"/>
        </w:rPr>
        <w:t>)</w:t>
      </w:r>
      <w:r w:rsidR="006A2AB1" w:rsidRPr="00700084">
        <w:rPr>
          <w:rFonts w:ascii="Arial" w:hAnsi="Arial" w:cs="Arial"/>
          <w:b/>
          <w:bCs/>
          <w:u w:color="373737"/>
        </w:rPr>
        <w:t xml:space="preserve"> </w:t>
      </w:r>
      <w:r w:rsidR="007067EE" w:rsidRPr="00700084">
        <w:rPr>
          <w:rFonts w:ascii="Arial" w:hAnsi="Arial" w:cs="Arial"/>
          <w:u w:color="373737"/>
        </w:rPr>
        <w:t>announces that p</w:t>
      </w:r>
      <w:r w:rsidR="007067EE" w:rsidRPr="00700084">
        <w:rPr>
          <w:rFonts w:ascii="Arial" w:hAnsi="Arial" w:cs="Arial"/>
        </w:rPr>
        <w:t xml:space="preserve">ursuant to </w:t>
      </w:r>
      <w:r w:rsidR="00BC5650" w:rsidRPr="00700084">
        <w:rPr>
          <w:rFonts w:ascii="Arial" w:hAnsi="Arial" w:cs="Arial"/>
        </w:rPr>
        <w:t>a service</w:t>
      </w:r>
      <w:r w:rsidR="007067EE" w:rsidRPr="00700084">
        <w:rPr>
          <w:rFonts w:ascii="Arial" w:hAnsi="Arial" w:cs="Arial"/>
        </w:rPr>
        <w:t xml:space="preserve"> contract, the Company </w:t>
      </w:r>
      <w:r w:rsidR="00122978">
        <w:rPr>
          <w:rFonts w:ascii="Arial" w:hAnsi="Arial" w:cs="Arial"/>
        </w:rPr>
        <w:t xml:space="preserve">has issued </w:t>
      </w:r>
      <w:r w:rsidR="00700084" w:rsidRPr="00700084">
        <w:rPr>
          <w:rFonts w:ascii="Arial" w:hAnsi="Arial" w:cs="Arial"/>
        </w:rPr>
        <w:t>2,000,000</w:t>
      </w:r>
      <w:r w:rsidR="007067EE" w:rsidRPr="00700084">
        <w:rPr>
          <w:rFonts w:ascii="Arial" w:hAnsi="Arial" w:cs="Arial"/>
        </w:rPr>
        <w:t xml:space="preserve"> common shares of the Company at a deemed value of $0.0</w:t>
      </w:r>
      <w:r w:rsidR="00700084" w:rsidRPr="00700084">
        <w:rPr>
          <w:rFonts w:ascii="Arial" w:hAnsi="Arial" w:cs="Arial"/>
        </w:rPr>
        <w:t>5</w:t>
      </w:r>
      <w:r w:rsidR="007067EE" w:rsidRPr="00700084">
        <w:rPr>
          <w:rFonts w:ascii="Arial" w:hAnsi="Arial" w:cs="Arial"/>
        </w:rPr>
        <w:t xml:space="preserve"> per share for services provided</w:t>
      </w:r>
      <w:r w:rsidR="00495FC4" w:rsidRPr="00700084">
        <w:rPr>
          <w:rFonts w:ascii="Arial" w:hAnsi="Arial" w:cs="Arial"/>
        </w:rPr>
        <w:t xml:space="preserve">. </w:t>
      </w:r>
      <w:r w:rsidR="00700084" w:rsidRPr="00700084">
        <w:rPr>
          <w:rFonts w:ascii="Arial" w:hAnsi="Arial" w:cs="Arial"/>
        </w:rPr>
        <w:t>75% of t</w:t>
      </w:r>
      <w:r w:rsidR="00BC5650" w:rsidRPr="00700084">
        <w:rPr>
          <w:rFonts w:ascii="Arial" w:hAnsi="Arial" w:cs="Arial"/>
          <w:u w:color="373737"/>
        </w:rPr>
        <w:t xml:space="preserve">he </w:t>
      </w:r>
      <w:r w:rsidR="00700084" w:rsidRPr="00700084">
        <w:rPr>
          <w:rFonts w:ascii="Arial" w:hAnsi="Arial" w:cs="Arial"/>
          <w:u w:color="373737"/>
        </w:rPr>
        <w:t xml:space="preserve">common </w:t>
      </w:r>
      <w:r w:rsidR="00BC5650" w:rsidRPr="00700084">
        <w:rPr>
          <w:rFonts w:ascii="Arial" w:hAnsi="Arial" w:cs="Arial"/>
          <w:u w:color="373737"/>
        </w:rPr>
        <w:t>shares will be subject to a hold period expiring four months and one day after the date of issuance</w:t>
      </w:r>
      <w:r w:rsidR="00700084" w:rsidRPr="00700084">
        <w:rPr>
          <w:rFonts w:ascii="Arial" w:hAnsi="Arial" w:cs="Arial"/>
          <w:u w:color="373737"/>
        </w:rPr>
        <w:t xml:space="preserve"> and the remainder will not be subject to a hold period. </w:t>
      </w:r>
    </w:p>
    <w:p w14:paraId="7A79E841" w14:textId="7126CB8C" w:rsidR="00D56741" w:rsidRPr="00700084" w:rsidRDefault="00D56741" w:rsidP="005732E9">
      <w:pPr>
        <w:rPr>
          <w:rFonts w:ascii="Arial" w:hAnsi="Arial" w:cs="Arial"/>
          <w:b/>
          <w14:textOutline w14:w="9525" w14:cap="flat" w14:cmpd="sng" w14:algn="ctr">
            <w14:noFill/>
            <w14:prstDash w14:val="solid"/>
            <w14:round/>
          </w14:textOutline>
        </w:rPr>
      </w:pPr>
      <w:r w:rsidRPr="00700084">
        <w:rPr>
          <w:rFonts w:ascii="Arial" w:hAnsi="Arial" w:cs="Arial"/>
          <w:b/>
          <w14:textOutline w14:w="9525" w14:cap="flat" w14:cmpd="sng" w14:algn="ctr">
            <w14:noFill/>
            <w14:prstDash w14:val="solid"/>
            <w14:round/>
          </w14:textOutline>
        </w:rPr>
        <w:t xml:space="preserve">ABOUT </w:t>
      </w:r>
      <w:r w:rsidR="00700084" w:rsidRPr="00700084">
        <w:rPr>
          <w:rFonts w:ascii="Arial" w:hAnsi="Arial" w:cs="Arial"/>
          <w:b/>
          <w14:textOutline w14:w="9525" w14:cap="flat" w14:cmpd="sng" w14:algn="ctr">
            <w14:noFill/>
            <w14:prstDash w14:val="solid"/>
            <w14:round/>
          </w14:textOutline>
        </w:rPr>
        <w:t>VICE HEALTH AND WELLNES</w:t>
      </w:r>
    </w:p>
    <w:p w14:paraId="087EB19D" w14:textId="77777777" w:rsidR="00700084" w:rsidRPr="00700084" w:rsidRDefault="00700084" w:rsidP="00700084">
      <w:pPr>
        <w:pStyle w:val="TextJustified"/>
      </w:pPr>
      <w:r w:rsidRPr="00700084">
        <w:t xml:space="preserve">Vice Health and Wellness Inc. is a dynamic publicly traded company dedicated to fostering healthier lifestyle choices by offering a diverse range of products that empower consumers to enhance their mental and physical well-being. As an ever-growing community of like-minded individuals and organizations, we believe in the power of collective small steps leading to remarkable transformations. Our product line features low-sugar, plant-based gummy products, and we are actively spearheading innovations in alignment with emerging trends in the health and wellness sector. By prioritizing weight loss and harnessing the potential of AI-powered health and wellness applications, which leverage state-of-the-art artificial intelligence algorithms, we aim to provide individuals with unparalleled advice, personalized recommendations, unwavering support, and transformative solutions on their journey to ultimate well-being. Our exceptional applications intend to offer a multitude of treatment benefits, empowering users to embark on a transformative path toward optimal health. </w:t>
      </w:r>
    </w:p>
    <w:p w14:paraId="2FAE638E" w14:textId="3C5C60E1" w:rsidR="00BD4DCF" w:rsidRPr="00700084" w:rsidRDefault="00700084" w:rsidP="00BD4DCF">
      <w:pPr>
        <w:spacing w:line="240" w:lineRule="auto"/>
        <w:contextualSpacing/>
        <w:rPr>
          <w:rFonts w:ascii="Arial" w:hAnsi="Arial" w:cs="Arial"/>
        </w:rPr>
      </w:pPr>
      <w:r w:rsidRPr="00700084">
        <w:rPr>
          <w:rFonts w:ascii="Arial" w:hAnsi="Arial" w:cs="Arial"/>
        </w:rPr>
        <w:t>Maciej Lis</w:t>
      </w:r>
      <w:r w:rsidR="00BD4DCF" w:rsidRPr="00700084">
        <w:rPr>
          <w:rFonts w:ascii="Arial" w:hAnsi="Arial" w:cs="Arial"/>
        </w:rPr>
        <w:t xml:space="preserve">, President &amp; CEO, Director </w:t>
      </w:r>
    </w:p>
    <w:p w14:paraId="502DF8A8" w14:textId="77777777" w:rsidR="00BD4DCF" w:rsidRPr="00700084" w:rsidRDefault="00BD4DCF" w:rsidP="00BD4DCF">
      <w:pPr>
        <w:spacing w:line="240" w:lineRule="auto"/>
        <w:contextualSpacing/>
        <w:rPr>
          <w:rFonts w:ascii="Arial" w:hAnsi="Arial" w:cs="Arial"/>
        </w:rPr>
      </w:pPr>
      <w:r w:rsidRPr="00700084">
        <w:rPr>
          <w:rFonts w:ascii="Arial" w:hAnsi="Arial" w:cs="Arial"/>
        </w:rPr>
        <w:t xml:space="preserve">Telephone: 1(236) 317-2812 - Toll free 1(888) 556-9656 </w:t>
      </w:r>
    </w:p>
    <w:p w14:paraId="0EA9161B" w14:textId="604BD857" w:rsidR="00BD4DCF" w:rsidRPr="00700084" w:rsidRDefault="00BD4DCF" w:rsidP="00BD4DCF">
      <w:pPr>
        <w:spacing w:line="240" w:lineRule="auto"/>
        <w:contextualSpacing/>
        <w:rPr>
          <w:rFonts w:ascii="Arial" w:hAnsi="Arial" w:cs="Arial"/>
        </w:rPr>
      </w:pPr>
      <w:r w:rsidRPr="00700084">
        <w:rPr>
          <w:rFonts w:ascii="Arial" w:hAnsi="Arial" w:cs="Arial"/>
        </w:rPr>
        <w:t xml:space="preserve">E-mail: </w:t>
      </w:r>
      <w:r w:rsidR="00700084">
        <w:rPr>
          <w:rFonts w:ascii="Arial" w:hAnsi="Arial" w:cs="Arial"/>
        </w:rPr>
        <w:t>info@vice.health</w:t>
      </w:r>
      <w:r w:rsidRPr="00700084">
        <w:rPr>
          <w:rFonts w:ascii="Arial" w:hAnsi="Arial" w:cs="Arial"/>
        </w:rPr>
        <w:t xml:space="preserve"> </w:t>
      </w:r>
    </w:p>
    <w:p w14:paraId="07C1D1D2" w14:textId="1068D704" w:rsidR="00BD4DCF" w:rsidRPr="00700084" w:rsidRDefault="00BD4DCF" w:rsidP="00BD4DCF">
      <w:pPr>
        <w:spacing w:line="240" w:lineRule="auto"/>
        <w:contextualSpacing/>
        <w:rPr>
          <w:rFonts w:ascii="Arial" w:hAnsi="Arial" w:cs="Arial"/>
        </w:rPr>
      </w:pPr>
      <w:r w:rsidRPr="00700084">
        <w:rPr>
          <w:rFonts w:ascii="Arial" w:hAnsi="Arial" w:cs="Arial"/>
        </w:rPr>
        <w:t xml:space="preserve"> </w:t>
      </w:r>
    </w:p>
    <w:p w14:paraId="1E45DC35" w14:textId="77777777" w:rsidR="0073256F" w:rsidRPr="00700084" w:rsidRDefault="0073256F" w:rsidP="0073256F">
      <w:pPr>
        <w:spacing w:line="240" w:lineRule="auto"/>
        <w:contextualSpacing/>
        <w:rPr>
          <w:rFonts w:ascii="Arial" w:hAnsi="Arial" w:cs="Arial"/>
        </w:rPr>
      </w:pPr>
      <w:r w:rsidRPr="00700084">
        <w:rPr>
          <w:rFonts w:ascii="Arial" w:hAnsi="Arial" w:cs="Arial"/>
        </w:rPr>
        <w:t>Neither the Canadian Securities Exchange nor its Regulation Services Provider (as that term is defined in the policies of the Canadian Securities Exchange) accepts responsibility for the adequacy or accuracy of this release.</w:t>
      </w:r>
    </w:p>
    <w:p w14:paraId="0BA169BA" w14:textId="77777777" w:rsidR="0073256F" w:rsidRPr="00700084" w:rsidRDefault="0073256F" w:rsidP="0073256F">
      <w:pPr>
        <w:spacing w:line="240" w:lineRule="auto"/>
        <w:contextualSpacing/>
        <w:rPr>
          <w:rFonts w:ascii="Arial" w:hAnsi="Arial" w:cs="Arial"/>
        </w:rPr>
      </w:pPr>
    </w:p>
    <w:p w14:paraId="49092F97" w14:textId="77777777" w:rsidR="00700084" w:rsidRPr="00700084" w:rsidRDefault="00700084" w:rsidP="00700084">
      <w:pPr>
        <w:contextualSpacing/>
        <w:jc w:val="both"/>
        <w:rPr>
          <w:rFonts w:ascii="Arial" w:hAnsi="Arial" w:cs="Arial"/>
          <w:b/>
          <w:bCs/>
        </w:rPr>
      </w:pPr>
      <w:r w:rsidRPr="00700084">
        <w:rPr>
          <w:rFonts w:ascii="Arial" w:hAnsi="Arial" w:cs="Arial"/>
          <w:b/>
          <w:bCs/>
        </w:rPr>
        <w:t>Forward Looking Statements</w:t>
      </w:r>
    </w:p>
    <w:p w14:paraId="0073896E" w14:textId="77777777" w:rsidR="00700084" w:rsidRPr="00700084" w:rsidRDefault="00700084" w:rsidP="00700084">
      <w:pPr>
        <w:contextualSpacing/>
        <w:jc w:val="both"/>
        <w:rPr>
          <w:rFonts w:ascii="Arial" w:hAnsi="Arial" w:cs="Arial"/>
          <w:b/>
          <w:bCs/>
        </w:rPr>
      </w:pPr>
    </w:p>
    <w:p w14:paraId="6B6BDEB5" w14:textId="77777777" w:rsidR="00700084" w:rsidRPr="00700084" w:rsidRDefault="00700084" w:rsidP="00700084">
      <w:pPr>
        <w:autoSpaceDE w:val="0"/>
        <w:autoSpaceDN w:val="0"/>
        <w:adjustRightInd w:val="0"/>
        <w:snapToGrid w:val="0"/>
        <w:spacing w:before="228"/>
        <w:ind w:left="1"/>
        <w:jc w:val="both"/>
        <w:rPr>
          <w:rFonts w:ascii="Arial" w:hAnsi="Arial" w:cs="Arial"/>
        </w:rPr>
      </w:pPr>
      <w:r w:rsidRPr="00700084">
        <w:rPr>
          <w:rFonts w:ascii="Arial" w:hAnsi="Arial" w:cs="Arial"/>
          <w:spacing w:val="-1"/>
        </w:rPr>
        <w:t>Certain</w:t>
      </w:r>
      <w:r w:rsidRPr="00700084">
        <w:rPr>
          <w:rFonts w:ascii="Arial" w:hAnsi="Arial" w:cs="Arial"/>
          <w:spacing w:val="32"/>
        </w:rPr>
        <w:t xml:space="preserve"> </w:t>
      </w:r>
      <w:r w:rsidRPr="00700084">
        <w:rPr>
          <w:rFonts w:ascii="Arial" w:hAnsi="Arial" w:cs="Arial"/>
          <w:spacing w:val="-1"/>
        </w:rPr>
        <w:t>infor</w:t>
      </w:r>
      <w:r w:rsidRPr="00700084">
        <w:rPr>
          <w:rFonts w:ascii="Arial" w:hAnsi="Arial" w:cs="Arial"/>
        </w:rPr>
        <w:t>mation</w:t>
      </w:r>
      <w:r w:rsidRPr="00700084">
        <w:rPr>
          <w:rFonts w:ascii="Arial" w:hAnsi="Arial" w:cs="Arial"/>
          <w:spacing w:val="33"/>
        </w:rPr>
        <w:t xml:space="preserve"> </w:t>
      </w:r>
      <w:r w:rsidRPr="00700084">
        <w:rPr>
          <w:rFonts w:ascii="Arial" w:hAnsi="Arial" w:cs="Arial"/>
        </w:rPr>
        <w:t>set</w:t>
      </w:r>
      <w:r w:rsidRPr="00700084">
        <w:rPr>
          <w:rFonts w:ascii="Arial" w:hAnsi="Arial" w:cs="Arial"/>
          <w:spacing w:val="33"/>
        </w:rPr>
        <w:t xml:space="preserve"> </w:t>
      </w:r>
      <w:r w:rsidRPr="00700084">
        <w:rPr>
          <w:rFonts w:ascii="Arial" w:hAnsi="Arial" w:cs="Arial"/>
        </w:rPr>
        <w:t>forth</w:t>
      </w:r>
      <w:r w:rsidRPr="00700084">
        <w:rPr>
          <w:rFonts w:ascii="Arial" w:hAnsi="Arial" w:cs="Arial"/>
          <w:spacing w:val="33"/>
        </w:rPr>
        <w:t xml:space="preserve"> </w:t>
      </w:r>
      <w:r w:rsidRPr="00700084">
        <w:rPr>
          <w:rFonts w:ascii="Arial" w:hAnsi="Arial" w:cs="Arial"/>
        </w:rPr>
        <w:t>in</w:t>
      </w:r>
      <w:r w:rsidRPr="00700084">
        <w:rPr>
          <w:rFonts w:ascii="Arial" w:hAnsi="Arial" w:cs="Arial"/>
          <w:spacing w:val="33"/>
        </w:rPr>
        <w:t xml:space="preserve"> </w:t>
      </w:r>
      <w:r w:rsidRPr="00700084">
        <w:rPr>
          <w:rFonts w:ascii="Arial" w:hAnsi="Arial" w:cs="Arial"/>
        </w:rPr>
        <w:t>this</w:t>
      </w:r>
      <w:r w:rsidRPr="00700084">
        <w:rPr>
          <w:rFonts w:ascii="Arial" w:hAnsi="Arial" w:cs="Arial"/>
          <w:spacing w:val="33"/>
        </w:rPr>
        <w:t xml:space="preserve"> </w:t>
      </w:r>
      <w:r w:rsidRPr="00700084">
        <w:rPr>
          <w:rFonts w:ascii="Arial" w:hAnsi="Arial" w:cs="Arial"/>
        </w:rPr>
        <w:t>news</w:t>
      </w:r>
      <w:r w:rsidRPr="00700084">
        <w:rPr>
          <w:rFonts w:ascii="Arial" w:hAnsi="Arial" w:cs="Arial"/>
          <w:spacing w:val="33"/>
        </w:rPr>
        <w:t xml:space="preserve"> </w:t>
      </w:r>
      <w:r w:rsidRPr="00700084">
        <w:rPr>
          <w:rFonts w:ascii="Arial" w:hAnsi="Arial" w:cs="Arial"/>
        </w:rPr>
        <w:t>release</w:t>
      </w:r>
      <w:r w:rsidRPr="00700084">
        <w:rPr>
          <w:rFonts w:ascii="Arial" w:hAnsi="Arial" w:cs="Arial"/>
          <w:spacing w:val="33"/>
        </w:rPr>
        <w:t xml:space="preserve"> </w:t>
      </w:r>
      <w:r w:rsidRPr="00700084">
        <w:rPr>
          <w:rFonts w:ascii="Arial" w:hAnsi="Arial" w:cs="Arial"/>
        </w:rPr>
        <w:t>may</w:t>
      </w:r>
      <w:r w:rsidRPr="00700084">
        <w:rPr>
          <w:rFonts w:ascii="Arial" w:hAnsi="Arial" w:cs="Arial"/>
          <w:spacing w:val="33"/>
        </w:rPr>
        <w:t xml:space="preserve"> </w:t>
      </w:r>
      <w:r w:rsidRPr="00700084">
        <w:rPr>
          <w:rFonts w:ascii="Arial" w:hAnsi="Arial" w:cs="Arial"/>
        </w:rPr>
        <w:t>contain</w:t>
      </w:r>
      <w:r w:rsidRPr="00700084">
        <w:rPr>
          <w:rFonts w:ascii="Arial" w:hAnsi="Arial" w:cs="Arial"/>
          <w:spacing w:val="33"/>
        </w:rPr>
        <w:t xml:space="preserve"> </w:t>
      </w:r>
      <w:r w:rsidRPr="00700084">
        <w:rPr>
          <w:rFonts w:ascii="Arial" w:hAnsi="Arial" w:cs="Arial"/>
        </w:rPr>
        <w:t>forward-looking</w:t>
      </w:r>
      <w:r w:rsidRPr="00700084">
        <w:rPr>
          <w:rFonts w:ascii="Arial" w:hAnsi="Arial" w:cs="Arial"/>
          <w:spacing w:val="33"/>
        </w:rPr>
        <w:t xml:space="preserve"> </w:t>
      </w:r>
      <w:r w:rsidRPr="00700084">
        <w:rPr>
          <w:rFonts w:ascii="Arial" w:hAnsi="Arial" w:cs="Arial"/>
        </w:rPr>
        <w:t>statements</w:t>
      </w:r>
      <w:r w:rsidRPr="00700084">
        <w:rPr>
          <w:rFonts w:ascii="Arial" w:hAnsi="Arial" w:cs="Arial"/>
          <w:spacing w:val="33"/>
        </w:rPr>
        <w:t xml:space="preserve"> </w:t>
      </w:r>
      <w:r w:rsidRPr="00700084">
        <w:rPr>
          <w:rFonts w:ascii="Arial" w:hAnsi="Arial" w:cs="Arial"/>
        </w:rPr>
        <w:t>that</w:t>
      </w:r>
      <w:r w:rsidRPr="00700084">
        <w:rPr>
          <w:rFonts w:ascii="Arial" w:hAnsi="Arial" w:cs="Arial"/>
          <w:spacing w:val="36"/>
        </w:rPr>
        <w:t xml:space="preserve"> </w:t>
      </w:r>
      <w:r w:rsidRPr="00700084">
        <w:rPr>
          <w:rFonts w:ascii="Arial" w:hAnsi="Arial" w:cs="Arial"/>
        </w:rPr>
        <w:t xml:space="preserve">involve </w:t>
      </w:r>
      <w:r w:rsidRPr="00700084">
        <w:rPr>
          <w:rFonts w:ascii="Arial" w:hAnsi="Arial" w:cs="Arial"/>
          <w:spacing w:val="-1"/>
        </w:rPr>
        <w:t>subst</w:t>
      </w:r>
      <w:r w:rsidRPr="00700084">
        <w:rPr>
          <w:rFonts w:ascii="Arial" w:hAnsi="Arial" w:cs="Arial"/>
        </w:rPr>
        <w:t xml:space="preserve">antial known and unknown risks and uncertainties. All statements other than </w:t>
      </w:r>
      <w:r w:rsidRPr="00700084">
        <w:rPr>
          <w:rFonts w:ascii="Arial" w:hAnsi="Arial" w:cs="Arial"/>
        </w:rPr>
        <w:lastRenderedPageBreak/>
        <w:t>statements of historical fact are forward-looking statements, including, without limitation, statements regarding future financial position,</w:t>
      </w:r>
      <w:r w:rsidRPr="00700084">
        <w:rPr>
          <w:rFonts w:ascii="Arial" w:hAnsi="Arial" w:cs="Arial"/>
          <w:spacing w:val="12"/>
        </w:rPr>
        <w:t xml:space="preserve"> </w:t>
      </w:r>
      <w:r w:rsidRPr="00700084">
        <w:rPr>
          <w:rFonts w:ascii="Arial" w:hAnsi="Arial" w:cs="Arial"/>
        </w:rPr>
        <w:t>business</w:t>
      </w:r>
      <w:r w:rsidRPr="00700084">
        <w:rPr>
          <w:rFonts w:ascii="Arial" w:hAnsi="Arial" w:cs="Arial"/>
          <w:spacing w:val="12"/>
        </w:rPr>
        <w:t xml:space="preserve"> </w:t>
      </w:r>
      <w:r w:rsidRPr="00700084">
        <w:rPr>
          <w:rFonts w:ascii="Arial" w:hAnsi="Arial" w:cs="Arial"/>
        </w:rPr>
        <w:t>strategy,</w:t>
      </w:r>
      <w:r w:rsidRPr="00700084">
        <w:rPr>
          <w:rFonts w:ascii="Arial" w:hAnsi="Arial" w:cs="Arial"/>
          <w:spacing w:val="12"/>
        </w:rPr>
        <w:t xml:space="preserve"> </w:t>
      </w:r>
      <w:r w:rsidRPr="00700084">
        <w:rPr>
          <w:rFonts w:ascii="Arial" w:hAnsi="Arial" w:cs="Arial"/>
        </w:rPr>
        <w:t>use</w:t>
      </w:r>
      <w:r w:rsidRPr="00700084">
        <w:rPr>
          <w:rFonts w:ascii="Arial" w:hAnsi="Arial" w:cs="Arial"/>
          <w:spacing w:val="12"/>
        </w:rPr>
        <w:t xml:space="preserve"> </w:t>
      </w:r>
      <w:r w:rsidRPr="00700084">
        <w:rPr>
          <w:rFonts w:ascii="Arial" w:hAnsi="Arial" w:cs="Arial"/>
        </w:rPr>
        <w:t>of</w:t>
      </w:r>
      <w:r w:rsidRPr="00700084">
        <w:rPr>
          <w:rFonts w:ascii="Arial" w:hAnsi="Arial" w:cs="Arial"/>
          <w:spacing w:val="12"/>
        </w:rPr>
        <w:t xml:space="preserve"> </w:t>
      </w:r>
      <w:r w:rsidRPr="00700084">
        <w:rPr>
          <w:rFonts w:ascii="Arial" w:hAnsi="Arial" w:cs="Arial"/>
        </w:rPr>
        <w:t>proceeds,</w:t>
      </w:r>
      <w:r w:rsidRPr="00700084">
        <w:rPr>
          <w:rFonts w:ascii="Arial" w:hAnsi="Arial" w:cs="Arial"/>
          <w:spacing w:val="12"/>
        </w:rPr>
        <w:t xml:space="preserve"> </w:t>
      </w:r>
      <w:r w:rsidRPr="00700084">
        <w:rPr>
          <w:rFonts w:ascii="Arial" w:hAnsi="Arial" w:cs="Arial"/>
        </w:rPr>
        <w:t>corporate</w:t>
      </w:r>
      <w:r w:rsidRPr="00700084">
        <w:rPr>
          <w:rFonts w:ascii="Arial" w:hAnsi="Arial" w:cs="Arial"/>
          <w:spacing w:val="12"/>
        </w:rPr>
        <w:t xml:space="preserve"> </w:t>
      </w:r>
      <w:r w:rsidRPr="00700084">
        <w:rPr>
          <w:rFonts w:ascii="Arial" w:hAnsi="Arial" w:cs="Arial"/>
        </w:rPr>
        <w:t>vision,</w:t>
      </w:r>
      <w:r w:rsidRPr="00700084">
        <w:rPr>
          <w:rFonts w:ascii="Arial" w:hAnsi="Arial" w:cs="Arial"/>
          <w:spacing w:val="12"/>
        </w:rPr>
        <w:t xml:space="preserve"> </w:t>
      </w:r>
      <w:r w:rsidRPr="00700084">
        <w:rPr>
          <w:rFonts w:ascii="Arial" w:hAnsi="Arial" w:cs="Arial"/>
        </w:rPr>
        <w:t>proposed</w:t>
      </w:r>
      <w:r w:rsidRPr="00700084">
        <w:rPr>
          <w:rFonts w:ascii="Arial" w:hAnsi="Arial" w:cs="Arial"/>
          <w:spacing w:val="12"/>
        </w:rPr>
        <w:t xml:space="preserve"> </w:t>
      </w:r>
      <w:r w:rsidRPr="00700084">
        <w:rPr>
          <w:rFonts w:ascii="Arial" w:hAnsi="Arial" w:cs="Arial"/>
        </w:rPr>
        <w:t>acquisitions,</w:t>
      </w:r>
      <w:r w:rsidRPr="00700084">
        <w:rPr>
          <w:rFonts w:ascii="Arial" w:hAnsi="Arial" w:cs="Arial"/>
          <w:spacing w:val="12"/>
        </w:rPr>
        <w:t xml:space="preserve"> </w:t>
      </w:r>
      <w:r w:rsidRPr="00700084">
        <w:rPr>
          <w:rFonts w:ascii="Arial" w:hAnsi="Arial" w:cs="Arial"/>
        </w:rPr>
        <w:t>partnerships,</w:t>
      </w:r>
      <w:r w:rsidRPr="00700084">
        <w:rPr>
          <w:rFonts w:ascii="Arial" w:hAnsi="Arial" w:cs="Arial"/>
          <w:spacing w:val="12"/>
        </w:rPr>
        <w:t xml:space="preserve"> </w:t>
      </w:r>
      <w:r w:rsidRPr="00700084">
        <w:rPr>
          <w:rFonts w:ascii="Arial" w:hAnsi="Arial" w:cs="Arial"/>
        </w:rPr>
        <w:t>joint- ventures and strategic alliances and co-operations, budgets, cost and</w:t>
      </w:r>
      <w:r w:rsidRPr="00700084">
        <w:rPr>
          <w:rFonts w:ascii="Arial" w:hAnsi="Arial" w:cs="Arial"/>
          <w:spacing w:val="7"/>
        </w:rPr>
        <w:t xml:space="preserve"> </w:t>
      </w:r>
      <w:r w:rsidRPr="00700084">
        <w:rPr>
          <w:rFonts w:ascii="Arial" w:hAnsi="Arial" w:cs="Arial"/>
        </w:rPr>
        <w:t>plans and</w:t>
      </w:r>
      <w:r w:rsidRPr="00700084">
        <w:rPr>
          <w:rFonts w:ascii="Arial" w:hAnsi="Arial" w:cs="Arial"/>
          <w:spacing w:val="7"/>
        </w:rPr>
        <w:t xml:space="preserve"> </w:t>
      </w:r>
      <w:r w:rsidRPr="00700084">
        <w:rPr>
          <w:rFonts w:ascii="Arial" w:hAnsi="Arial" w:cs="Arial"/>
        </w:rPr>
        <w:t xml:space="preserve">objectives of or involving the Company. Such forward-looking information reflects management’s current beliefs and is based on information currently available to management. Often, but not always, forward-looking statements can be </w:t>
      </w:r>
      <w:r w:rsidRPr="00700084">
        <w:rPr>
          <w:rFonts w:ascii="Arial" w:hAnsi="Arial" w:cs="Arial"/>
          <w:spacing w:val="-1"/>
        </w:rPr>
        <w:t>identified by</w:t>
      </w:r>
      <w:r w:rsidRPr="00700084">
        <w:rPr>
          <w:rFonts w:ascii="Arial" w:hAnsi="Arial" w:cs="Arial"/>
          <w:spacing w:val="-6"/>
        </w:rPr>
        <w:t xml:space="preserve"> </w:t>
      </w:r>
      <w:r w:rsidRPr="00700084">
        <w:rPr>
          <w:rFonts w:ascii="Arial" w:hAnsi="Arial" w:cs="Arial"/>
          <w:spacing w:val="-1"/>
        </w:rPr>
        <w:t>the use of</w:t>
      </w:r>
      <w:r w:rsidRPr="00700084">
        <w:rPr>
          <w:rFonts w:ascii="Arial" w:hAnsi="Arial" w:cs="Arial"/>
          <w:spacing w:val="-6"/>
        </w:rPr>
        <w:t xml:space="preserve"> </w:t>
      </w:r>
      <w:r w:rsidRPr="00700084">
        <w:rPr>
          <w:rFonts w:ascii="Arial" w:hAnsi="Arial" w:cs="Arial"/>
          <w:spacing w:val="-1"/>
        </w:rPr>
        <w:t>words</w:t>
      </w:r>
      <w:r w:rsidRPr="00700084">
        <w:rPr>
          <w:rFonts w:ascii="Arial" w:hAnsi="Arial" w:cs="Arial"/>
          <w:spacing w:val="-6"/>
        </w:rPr>
        <w:t xml:space="preserve"> </w:t>
      </w:r>
      <w:r w:rsidRPr="00700084">
        <w:rPr>
          <w:rFonts w:ascii="Arial" w:hAnsi="Arial" w:cs="Arial"/>
          <w:spacing w:val="-1"/>
        </w:rPr>
        <w:t>such as</w:t>
      </w:r>
      <w:r w:rsidRPr="00700084">
        <w:rPr>
          <w:rFonts w:ascii="Arial" w:hAnsi="Arial" w:cs="Arial"/>
          <w:spacing w:val="-6"/>
        </w:rPr>
        <w:t xml:space="preserve"> </w:t>
      </w:r>
      <w:r w:rsidRPr="00700084">
        <w:rPr>
          <w:rFonts w:ascii="Arial" w:hAnsi="Arial" w:cs="Arial"/>
          <w:spacing w:val="-1"/>
        </w:rPr>
        <w:t>“plans”,</w:t>
      </w:r>
      <w:r w:rsidRPr="00700084">
        <w:rPr>
          <w:rFonts w:ascii="Arial" w:hAnsi="Arial" w:cs="Arial"/>
          <w:spacing w:val="-6"/>
        </w:rPr>
        <w:t xml:space="preserve"> </w:t>
      </w:r>
      <w:r w:rsidRPr="00700084">
        <w:rPr>
          <w:rFonts w:ascii="Arial" w:hAnsi="Arial" w:cs="Arial"/>
          <w:spacing w:val="-1"/>
        </w:rPr>
        <w:t>“expects”,</w:t>
      </w:r>
      <w:r w:rsidRPr="00700084">
        <w:rPr>
          <w:rFonts w:ascii="Arial" w:hAnsi="Arial" w:cs="Arial"/>
          <w:spacing w:val="-6"/>
        </w:rPr>
        <w:t xml:space="preserve"> </w:t>
      </w:r>
      <w:r w:rsidRPr="00700084">
        <w:rPr>
          <w:rFonts w:ascii="Arial" w:hAnsi="Arial" w:cs="Arial"/>
          <w:spacing w:val="-1"/>
        </w:rPr>
        <w:t>“is</w:t>
      </w:r>
      <w:r w:rsidRPr="00700084">
        <w:rPr>
          <w:rFonts w:ascii="Arial" w:hAnsi="Arial" w:cs="Arial"/>
          <w:spacing w:val="-6"/>
        </w:rPr>
        <w:t xml:space="preserve"> </w:t>
      </w:r>
      <w:r w:rsidRPr="00700084">
        <w:rPr>
          <w:rFonts w:ascii="Arial" w:hAnsi="Arial" w:cs="Arial"/>
          <w:spacing w:val="-1"/>
        </w:rPr>
        <w:t>expec</w:t>
      </w:r>
      <w:r w:rsidRPr="00700084">
        <w:rPr>
          <w:rFonts w:ascii="Arial" w:hAnsi="Arial" w:cs="Arial"/>
        </w:rPr>
        <w:t>ted”,</w:t>
      </w:r>
      <w:r w:rsidRPr="00700084">
        <w:rPr>
          <w:rFonts w:ascii="Arial" w:hAnsi="Arial" w:cs="Arial"/>
          <w:spacing w:val="-5"/>
        </w:rPr>
        <w:t xml:space="preserve"> </w:t>
      </w:r>
      <w:r w:rsidRPr="00700084">
        <w:rPr>
          <w:rFonts w:ascii="Arial" w:hAnsi="Arial" w:cs="Arial"/>
        </w:rPr>
        <w:t>“budget”, “scheduled”,</w:t>
      </w:r>
      <w:r w:rsidRPr="00700084">
        <w:rPr>
          <w:rFonts w:ascii="Arial" w:hAnsi="Arial" w:cs="Arial"/>
          <w:spacing w:val="-5"/>
        </w:rPr>
        <w:t xml:space="preserve"> </w:t>
      </w:r>
      <w:r w:rsidRPr="00700084">
        <w:rPr>
          <w:rFonts w:ascii="Arial" w:hAnsi="Arial" w:cs="Arial"/>
        </w:rPr>
        <w:t xml:space="preserve">“estimates”, “forecasts”, “predicts”, “intends”, “targets”, “aims”, “anticipates” or “believes” or variations (including </w:t>
      </w:r>
      <w:r w:rsidRPr="00700084">
        <w:rPr>
          <w:rFonts w:ascii="Arial" w:hAnsi="Arial" w:cs="Arial"/>
          <w:spacing w:val="-1"/>
        </w:rPr>
        <w:t>negative</w:t>
      </w:r>
      <w:r w:rsidRPr="00700084">
        <w:rPr>
          <w:rFonts w:ascii="Arial" w:hAnsi="Arial" w:cs="Arial"/>
          <w:spacing w:val="-6"/>
        </w:rPr>
        <w:t xml:space="preserve"> </w:t>
      </w:r>
      <w:r w:rsidRPr="00700084">
        <w:rPr>
          <w:rFonts w:ascii="Arial" w:hAnsi="Arial" w:cs="Arial"/>
          <w:spacing w:val="-1"/>
        </w:rPr>
        <w:t>variations)</w:t>
      </w:r>
      <w:r w:rsidRPr="00700084">
        <w:rPr>
          <w:rFonts w:ascii="Arial" w:hAnsi="Arial" w:cs="Arial"/>
          <w:spacing w:val="-6"/>
        </w:rPr>
        <w:t xml:space="preserve"> </w:t>
      </w:r>
      <w:r w:rsidRPr="00700084">
        <w:rPr>
          <w:rFonts w:ascii="Arial" w:hAnsi="Arial" w:cs="Arial"/>
          <w:spacing w:val="-1"/>
        </w:rPr>
        <w:t>o</w:t>
      </w:r>
      <w:r w:rsidRPr="00700084">
        <w:rPr>
          <w:rFonts w:ascii="Arial" w:hAnsi="Arial" w:cs="Arial"/>
        </w:rPr>
        <w:t>f</w:t>
      </w:r>
      <w:r w:rsidRPr="00700084">
        <w:rPr>
          <w:rFonts w:ascii="Arial" w:hAnsi="Arial" w:cs="Arial"/>
          <w:spacing w:val="-5"/>
        </w:rPr>
        <w:t xml:space="preserve"> </w:t>
      </w:r>
      <w:r w:rsidRPr="00700084">
        <w:rPr>
          <w:rFonts w:ascii="Arial" w:hAnsi="Arial" w:cs="Arial"/>
        </w:rPr>
        <w:t>such</w:t>
      </w:r>
      <w:r w:rsidRPr="00700084">
        <w:rPr>
          <w:rFonts w:ascii="Arial" w:hAnsi="Arial" w:cs="Arial"/>
          <w:spacing w:val="-5"/>
        </w:rPr>
        <w:t xml:space="preserve"> </w:t>
      </w:r>
      <w:r w:rsidRPr="00700084">
        <w:rPr>
          <w:rFonts w:ascii="Arial" w:hAnsi="Arial" w:cs="Arial"/>
        </w:rPr>
        <w:t>words and</w:t>
      </w:r>
      <w:r w:rsidRPr="00700084">
        <w:rPr>
          <w:rFonts w:ascii="Arial" w:hAnsi="Arial" w:cs="Arial"/>
          <w:spacing w:val="-5"/>
        </w:rPr>
        <w:t xml:space="preserve"> </w:t>
      </w:r>
      <w:r w:rsidRPr="00700084">
        <w:rPr>
          <w:rFonts w:ascii="Arial" w:hAnsi="Arial" w:cs="Arial"/>
        </w:rPr>
        <w:t>phrases</w:t>
      </w:r>
      <w:r w:rsidRPr="00700084">
        <w:rPr>
          <w:rFonts w:ascii="Arial" w:hAnsi="Arial" w:cs="Arial"/>
          <w:spacing w:val="-5"/>
        </w:rPr>
        <w:t xml:space="preserve"> </w:t>
      </w:r>
      <w:r w:rsidRPr="00700084">
        <w:rPr>
          <w:rFonts w:ascii="Arial" w:hAnsi="Arial" w:cs="Arial"/>
        </w:rPr>
        <w:t>or may be identified by</w:t>
      </w:r>
      <w:r w:rsidRPr="00700084">
        <w:rPr>
          <w:rFonts w:ascii="Arial" w:hAnsi="Arial" w:cs="Arial"/>
          <w:spacing w:val="-5"/>
        </w:rPr>
        <w:t xml:space="preserve"> </w:t>
      </w:r>
      <w:r w:rsidRPr="00700084">
        <w:rPr>
          <w:rFonts w:ascii="Arial" w:hAnsi="Arial" w:cs="Arial"/>
        </w:rPr>
        <w:t>statements to</w:t>
      </w:r>
      <w:r w:rsidRPr="00700084">
        <w:rPr>
          <w:rFonts w:ascii="Arial" w:hAnsi="Arial" w:cs="Arial"/>
          <w:spacing w:val="-5"/>
        </w:rPr>
        <w:t xml:space="preserve"> </w:t>
      </w:r>
      <w:r w:rsidRPr="00700084">
        <w:rPr>
          <w:rFonts w:ascii="Arial" w:hAnsi="Arial" w:cs="Arial"/>
        </w:rPr>
        <w:t>the effect</w:t>
      </w:r>
      <w:r w:rsidRPr="00700084">
        <w:rPr>
          <w:rFonts w:ascii="Arial" w:hAnsi="Arial" w:cs="Arial"/>
          <w:spacing w:val="-5"/>
        </w:rPr>
        <w:t xml:space="preserve"> </w:t>
      </w:r>
      <w:r w:rsidRPr="00700084">
        <w:rPr>
          <w:rFonts w:ascii="Arial" w:hAnsi="Arial" w:cs="Arial"/>
        </w:rPr>
        <w:t>that</w:t>
      </w:r>
      <w:r w:rsidRPr="00700084">
        <w:rPr>
          <w:rFonts w:ascii="Arial" w:hAnsi="Arial" w:cs="Arial"/>
          <w:spacing w:val="-5"/>
        </w:rPr>
        <w:t xml:space="preserve"> </w:t>
      </w:r>
      <w:r w:rsidRPr="00700084">
        <w:rPr>
          <w:rFonts w:ascii="Arial" w:hAnsi="Arial" w:cs="Arial"/>
        </w:rPr>
        <w:t>certain actions</w:t>
      </w:r>
      <w:r w:rsidRPr="00700084">
        <w:rPr>
          <w:rFonts w:ascii="Arial" w:hAnsi="Arial" w:cs="Arial"/>
          <w:spacing w:val="16"/>
        </w:rPr>
        <w:t xml:space="preserve"> </w:t>
      </w:r>
      <w:r w:rsidRPr="00700084">
        <w:rPr>
          <w:rFonts w:ascii="Arial" w:hAnsi="Arial" w:cs="Arial"/>
        </w:rPr>
        <w:t>“may”,</w:t>
      </w:r>
      <w:r w:rsidRPr="00700084">
        <w:rPr>
          <w:rFonts w:ascii="Arial" w:hAnsi="Arial" w:cs="Arial"/>
          <w:spacing w:val="16"/>
        </w:rPr>
        <w:t xml:space="preserve"> </w:t>
      </w:r>
      <w:r w:rsidRPr="00700084">
        <w:rPr>
          <w:rFonts w:ascii="Arial" w:hAnsi="Arial" w:cs="Arial"/>
        </w:rPr>
        <w:t>“could”,</w:t>
      </w:r>
      <w:r w:rsidRPr="00700084">
        <w:rPr>
          <w:rFonts w:ascii="Arial" w:hAnsi="Arial" w:cs="Arial"/>
          <w:spacing w:val="16"/>
        </w:rPr>
        <w:t xml:space="preserve"> </w:t>
      </w:r>
      <w:r w:rsidRPr="00700084">
        <w:rPr>
          <w:rFonts w:ascii="Arial" w:hAnsi="Arial" w:cs="Arial"/>
        </w:rPr>
        <w:t>“should”,</w:t>
      </w:r>
      <w:r w:rsidRPr="00700084">
        <w:rPr>
          <w:rFonts w:ascii="Arial" w:hAnsi="Arial" w:cs="Arial"/>
          <w:spacing w:val="16"/>
        </w:rPr>
        <w:t xml:space="preserve"> </w:t>
      </w:r>
      <w:r w:rsidRPr="00700084">
        <w:rPr>
          <w:rFonts w:ascii="Arial" w:hAnsi="Arial" w:cs="Arial"/>
        </w:rPr>
        <w:t>“would”,</w:t>
      </w:r>
      <w:r w:rsidRPr="00700084">
        <w:rPr>
          <w:rFonts w:ascii="Arial" w:hAnsi="Arial" w:cs="Arial"/>
          <w:spacing w:val="16"/>
        </w:rPr>
        <w:t xml:space="preserve"> </w:t>
      </w:r>
      <w:r w:rsidRPr="00700084">
        <w:rPr>
          <w:rFonts w:ascii="Arial" w:hAnsi="Arial" w:cs="Arial"/>
        </w:rPr>
        <w:t>“might”</w:t>
      </w:r>
      <w:r w:rsidRPr="00700084">
        <w:rPr>
          <w:rFonts w:ascii="Arial" w:hAnsi="Arial" w:cs="Arial"/>
          <w:spacing w:val="16"/>
        </w:rPr>
        <w:t xml:space="preserve"> </w:t>
      </w:r>
      <w:r w:rsidRPr="00700084">
        <w:rPr>
          <w:rFonts w:ascii="Arial" w:hAnsi="Arial" w:cs="Arial"/>
        </w:rPr>
        <w:t>or</w:t>
      </w:r>
      <w:r w:rsidRPr="00700084">
        <w:rPr>
          <w:rFonts w:ascii="Arial" w:hAnsi="Arial" w:cs="Arial"/>
          <w:spacing w:val="16"/>
        </w:rPr>
        <w:t xml:space="preserve"> </w:t>
      </w:r>
      <w:r w:rsidRPr="00700084">
        <w:rPr>
          <w:rFonts w:ascii="Arial" w:hAnsi="Arial" w:cs="Arial"/>
        </w:rPr>
        <w:t>“will”</w:t>
      </w:r>
      <w:r w:rsidRPr="00700084">
        <w:rPr>
          <w:rFonts w:ascii="Arial" w:hAnsi="Arial" w:cs="Arial"/>
          <w:spacing w:val="16"/>
        </w:rPr>
        <w:t xml:space="preserve"> </w:t>
      </w:r>
      <w:r w:rsidRPr="00700084">
        <w:rPr>
          <w:rFonts w:ascii="Arial" w:hAnsi="Arial" w:cs="Arial"/>
        </w:rPr>
        <w:t>be</w:t>
      </w:r>
      <w:r w:rsidRPr="00700084">
        <w:rPr>
          <w:rFonts w:ascii="Arial" w:hAnsi="Arial" w:cs="Arial"/>
          <w:spacing w:val="16"/>
        </w:rPr>
        <w:t xml:space="preserve"> </w:t>
      </w:r>
      <w:r w:rsidRPr="00700084">
        <w:rPr>
          <w:rFonts w:ascii="Arial" w:hAnsi="Arial" w:cs="Arial"/>
        </w:rPr>
        <w:t>taken,</w:t>
      </w:r>
      <w:r w:rsidRPr="00700084">
        <w:rPr>
          <w:rFonts w:ascii="Arial" w:hAnsi="Arial" w:cs="Arial"/>
          <w:spacing w:val="16"/>
        </w:rPr>
        <w:t xml:space="preserve"> </w:t>
      </w:r>
      <w:r w:rsidRPr="00700084">
        <w:rPr>
          <w:rFonts w:ascii="Arial" w:hAnsi="Arial" w:cs="Arial"/>
        </w:rPr>
        <w:t>occur</w:t>
      </w:r>
      <w:r w:rsidRPr="00700084">
        <w:rPr>
          <w:rFonts w:ascii="Arial" w:hAnsi="Arial" w:cs="Arial"/>
          <w:spacing w:val="19"/>
        </w:rPr>
        <w:t xml:space="preserve"> </w:t>
      </w:r>
      <w:r w:rsidRPr="00700084">
        <w:rPr>
          <w:rFonts w:ascii="Arial" w:hAnsi="Arial" w:cs="Arial"/>
        </w:rPr>
        <w:t>or</w:t>
      </w:r>
      <w:r w:rsidRPr="00700084">
        <w:rPr>
          <w:rFonts w:ascii="Arial" w:hAnsi="Arial" w:cs="Arial"/>
          <w:spacing w:val="16"/>
        </w:rPr>
        <w:t xml:space="preserve"> </w:t>
      </w:r>
      <w:r w:rsidRPr="00700084">
        <w:rPr>
          <w:rFonts w:ascii="Arial" w:hAnsi="Arial" w:cs="Arial"/>
        </w:rPr>
        <w:t>be</w:t>
      </w:r>
      <w:r w:rsidRPr="00700084">
        <w:rPr>
          <w:rFonts w:ascii="Arial" w:hAnsi="Arial" w:cs="Arial"/>
          <w:spacing w:val="19"/>
        </w:rPr>
        <w:t xml:space="preserve"> </w:t>
      </w:r>
      <w:r w:rsidRPr="00700084">
        <w:rPr>
          <w:rFonts w:ascii="Arial" w:hAnsi="Arial" w:cs="Arial"/>
        </w:rPr>
        <w:t>achieved.</w:t>
      </w:r>
      <w:r w:rsidRPr="00700084">
        <w:rPr>
          <w:rFonts w:ascii="Arial" w:hAnsi="Arial" w:cs="Arial"/>
          <w:spacing w:val="19"/>
        </w:rPr>
        <w:t xml:space="preserve"> </w:t>
      </w:r>
      <w:proofErr w:type="gramStart"/>
      <w:r w:rsidRPr="00700084">
        <w:rPr>
          <w:rFonts w:ascii="Arial" w:hAnsi="Arial" w:cs="Arial"/>
        </w:rPr>
        <w:t>A</w:t>
      </w:r>
      <w:r w:rsidRPr="00700084">
        <w:rPr>
          <w:rFonts w:ascii="Arial" w:hAnsi="Arial" w:cs="Arial"/>
          <w:spacing w:val="19"/>
        </w:rPr>
        <w:t xml:space="preserve"> </w:t>
      </w:r>
      <w:r w:rsidRPr="00700084">
        <w:rPr>
          <w:rFonts w:ascii="Arial" w:hAnsi="Arial" w:cs="Arial"/>
        </w:rPr>
        <w:t>number</w:t>
      </w:r>
      <w:r w:rsidRPr="00700084">
        <w:rPr>
          <w:rFonts w:ascii="Arial" w:hAnsi="Arial" w:cs="Arial"/>
          <w:spacing w:val="19"/>
        </w:rPr>
        <w:t xml:space="preserve"> </w:t>
      </w:r>
      <w:r w:rsidRPr="00700084">
        <w:rPr>
          <w:rFonts w:ascii="Arial" w:hAnsi="Arial" w:cs="Arial"/>
        </w:rPr>
        <w:t>of</w:t>
      </w:r>
      <w:proofErr w:type="gramEnd"/>
      <w:r w:rsidRPr="00700084">
        <w:rPr>
          <w:rFonts w:ascii="Arial" w:hAnsi="Arial" w:cs="Arial"/>
        </w:rPr>
        <w:t xml:space="preserve"> </w:t>
      </w:r>
      <w:r w:rsidRPr="00700084">
        <w:rPr>
          <w:rFonts w:ascii="Arial" w:hAnsi="Arial" w:cs="Arial"/>
          <w:spacing w:val="-1"/>
        </w:rPr>
        <w:t>known and unknow</w:t>
      </w:r>
      <w:r w:rsidRPr="00700084">
        <w:rPr>
          <w:rFonts w:ascii="Arial" w:hAnsi="Arial" w:cs="Arial"/>
        </w:rPr>
        <w:t>n risks, uncertainties and other factors may cause the actual results or performance to materially differ from any future results or performance expressed or implied by the forward-looking information. These forward-looking statements</w:t>
      </w:r>
      <w:r w:rsidRPr="00700084">
        <w:rPr>
          <w:rFonts w:ascii="Arial" w:hAnsi="Arial" w:cs="Arial"/>
          <w:spacing w:val="7"/>
        </w:rPr>
        <w:t xml:space="preserve"> </w:t>
      </w:r>
      <w:r w:rsidRPr="00700084">
        <w:rPr>
          <w:rFonts w:ascii="Arial" w:hAnsi="Arial" w:cs="Arial"/>
        </w:rPr>
        <w:t>are subject to</w:t>
      </w:r>
      <w:r w:rsidRPr="00700084">
        <w:rPr>
          <w:rFonts w:ascii="Arial" w:hAnsi="Arial" w:cs="Arial"/>
          <w:spacing w:val="7"/>
        </w:rPr>
        <w:t xml:space="preserve"> </w:t>
      </w:r>
      <w:r w:rsidRPr="00700084">
        <w:rPr>
          <w:rFonts w:ascii="Arial" w:hAnsi="Arial" w:cs="Arial"/>
        </w:rPr>
        <w:t xml:space="preserve">numerous risks and uncertainties, certain of which are beyond the control of the Company including, but not limited to, the impact of general economic </w:t>
      </w:r>
      <w:r w:rsidRPr="00700084">
        <w:rPr>
          <w:rFonts w:ascii="Arial" w:hAnsi="Arial" w:cs="Arial"/>
          <w:spacing w:val="-1"/>
        </w:rPr>
        <w:t>conditions,</w:t>
      </w:r>
      <w:r w:rsidRPr="00700084">
        <w:rPr>
          <w:rFonts w:ascii="Arial" w:hAnsi="Arial" w:cs="Arial"/>
          <w:spacing w:val="-9"/>
        </w:rPr>
        <w:t xml:space="preserve"> </w:t>
      </w:r>
      <w:r w:rsidRPr="00700084">
        <w:rPr>
          <w:rFonts w:ascii="Arial" w:hAnsi="Arial" w:cs="Arial"/>
          <w:spacing w:val="-1"/>
        </w:rPr>
        <w:t>industry</w:t>
      </w:r>
      <w:r w:rsidRPr="00700084">
        <w:rPr>
          <w:rFonts w:ascii="Arial" w:hAnsi="Arial" w:cs="Arial"/>
          <w:spacing w:val="-9"/>
        </w:rPr>
        <w:t xml:space="preserve"> </w:t>
      </w:r>
      <w:r w:rsidRPr="00700084">
        <w:rPr>
          <w:rFonts w:ascii="Arial" w:hAnsi="Arial" w:cs="Arial"/>
          <w:spacing w:val="-1"/>
        </w:rPr>
        <w:t>conditions</w:t>
      </w:r>
      <w:r w:rsidRPr="00700084">
        <w:rPr>
          <w:rFonts w:ascii="Arial" w:hAnsi="Arial" w:cs="Arial"/>
          <w:spacing w:val="-9"/>
        </w:rPr>
        <w:t xml:space="preserve"> </w:t>
      </w:r>
      <w:r w:rsidRPr="00700084">
        <w:rPr>
          <w:rFonts w:ascii="Arial" w:hAnsi="Arial" w:cs="Arial"/>
          <w:spacing w:val="-1"/>
        </w:rPr>
        <w:t>and</w:t>
      </w:r>
      <w:r w:rsidRPr="00700084">
        <w:rPr>
          <w:rFonts w:ascii="Arial" w:hAnsi="Arial" w:cs="Arial"/>
          <w:spacing w:val="-9"/>
        </w:rPr>
        <w:t xml:space="preserve"> </w:t>
      </w:r>
      <w:r w:rsidRPr="00700084">
        <w:rPr>
          <w:rFonts w:ascii="Arial" w:hAnsi="Arial" w:cs="Arial"/>
          <w:spacing w:val="-1"/>
        </w:rPr>
        <w:t>dependence</w:t>
      </w:r>
      <w:r w:rsidRPr="00700084">
        <w:rPr>
          <w:rFonts w:ascii="Arial" w:hAnsi="Arial" w:cs="Arial"/>
          <w:spacing w:val="-9"/>
        </w:rPr>
        <w:t xml:space="preserve"> </w:t>
      </w:r>
      <w:r w:rsidRPr="00700084">
        <w:rPr>
          <w:rFonts w:ascii="Arial" w:hAnsi="Arial" w:cs="Arial"/>
          <w:spacing w:val="-1"/>
        </w:rPr>
        <w:t>up</w:t>
      </w:r>
      <w:r w:rsidRPr="00700084">
        <w:rPr>
          <w:rFonts w:ascii="Arial" w:hAnsi="Arial" w:cs="Arial"/>
        </w:rPr>
        <w:t>on</w:t>
      </w:r>
      <w:r w:rsidRPr="00700084">
        <w:rPr>
          <w:rFonts w:ascii="Arial" w:hAnsi="Arial" w:cs="Arial"/>
          <w:spacing w:val="-8"/>
        </w:rPr>
        <w:t xml:space="preserve"> </w:t>
      </w:r>
      <w:r w:rsidRPr="00700084">
        <w:rPr>
          <w:rFonts w:ascii="Arial" w:hAnsi="Arial" w:cs="Arial"/>
        </w:rPr>
        <w:t>regulatory</w:t>
      </w:r>
      <w:r w:rsidRPr="00700084">
        <w:rPr>
          <w:rFonts w:ascii="Arial" w:hAnsi="Arial" w:cs="Arial"/>
          <w:spacing w:val="-5"/>
        </w:rPr>
        <w:t xml:space="preserve"> </w:t>
      </w:r>
      <w:r w:rsidRPr="00700084">
        <w:rPr>
          <w:rFonts w:ascii="Arial" w:hAnsi="Arial" w:cs="Arial"/>
        </w:rPr>
        <w:t>approvals.</w:t>
      </w:r>
      <w:r w:rsidRPr="00700084">
        <w:rPr>
          <w:rFonts w:ascii="Arial" w:hAnsi="Arial" w:cs="Arial"/>
          <w:spacing w:val="-8"/>
        </w:rPr>
        <w:t xml:space="preserve"> </w:t>
      </w:r>
      <w:r w:rsidRPr="00700084">
        <w:rPr>
          <w:rFonts w:ascii="Arial" w:hAnsi="Arial" w:cs="Arial"/>
        </w:rPr>
        <w:t>Readers</w:t>
      </w:r>
      <w:r w:rsidRPr="00700084">
        <w:rPr>
          <w:rFonts w:ascii="Arial" w:hAnsi="Arial" w:cs="Arial"/>
          <w:spacing w:val="-8"/>
        </w:rPr>
        <w:t xml:space="preserve"> </w:t>
      </w:r>
      <w:r w:rsidRPr="00700084">
        <w:rPr>
          <w:rFonts w:ascii="Arial" w:hAnsi="Arial" w:cs="Arial"/>
        </w:rPr>
        <w:t>are</w:t>
      </w:r>
      <w:r w:rsidRPr="00700084">
        <w:rPr>
          <w:rFonts w:ascii="Arial" w:hAnsi="Arial" w:cs="Arial"/>
          <w:spacing w:val="-8"/>
        </w:rPr>
        <w:t xml:space="preserve"> </w:t>
      </w:r>
      <w:r w:rsidRPr="00700084">
        <w:rPr>
          <w:rFonts w:ascii="Arial" w:hAnsi="Arial" w:cs="Arial"/>
        </w:rPr>
        <w:t>cautioned</w:t>
      </w:r>
      <w:r w:rsidRPr="00700084">
        <w:rPr>
          <w:rFonts w:ascii="Arial" w:hAnsi="Arial" w:cs="Arial"/>
          <w:spacing w:val="-5"/>
        </w:rPr>
        <w:t xml:space="preserve"> </w:t>
      </w:r>
      <w:r w:rsidRPr="00700084">
        <w:rPr>
          <w:rFonts w:ascii="Arial" w:hAnsi="Arial" w:cs="Arial"/>
        </w:rPr>
        <w:t>that</w:t>
      </w:r>
      <w:r w:rsidRPr="00700084">
        <w:rPr>
          <w:rFonts w:ascii="Arial" w:hAnsi="Arial" w:cs="Arial"/>
          <w:spacing w:val="-8"/>
        </w:rPr>
        <w:t xml:space="preserve"> </w:t>
      </w:r>
      <w:r w:rsidRPr="00700084">
        <w:rPr>
          <w:rFonts w:ascii="Arial" w:hAnsi="Arial" w:cs="Arial"/>
        </w:rPr>
        <w:t>the assumptions used in the preparation of such information, although considered reasonable at the time of preparation, may prove to be imprecise and, as such, undue reliance should not be placed on forward- looking statements. The Company</w:t>
      </w:r>
      <w:r w:rsidRPr="00700084">
        <w:rPr>
          <w:rFonts w:ascii="Arial" w:hAnsi="Arial" w:cs="Arial"/>
          <w:spacing w:val="7"/>
        </w:rPr>
        <w:t xml:space="preserve"> </w:t>
      </w:r>
      <w:r w:rsidRPr="00700084">
        <w:rPr>
          <w:rFonts w:ascii="Arial" w:hAnsi="Arial" w:cs="Arial"/>
        </w:rPr>
        <w:t xml:space="preserve">does not assume any obligation to update or revise its forward-looking statements, whether </w:t>
      </w:r>
      <w:proofErr w:type="gramStart"/>
      <w:r w:rsidRPr="00700084">
        <w:rPr>
          <w:rFonts w:ascii="Arial" w:hAnsi="Arial" w:cs="Arial"/>
        </w:rPr>
        <w:t>as a result of</w:t>
      </w:r>
      <w:proofErr w:type="gramEnd"/>
      <w:r w:rsidRPr="00700084">
        <w:rPr>
          <w:rFonts w:ascii="Arial" w:hAnsi="Arial" w:cs="Arial"/>
        </w:rPr>
        <w:t xml:space="preserve"> new information, future events, or otherwise, except as required by securities laws.</w:t>
      </w:r>
    </w:p>
    <w:p w14:paraId="1AC9C14C" w14:textId="77777777" w:rsidR="00700084" w:rsidRPr="00700084" w:rsidRDefault="00700084" w:rsidP="0073256F">
      <w:pPr>
        <w:spacing w:line="240" w:lineRule="auto"/>
        <w:contextualSpacing/>
        <w:rPr>
          <w:rFonts w:ascii="Arial" w:hAnsi="Arial" w:cs="Arial"/>
        </w:rPr>
      </w:pPr>
    </w:p>
    <w:sectPr w:rsidR="00700084" w:rsidRPr="00700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CB78" w14:textId="77777777" w:rsidR="009057D8" w:rsidRDefault="009057D8" w:rsidP="00BD4DCF">
      <w:pPr>
        <w:spacing w:after="0" w:line="240" w:lineRule="auto"/>
      </w:pPr>
      <w:r>
        <w:separator/>
      </w:r>
    </w:p>
  </w:endnote>
  <w:endnote w:type="continuationSeparator" w:id="0">
    <w:p w14:paraId="5B1FDAB6" w14:textId="77777777" w:rsidR="009057D8" w:rsidRDefault="009057D8" w:rsidP="00BD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46B7" w14:textId="77777777" w:rsidR="009057D8" w:rsidRDefault="009057D8" w:rsidP="00BD4DCF">
      <w:pPr>
        <w:spacing w:after="0" w:line="240" w:lineRule="auto"/>
      </w:pPr>
      <w:r>
        <w:separator/>
      </w:r>
    </w:p>
  </w:footnote>
  <w:footnote w:type="continuationSeparator" w:id="0">
    <w:p w14:paraId="32E8C1BC" w14:textId="77777777" w:rsidR="009057D8" w:rsidRDefault="009057D8" w:rsidP="00BD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5E3"/>
    <w:multiLevelType w:val="hybridMultilevel"/>
    <w:tmpl w:val="2E7E0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3C1241"/>
    <w:multiLevelType w:val="hybridMultilevel"/>
    <w:tmpl w:val="14541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A9519E"/>
    <w:multiLevelType w:val="hybridMultilevel"/>
    <w:tmpl w:val="C1F6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A207C"/>
    <w:multiLevelType w:val="hybridMultilevel"/>
    <w:tmpl w:val="DEA05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E13CB7"/>
    <w:multiLevelType w:val="hybridMultilevel"/>
    <w:tmpl w:val="111E1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060186"/>
    <w:multiLevelType w:val="hybridMultilevel"/>
    <w:tmpl w:val="1C4AC684"/>
    <w:lvl w:ilvl="0" w:tplc="3536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400675">
    <w:abstractNumId w:val="1"/>
  </w:num>
  <w:num w:numId="2" w16cid:durableId="886912345">
    <w:abstractNumId w:val="0"/>
  </w:num>
  <w:num w:numId="3" w16cid:durableId="830364215">
    <w:abstractNumId w:val="2"/>
  </w:num>
  <w:num w:numId="4" w16cid:durableId="283198403">
    <w:abstractNumId w:val="4"/>
  </w:num>
  <w:num w:numId="5" w16cid:durableId="1458067062">
    <w:abstractNumId w:val="3"/>
  </w:num>
  <w:num w:numId="6" w16cid:durableId="45529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CF"/>
    <w:rsid w:val="00001753"/>
    <w:rsid w:val="000053A4"/>
    <w:rsid w:val="000074FE"/>
    <w:rsid w:val="00007BB5"/>
    <w:rsid w:val="0004290F"/>
    <w:rsid w:val="000444EC"/>
    <w:rsid w:val="00051864"/>
    <w:rsid w:val="000833BA"/>
    <w:rsid w:val="00087302"/>
    <w:rsid w:val="000B4884"/>
    <w:rsid w:val="00100E24"/>
    <w:rsid w:val="0010193C"/>
    <w:rsid w:val="00122978"/>
    <w:rsid w:val="00130949"/>
    <w:rsid w:val="00134926"/>
    <w:rsid w:val="00137575"/>
    <w:rsid w:val="00151DF6"/>
    <w:rsid w:val="0017068B"/>
    <w:rsid w:val="0017184F"/>
    <w:rsid w:val="00173299"/>
    <w:rsid w:val="00184BAD"/>
    <w:rsid w:val="001A6CB3"/>
    <w:rsid w:val="001B6BF1"/>
    <w:rsid w:val="001E4285"/>
    <w:rsid w:val="001F33E6"/>
    <w:rsid w:val="00203F63"/>
    <w:rsid w:val="00217AAF"/>
    <w:rsid w:val="00282863"/>
    <w:rsid w:val="002C53A3"/>
    <w:rsid w:val="002C6E41"/>
    <w:rsid w:val="002D23D5"/>
    <w:rsid w:val="002E296B"/>
    <w:rsid w:val="003064B3"/>
    <w:rsid w:val="003429EB"/>
    <w:rsid w:val="003537C9"/>
    <w:rsid w:val="00393D84"/>
    <w:rsid w:val="003941AA"/>
    <w:rsid w:val="003C4EF7"/>
    <w:rsid w:val="003E49D4"/>
    <w:rsid w:val="003E787D"/>
    <w:rsid w:val="00400825"/>
    <w:rsid w:val="004501F4"/>
    <w:rsid w:val="00454F25"/>
    <w:rsid w:val="00475603"/>
    <w:rsid w:val="004832BD"/>
    <w:rsid w:val="00495FC4"/>
    <w:rsid w:val="004B22A2"/>
    <w:rsid w:val="004B4B80"/>
    <w:rsid w:val="004B7BCC"/>
    <w:rsid w:val="004C5A1B"/>
    <w:rsid w:val="004D7109"/>
    <w:rsid w:val="004F6B16"/>
    <w:rsid w:val="00507CDF"/>
    <w:rsid w:val="00512E27"/>
    <w:rsid w:val="0053230A"/>
    <w:rsid w:val="00565D43"/>
    <w:rsid w:val="005732E9"/>
    <w:rsid w:val="005914A1"/>
    <w:rsid w:val="005C3439"/>
    <w:rsid w:val="005C7753"/>
    <w:rsid w:val="005E0B86"/>
    <w:rsid w:val="005F3BE5"/>
    <w:rsid w:val="00611B1F"/>
    <w:rsid w:val="006142EB"/>
    <w:rsid w:val="00625FEF"/>
    <w:rsid w:val="00634ABC"/>
    <w:rsid w:val="00634AF5"/>
    <w:rsid w:val="0065428B"/>
    <w:rsid w:val="00675107"/>
    <w:rsid w:val="006A2AB1"/>
    <w:rsid w:val="006A4FEB"/>
    <w:rsid w:val="006B3A85"/>
    <w:rsid w:val="006C370D"/>
    <w:rsid w:val="006C476A"/>
    <w:rsid w:val="00700084"/>
    <w:rsid w:val="007067EE"/>
    <w:rsid w:val="00715CFB"/>
    <w:rsid w:val="00720162"/>
    <w:rsid w:val="0072722A"/>
    <w:rsid w:val="0073256F"/>
    <w:rsid w:val="0074398D"/>
    <w:rsid w:val="00755976"/>
    <w:rsid w:val="007744B4"/>
    <w:rsid w:val="00790A99"/>
    <w:rsid w:val="007B3E12"/>
    <w:rsid w:val="007C65D9"/>
    <w:rsid w:val="007E761A"/>
    <w:rsid w:val="008037AE"/>
    <w:rsid w:val="00806BFB"/>
    <w:rsid w:val="00825099"/>
    <w:rsid w:val="00825514"/>
    <w:rsid w:val="008537A8"/>
    <w:rsid w:val="00853BB5"/>
    <w:rsid w:val="00853FA0"/>
    <w:rsid w:val="00875E05"/>
    <w:rsid w:val="00883B85"/>
    <w:rsid w:val="008B0F12"/>
    <w:rsid w:val="008B4945"/>
    <w:rsid w:val="008D0CC2"/>
    <w:rsid w:val="008D6E39"/>
    <w:rsid w:val="008E7547"/>
    <w:rsid w:val="00904115"/>
    <w:rsid w:val="009057D8"/>
    <w:rsid w:val="009520C6"/>
    <w:rsid w:val="00965DB7"/>
    <w:rsid w:val="009A5D00"/>
    <w:rsid w:val="009B0DDB"/>
    <w:rsid w:val="009C57F9"/>
    <w:rsid w:val="009C60A4"/>
    <w:rsid w:val="009D66D9"/>
    <w:rsid w:val="009E5EA3"/>
    <w:rsid w:val="00A333F0"/>
    <w:rsid w:val="00A37EAC"/>
    <w:rsid w:val="00A50567"/>
    <w:rsid w:val="00AA236E"/>
    <w:rsid w:val="00AA746A"/>
    <w:rsid w:val="00B03389"/>
    <w:rsid w:val="00B052C8"/>
    <w:rsid w:val="00B31E5E"/>
    <w:rsid w:val="00B325BF"/>
    <w:rsid w:val="00B504C2"/>
    <w:rsid w:val="00B50999"/>
    <w:rsid w:val="00BA3CF0"/>
    <w:rsid w:val="00BB2293"/>
    <w:rsid w:val="00BC5650"/>
    <w:rsid w:val="00BD4DCF"/>
    <w:rsid w:val="00C173E0"/>
    <w:rsid w:val="00C343D7"/>
    <w:rsid w:val="00C36730"/>
    <w:rsid w:val="00C40D79"/>
    <w:rsid w:val="00C4771E"/>
    <w:rsid w:val="00C557B5"/>
    <w:rsid w:val="00C77EDF"/>
    <w:rsid w:val="00C90766"/>
    <w:rsid w:val="00CD5666"/>
    <w:rsid w:val="00CF4D97"/>
    <w:rsid w:val="00D015AB"/>
    <w:rsid w:val="00D108F6"/>
    <w:rsid w:val="00D146E5"/>
    <w:rsid w:val="00D31704"/>
    <w:rsid w:val="00D56741"/>
    <w:rsid w:val="00D57E62"/>
    <w:rsid w:val="00D60DA7"/>
    <w:rsid w:val="00D940D2"/>
    <w:rsid w:val="00DA27D7"/>
    <w:rsid w:val="00DA58C6"/>
    <w:rsid w:val="00DA6734"/>
    <w:rsid w:val="00DE4D0A"/>
    <w:rsid w:val="00E017C6"/>
    <w:rsid w:val="00E17C6F"/>
    <w:rsid w:val="00E31F9D"/>
    <w:rsid w:val="00E352A5"/>
    <w:rsid w:val="00E469F9"/>
    <w:rsid w:val="00E62865"/>
    <w:rsid w:val="00E7663C"/>
    <w:rsid w:val="00EA2FA0"/>
    <w:rsid w:val="00EA3BC5"/>
    <w:rsid w:val="00EC4378"/>
    <w:rsid w:val="00EF708F"/>
    <w:rsid w:val="00F01C75"/>
    <w:rsid w:val="00F04467"/>
    <w:rsid w:val="00F04869"/>
    <w:rsid w:val="00F04C4F"/>
    <w:rsid w:val="00F23A46"/>
    <w:rsid w:val="00F24885"/>
    <w:rsid w:val="00F35161"/>
    <w:rsid w:val="00F47B8D"/>
    <w:rsid w:val="00F5474C"/>
    <w:rsid w:val="00F64E01"/>
    <w:rsid w:val="00F65306"/>
    <w:rsid w:val="00FD6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FFE7"/>
  <w15:chartTrackingRefBased/>
  <w15:docId w15:val="{0B5B551F-3689-41C6-A65C-E7569BED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link w:val="BaseParagraphChar"/>
    <w:rsid w:val="00BD4DCF"/>
    <w:pPr>
      <w:spacing w:before="240" w:after="0" w:line="240" w:lineRule="auto"/>
    </w:pPr>
    <w:rPr>
      <w:rFonts w:ascii="Times New Roman" w:eastAsia="Times New Roman" w:hAnsi="Times New Roman" w:cs="Times New Roman"/>
      <w:sz w:val="20"/>
      <w:szCs w:val="20"/>
    </w:rPr>
  </w:style>
  <w:style w:type="character" w:customStyle="1" w:styleId="BaseParagraphChar">
    <w:name w:val="Base Paragraph Char"/>
    <w:link w:val="BaseParagraph"/>
    <w:rsid w:val="00BD4D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CF"/>
  </w:style>
  <w:style w:type="paragraph" w:styleId="Footer">
    <w:name w:val="footer"/>
    <w:basedOn w:val="Normal"/>
    <w:link w:val="FooterChar"/>
    <w:uiPriority w:val="99"/>
    <w:unhideWhenUsed/>
    <w:rsid w:val="00BD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CF"/>
  </w:style>
  <w:style w:type="character" w:styleId="Hyperlink">
    <w:name w:val="Hyperlink"/>
    <w:basedOn w:val="DefaultParagraphFont"/>
    <w:uiPriority w:val="99"/>
    <w:unhideWhenUsed/>
    <w:rsid w:val="0053230A"/>
    <w:rPr>
      <w:color w:val="0563C1" w:themeColor="hyperlink"/>
      <w:u w:val="single"/>
    </w:rPr>
  </w:style>
  <w:style w:type="character" w:styleId="UnresolvedMention">
    <w:name w:val="Unresolved Mention"/>
    <w:basedOn w:val="DefaultParagraphFont"/>
    <w:uiPriority w:val="99"/>
    <w:semiHidden/>
    <w:unhideWhenUsed/>
    <w:rsid w:val="0053230A"/>
    <w:rPr>
      <w:color w:val="605E5C"/>
      <w:shd w:val="clear" w:color="auto" w:fill="E1DFDD"/>
    </w:rPr>
  </w:style>
  <w:style w:type="paragraph" w:styleId="ListParagraph">
    <w:name w:val="List Paragraph"/>
    <w:basedOn w:val="Normal"/>
    <w:uiPriority w:val="34"/>
    <w:qFormat/>
    <w:rsid w:val="00853BB5"/>
    <w:pPr>
      <w:ind w:left="720"/>
      <w:contextualSpacing/>
    </w:pPr>
  </w:style>
  <w:style w:type="character" w:styleId="FollowedHyperlink">
    <w:name w:val="FollowedHyperlink"/>
    <w:basedOn w:val="DefaultParagraphFont"/>
    <w:uiPriority w:val="99"/>
    <w:semiHidden/>
    <w:unhideWhenUsed/>
    <w:rsid w:val="00F47B8D"/>
    <w:rPr>
      <w:color w:val="954F72" w:themeColor="followedHyperlink"/>
      <w:u w:val="single"/>
    </w:rPr>
  </w:style>
  <w:style w:type="paragraph" w:styleId="Revision">
    <w:name w:val="Revision"/>
    <w:hidden/>
    <w:uiPriority w:val="99"/>
    <w:semiHidden/>
    <w:rsid w:val="004B22A2"/>
    <w:pPr>
      <w:spacing w:after="0" w:line="240" w:lineRule="auto"/>
    </w:pPr>
  </w:style>
  <w:style w:type="character" w:styleId="CommentReference">
    <w:name w:val="annotation reference"/>
    <w:basedOn w:val="DefaultParagraphFont"/>
    <w:uiPriority w:val="99"/>
    <w:semiHidden/>
    <w:unhideWhenUsed/>
    <w:rsid w:val="00507CDF"/>
    <w:rPr>
      <w:sz w:val="16"/>
      <w:szCs w:val="16"/>
    </w:rPr>
  </w:style>
  <w:style w:type="paragraph" w:styleId="CommentText">
    <w:name w:val="annotation text"/>
    <w:basedOn w:val="Normal"/>
    <w:link w:val="CommentTextChar"/>
    <w:uiPriority w:val="99"/>
    <w:unhideWhenUsed/>
    <w:rsid w:val="00507CDF"/>
    <w:pPr>
      <w:spacing w:line="240" w:lineRule="auto"/>
    </w:pPr>
    <w:rPr>
      <w:sz w:val="20"/>
      <w:szCs w:val="20"/>
    </w:rPr>
  </w:style>
  <w:style w:type="character" w:customStyle="1" w:styleId="CommentTextChar">
    <w:name w:val="Comment Text Char"/>
    <w:basedOn w:val="DefaultParagraphFont"/>
    <w:link w:val="CommentText"/>
    <w:uiPriority w:val="99"/>
    <w:rsid w:val="00507CDF"/>
    <w:rPr>
      <w:sz w:val="20"/>
      <w:szCs w:val="20"/>
    </w:rPr>
  </w:style>
  <w:style w:type="paragraph" w:styleId="CommentSubject">
    <w:name w:val="annotation subject"/>
    <w:basedOn w:val="CommentText"/>
    <w:next w:val="CommentText"/>
    <w:link w:val="CommentSubjectChar"/>
    <w:uiPriority w:val="99"/>
    <w:semiHidden/>
    <w:unhideWhenUsed/>
    <w:rsid w:val="00507CDF"/>
    <w:rPr>
      <w:b/>
      <w:bCs/>
    </w:rPr>
  </w:style>
  <w:style w:type="character" w:customStyle="1" w:styleId="CommentSubjectChar">
    <w:name w:val="Comment Subject Char"/>
    <w:basedOn w:val="CommentTextChar"/>
    <w:link w:val="CommentSubject"/>
    <w:uiPriority w:val="99"/>
    <w:semiHidden/>
    <w:rsid w:val="00507CDF"/>
    <w:rPr>
      <w:b/>
      <w:bCs/>
      <w:sz w:val="20"/>
      <w:szCs w:val="20"/>
    </w:rPr>
  </w:style>
  <w:style w:type="paragraph" w:styleId="EndnoteText">
    <w:name w:val="endnote text"/>
    <w:basedOn w:val="Normal"/>
    <w:link w:val="EndnoteTextChar"/>
    <w:uiPriority w:val="99"/>
    <w:semiHidden/>
    <w:unhideWhenUsed/>
    <w:rsid w:val="0095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0C6"/>
    <w:rPr>
      <w:sz w:val="20"/>
      <w:szCs w:val="20"/>
    </w:rPr>
  </w:style>
  <w:style w:type="character" w:styleId="EndnoteReference">
    <w:name w:val="endnote reference"/>
    <w:basedOn w:val="DefaultParagraphFont"/>
    <w:uiPriority w:val="99"/>
    <w:semiHidden/>
    <w:unhideWhenUsed/>
    <w:rsid w:val="009520C6"/>
    <w:rPr>
      <w:vertAlign w:val="superscript"/>
    </w:rPr>
  </w:style>
  <w:style w:type="character" w:customStyle="1" w:styleId="TextJustifiedChar">
    <w:name w:val="Text Justified Char"/>
    <w:basedOn w:val="DefaultParagraphFont"/>
    <w:link w:val="TextJustified"/>
    <w:locked/>
    <w:rsid w:val="00700084"/>
    <w:rPr>
      <w:rFonts w:ascii="Arial" w:hAnsi="Arial" w:cs="Arial"/>
    </w:rPr>
  </w:style>
  <w:style w:type="paragraph" w:customStyle="1" w:styleId="TextJustified">
    <w:name w:val="Text Justified"/>
    <w:basedOn w:val="Normal"/>
    <w:link w:val="TextJustifiedChar"/>
    <w:rsid w:val="00700084"/>
    <w:pPr>
      <w:spacing w:after="24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089">
      <w:bodyDiv w:val="1"/>
      <w:marLeft w:val="0"/>
      <w:marRight w:val="0"/>
      <w:marTop w:val="0"/>
      <w:marBottom w:val="0"/>
      <w:divBdr>
        <w:top w:val="none" w:sz="0" w:space="0" w:color="auto"/>
        <w:left w:val="none" w:sz="0" w:space="0" w:color="auto"/>
        <w:bottom w:val="none" w:sz="0" w:space="0" w:color="auto"/>
        <w:right w:val="none" w:sz="0" w:space="0" w:color="auto"/>
      </w:divBdr>
    </w:div>
    <w:div w:id="291373207">
      <w:bodyDiv w:val="1"/>
      <w:marLeft w:val="0"/>
      <w:marRight w:val="0"/>
      <w:marTop w:val="0"/>
      <w:marBottom w:val="0"/>
      <w:divBdr>
        <w:top w:val="none" w:sz="0" w:space="0" w:color="auto"/>
        <w:left w:val="none" w:sz="0" w:space="0" w:color="auto"/>
        <w:bottom w:val="none" w:sz="0" w:space="0" w:color="auto"/>
        <w:right w:val="none" w:sz="0" w:space="0" w:color="auto"/>
      </w:divBdr>
    </w:div>
    <w:div w:id="558832824">
      <w:bodyDiv w:val="1"/>
      <w:marLeft w:val="0"/>
      <w:marRight w:val="0"/>
      <w:marTop w:val="0"/>
      <w:marBottom w:val="0"/>
      <w:divBdr>
        <w:top w:val="none" w:sz="0" w:space="0" w:color="auto"/>
        <w:left w:val="none" w:sz="0" w:space="0" w:color="auto"/>
        <w:bottom w:val="none" w:sz="0" w:space="0" w:color="auto"/>
        <w:right w:val="none" w:sz="0" w:space="0" w:color="auto"/>
      </w:divBdr>
      <w:divsChild>
        <w:div w:id="932208991">
          <w:marLeft w:val="0"/>
          <w:marRight w:val="0"/>
          <w:marTop w:val="0"/>
          <w:marBottom w:val="0"/>
          <w:divBdr>
            <w:top w:val="none" w:sz="0" w:space="0" w:color="auto"/>
            <w:left w:val="none" w:sz="0" w:space="0" w:color="auto"/>
            <w:bottom w:val="none" w:sz="0" w:space="0" w:color="auto"/>
            <w:right w:val="none" w:sz="0" w:space="0" w:color="auto"/>
          </w:divBdr>
          <w:divsChild>
            <w:div w:id="1978223823">
              <w:marLeft w:val="0"/>
              <w:marRight w:val="0"/>
              <w:marTop w:val="0"/>
              <w:marBottom w:val="0"/>
              <w:divBdr>
                <w:top w:val="none" w:sz="0" w:space="0" w:color="auto"/>
                <w:left w:val="none" w:sz="0" w:space="0" w:color="auto"/>
                <w:bottom w:val="none" w:sz="0" w:space="0" w:color="auto"/>
                <w:right w:val="none" w:sz="0" w:space="0" w:color="auto"/>
              </w:divBdr>
              <w:divsChild>
                <w:div w:id="186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6B28-47F6-408B-B417-2B9351E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Abrahams</dc:creator>
  <cp:keywords/>
  <dc:description/>
  <cp:lastModifiedBy>Robert Payment</cp:lastModifiedBy>
  <cp:revision>4</cp:revision>
  <dcterms:created xsi:type="dcterms:W3CDTF">2022-12-20T01:31:00Z</dcterms:created>
  <dcterms:modified xsi:type="dcterms:W3CDTF">2023-07-19T16:57:00Z</dcterms:modified>
</cp:coreProperties>
</file>