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225F" w14:textId="4BF1AA70" w:rsidR="00CA3CAF" w:rsidRDefault="0024266E" w:rsidP="0024266E">
      <w:pPr>
        <w:jc w:val="center"/>
        <w:rPr>
          <w:rFonts w:ascii="Arial" w:hAnsi="Arial" w:cs="Arial"/>
          <w:b/>
          <w:bCs/>
          <w:sz w:val="32"/>
          <w:szCs w:val="32"/>
        </w:rPr>
      </w:pPr>
      <w:r w:rsidRPr="002617BF">
        <w:rPr>
          <w:rFonts w:ascii="Arial" w:hAnsi="Arial" w:cs="Arial"/>
          <w:b/>
          <w:bCs/>
          <w:sz w:val="32"/>
          <w:szCs w:val="32"/>
        </w:rPr>
        <w:t>202</w:t>
      </w:r>
      <w:r w:rsidR="008235D0">
        <w:rPr>
          <w:rFonts w:ascii="Arial" w:hAnsi="Arial" w:cs="Arial"/>
          <w:b/>
          <w:bCs/>
          <w:sz w:val="32"/>
          <w:szCs w:val="32"/>
        </w:rPr>
        <w:t>6</w:t>
      </w:r>
      <w:r w:rsidRPr="002617BF">
        <w:rPr>
          <w:rFonts w:ascii="Arial" w:hAnsi="Arial" w:cs="Arial"/>
          <w:b/>
          <w:bCs/>
          <w:sz w:val="32"/>
          <w:szCs w:val="32"/>
        </w:rPr>
        <w:t xml:space="preserve"> Units </w:t>
      </w:r>
      <w:r w:rsidR="00546269">
        <w:rPr>
          <w:rFonts w:ascii="Arial" w:hAnsi="Arial" w:cs="Arial"/>
          <w:b/>
          <w:bCs/>
          <w:sz w:val="32"/>
          <w:szCs w:val="32"/>
        </w:rPr>
        <w:t>1</w:t>
      </w:r>
      <w:r w:rsidRPr="002617BF">
        <w:rPr>
          <w:rFonts w:ascii="Arial" w:hAnsi="Arial" w:cs="Arial"/>
          <w:b/>
          <w:bCs/>
          <w:sz w:val="32"/>
          <w:szCs w:val="32"/>
        </w:rPr>
        <w:t>&amp;</w:t>
      </w:r>
      <w:r w:rsidR="00546269">
        <w:rPr>
          <w:rFonts w:ascii="Arial" w:hAnsi="Arial" w:cs="Arial"/>
          <w:b/>
          <w:bCs/>
          <w:sz w:val="32"/>
          <w:szCs w:val="32"/>
        </w:rPr>
        <w:t>2</w:t>
      </w:r>
      <w:r w:rsidRPr="002617BF">
        <w:rPr>
          <w:rFonts w:ascii="Arial" w:hAnsi="Arial" w:cs="Arial"/>
          <w:b/>
          <w:bCs/>
          <w:sz w:val="32"/>
          <w:szCs w:val="32"/>
        </w:rPr>
        <w:t xml:space="preserve"> Health and Human Development </w:t>
      </w:r>
    </w:p>
    <w:p w14:paraId="04EA5834" w14:textId="42560CCC" w:rsidR="008719A5" w:rsidRPr="002617BF" w:rsidRDefault="00CA3CAF" w:rsidP="0024266E">
      <w:pPr>
        <w:jc w:val="center"/>
        <w:rPr>
          <w:rFonts w:ascii="Arial" w:hAnsi="Arial" w:cs="Arial"/>
          <w:b/>
          <w:bCs/>
          <w:sz w:val="32"/>
          <w:szCs w:val="32"/>
        </w:rPr>
      </w:pPr>
      <w:r>
        <w:rPr>
          <w:rFonts w:ascii="Arial" w:hAnsi="Arial" w:cs="Arial"/>
          <w:b/>
          <w:bCs/>
          <w:sz w:val="32"/>
          <w:szCs w:val="32"/>
        </w:rPr>
        <w:t xml:space="preserve">- </w:t>
      </w:r>
      <w:r w:rsidR="0024266E" w:rsidRPr="002617BF">
        <w:rPr>
          <w:rFonts w:ascii="Arial" w:hAnsi="Arial" w:cs="Arial"/>
          <w:b/>
          <w:bCs/>
          <w:sz w:val="32"/>
          <w:szCs w:val="32"/>
        </w:rPr>
        <w:t xml:space="preserve">Sample </w:t>
      </w:r>
      <w:r w:rsidR="00A907D9" w:rsidRPr="002617BF">
        <w:rPr>
          <w:rFonts w:ascii="Arial" w:hAnsi="Arial" w:cs="Arial"/>
          <w:b/>
          <w:bCs/>
          <w:sz w:val="32"/>
          <w:szCs w:val="32"/>
        </w:rPr>
        <w:t>Transition and Term 1</w:t>
      </w:r>
      <w:r w:rsidR="0024266E" w:rsidRPr="002617BF">
        <w:rPr>
          <w:rFonts w:ascii="Arial" w:hAnsi="Arial" w:cs="Arial"/>
          <w:b/>
          <w:bCs/>
          <w:sz w:val="32"/>
          <w:szCs w:val="32"/>
        </w:rPr>
        <w:t xml:space="preserve"> Planner</w:t>
      </w:r>
    </w:p>
    <w:p w14:paraId="6EFD2F26" w14:textId="77777777" w:rsidR="0024266E" w:rsidRPr="002617BF" w:rsidRDefault="0024266E" w:rsidP="0024266E">
      <w:pPr>
        <w:jc w:val="center"/>
        <w:rPr>
          <w:rFonts w:ascii="Arial" w:hAnsi="Arial" w:cs="Arial"/>
          <w:b/>
          <w:bCs/>
          <w:sz w:val="32"/>
          <w:szCs w:val="32"/>
        </w:rPr>
      </w:pPr>
    </w:p>
    <w:p w14:paraId="43D1A045" w14:textId="1FC564F1" w:rsidR="00C66C38" w:rsidRPr="002617BF" w:rsidRDefault="00C66C38" w:rsidP="0024266E">
      <w:pPr>
        <w:jc w:val="center"/>
        <w:rPr>
          <w:rFonts w:ascii="Arial" w:hAnsi="Arial" w:cs="Arial"/>
          <w:b/>
          <w:bCs/>
          <w:sz w:val="32"/>
          <w:szCs w:val="32"/>
        </w:rPr>
      </w:pPr>
      <w:r w:rsidRPr="002617BF">
        <w:rPr>
          <w:rFonts w:ascii="Arial" w:hAnsi="Arial" w:cs="Arial"/>
          <w:b/>
          <w:bCs/>
          <w:sz w:val="32"/>
          <w:szCs w:val="32"/>
        </w:rPr>
        <w:t>Transition</w:t>
      </w:r>
    </w:p>
    <w:p w14:paraId="074B44EE" w14:textId="77777777" w:rsidR="00C66C38" w:rsidRPr="00267AE8" w:rsidRDefault="00C66C38" w:rsidP="0024266E">
      <w:pPr>
        <w:jc w:val="center"/>
        <w:rPr>
          <w:rFonts w:ascii="Arial" w:hAnsi="Arial" w:cs="Arial"/>
          <w:sz w:val="20"/>
          <w:szCs w:val="20"/>
        </w:rPr>
      </w:pPr>
    </w:p>
    <w:tbl>
      <w:tblPr>
        <w:tblStyle w:val="TableGrid"/>
        <w:tblW w:w="5000" w:type="pct"/>
        <w:tblLook w:val="04A0" w:firstRow="1" w:lastRow="0" w:firstColumn="1" w:lastColumn="0" w:noHBand="0" w:noVBand="1"/>
      </w:tblPr>
      <w:tblGrid>
        <w:gridCol w:w="1871"/>
        <w:gridCol w:w="1253"/>
        <w:gridCol w:w="5004"/>
        <w:gridCol w:w="4182"/>
        <w:gridCol w:w="3078"/>
      </w:tblGrid>
      <w:tr w:rsidR="00C66C38" w:rsidRPr="00267AE8" w14:paraId="4A868604" w14:textId="77777777" w:rsidTr="00B5677D">
        <w:tc>
          <w:tcPr>
            <w:tcW w:w="608" w:type="pct"/>
            <w:vAlign w:val="center"/>
          </w:tcPr>
          <w:p w14:paraId="3CFE74DB" w14:textId="77777777" w:rsidR="00A22D09" w:rsidRDefault="00A22D09" w:rsidP="002E752B">
            <w:pPr>
              <w:jc w:val="center"/>
              <w:rPr>
                <w:rFonts w:ascii="Arial" w:hAnsi="Arial" w:cs="Arial"/>
                <w:b/>
                <w:bCs/>
                <w:sz w:val="20"/>
                <w:szCs w:val="20"/>
              </w:rPr>
            </w:pPr>
          </w:p>
          <w:p w14:paraId="0E6283A4" w14:textId="77777777" w:rsidR="00C66C38" w:rsidRDefault="00C66C38" w:rsidP="002E752B">
            <w:pPr>
              <w:jc w:val="center"/>
              <w:rPr>
                <w:rFonts w:ascii="Arial" w:hAnsi="Arial" w:cs="Arial"/>
                <w:b/>
                <w:bCs/>
                <w:sz w:val="20"/>
                <w:szCs w:val="20"/>
              </w:rPr>
            </w:pPr>
            <w:r w:rsidRPr="002617BF">
              <w:rPr>
                <w:rFonts w:ascii="Arial" w:hAnsi="Arial" w:cs="Arial"/>
                <w:b/>
                <w:bCs/>
                <w:sz w:val="20"/>
                <w:szCs w:val="20"/>
              </w:rPr>
              <w:t>Unit, Area of Study and Outcome</w:t>
            </w:r>
          </w:p>
          <w:p w14:paraId="5518BCAD" w14:textId="4932CD65" w:rsidR="00A22D09" w:rsidRPr="002617BF" w:rsidRDefault="00A22D09" w:rsidP="002E752B">
            <w:pPr>
              <w:jc w:val="center"/>
              <w:rPr>
                <w:rFonts w:ascii="Arial" w:hAnsi="Arial" w:cs="Arial"/>
                <w:b/>
                <w:bCs/>
                <w:sz w:val="20"/>
                <w:szCs w:val="20"/>
              </w:rPr>
            </w:pPr>
          </w:p>
        </w:tc>
        <w:tc>
          <w:tcPr>
            <w:tcW w:w="407" w:type="pct"/>
            <w:vAlign w:val="center"/>
          </w:tcPr>
          <w:p w14:paraId="310B26EB" w14:textId="77777777" w:rsidR="00C66C38" w:rsidRPr="002617BF" w:rsidRDefault="00C66C38" w:rsidP="002E752B">
            <w:pPr>
              <w:jc w:val="center"/>
              <w:rPr>
                <w:rFonts w:ascii="Arial" w:hAnsi="Arial" w:cs="Arial"/>
                <w:b/>
                <w:bCs/>
                <w:sz w:val="20"/>
                <w:szCs w:val="20"/>
              </w:rPr>
            </w:pPr>
            <w:r w:rsidRPr="002617BF">
              <w:rPr>
                <w:rFonts w:ascii="Arial" w:hAnsi="Arial" w:cs="Arial"/>
                <w:b/>
                <w:bCs/>
                <w:sz w:val="20"/>
                <w:szCs w:val="20"/>
              </w:rPr>
              <w:t>Week</w:t>
            </w:r>
          </w:p>
        </w:tc>
        <w:tc>
          <w:tcPr>
            <w:tcW w:w="1626" w:type="pct"/>
            <w:vAlign w:val="center"/>
          </w:tcPr>
          <w:p w14:paraId="13E0D8B2" w14:textId="77777777" w:rsidR="00C66C38" w:rsidRPr="002617BF" w:rsidRDefault="00C66C38" w:rsidP="002E752B">
            <w:pPr>
              <w:jc w:val="center"/>
              <w:rPr>
                <w:rFonts w:ascii="Arial" w:hAnsi="Arial" w:cs="Arial"/>
                <w:b/>
                <w:bCs/>
                <w:sz w:val="20"/>
                <w:szCs w:val="20"/>
              </w:rPr>
            </w:pPr>
            <w:r w:rsidRPr="002617BF">
              <w:rPr>
                <w:rFonts w:ascii="Arial" w:hAnsi="Arial" w:cs="Arial"/>
                <w:b/>
                <w:bCs/>
                <w:sz w:val="20"/>
                <w:szCs w:val="20"/>
              </w:rPr>
              <w:t>Key knowledge</w:t>
            </w:r>
          </w:p>
        </w:tc>
        <w:tc>
          <w:tcPr>
            <w:tcW w:w="1359" w:type="pct"/>
            <w:vAlign w:val="center"/>
          </w:tcPr>
          <w:p w14:paraId="33E5D78B" w14:textId="23E3F1FB" w:rsidR="00C66C38" w:rsidRPr="002617BF" w:rsidRDefault="00C66C38" w:rsidP="002E752B">
            <w:pPr>
              <w:jc w:val="center"/>
              <w:rPr>
                <w:rFonts w:ascii="Arial" w:hAnsi="Arial" w:cs="Arial"/>
                <w:b/>
                <w:bCs/>
                <w:sz w:val="20"/>
                <w:szCs w:val="20"/>
              </w:rPr>
            </w:pPr>
            <w:r w:rsidRPr="002617BF">
              <w:rPr>
                <w:rFonts w:ascii="Arial" w:hAnsi="Arial" w:cs="Arial"/>
                <w:b/>
                <w:bCs/>
                <w:sz w:val="20"/>
                <w:szCs w:val="20"/>
              </w:rPr>
              <w:t>Key Skill</w:t>
            </w:r>
            <w:r w:rsidR="002617BF">
              <w:rPr>
                <w:rFonts w:ascii="Arial" w:hAnsi="Arial" w:cs="Arial"/>
                <w:b/>
                <w:bCs/>
                <w:sz w:val="20"/>
                <w:szCs w:val="20"/>
              </w:rPr>
              <w:t>s</w:t>
            </w:r>
          </w:p>
        </w:tc>
        <w:tc>
          <w:tcPr>
            <w:tcW w:w="1000" w:type="pct"/>
            <w:vAlign w:val="center"/>
          </w:tcPr>
          <w:p w14:paraId="138AAFCA" w14:textId="77777777" w:rsidR="00C66C38" w:rsidRPr="002617BF" w:rsidRDefault="00C66C38" w:rsidP="002E752B">
            <w:pPr>
              <w:jc w:val="center"/>
              <w:rPr>
                <w:rFonts w:ascii="Arial" w:hAnsi="Arial" w:cs="Arial"/>
                <w:b/>
                <w:bCs/>
                <w:sz w:val="20"/>
                <w:szCs w:val="20"/>
              </w:rPr>
            </w:pPr>
            <w:r w:rsidRPr="002617BF">
              <w:rPr>
                <w:rFonts w:ascii="Arial" w:hAnsi="Arial" w:cs="Arial"/>
                <w:b/>
                <w:bCs/>
                <w:sz w:val="20"/>
                <w:szCs w:val="20"/>
              </w:rPr>
              <w:t>Coursework and Assessment tasks</w:t>
            </w:r>
          </w:p>
        </w:tc>
      </w:tr>
      <w:tr w:rsidR="00C66C38" w:rsidRPr="00267AE8" w14:paraId="49F5A07F" w14:textId="77777777" w:rsidTr="00662068">
        <w:trPr>
          <w:trHeight w:val="2802"/>
        </w:trPr>
        <w:tc>
          <w:tcPr>
            <w:tcW w:w="608" w:type="pct"/>
            <w:vAlign w:val="center"/>
          </w:tcPr>
          <w:p w14:paraId="25D012AF" w14:textId="6DEEDC03" w:rsidR="00C66C38" w:rsidRPr="00267AE8" w:rsidRDefault="00C66C38" w:rsidP="002E752B">
            <w:pPr>
              <w:jc w:val="center"/>
              <w:rPr>
                <w:rFonts w:ascii="Arial" w:hAnsi="Arial" w:cs="Arial"/>
                <w:sz w:val="20"/>
                <w:szCs w:val="20"/>
              </w:rPr>
            </w:pPr>
            <w:r w:rsidRPr="00267AE8">
              <w:rPr>
                <w:rFonts w:ascii="Arial" w:hAnsi="Arial" w:cs="Arial"/>
                <w:sz w:val="20"/>
                <w:szCs w:val="20"/>
              </w:rPr>
              <w:t xml:space="preserve">Unit </w:t>
            </w:r>
            <w:r w:rsidR="00546269">
              <w:rPr>
                <w:rFonts w:ascii="Arial" w:hAnsi="Arial" w:cs="Arial"/>
                <w:sz w:val="20"/>
                <w:szCs w:val="20"/>
              </w:rPr>
              <w:t>1</w:t>
            </w:r>
            <w:r w:rsidRPr="00267AE8">
              <w:rPr>
                <w:rFonts w:ascii="Arial" w:hAnsi="Arial" w:cs="Arial"/>
                <w:sz w:val="20"/>
                <w:szCs w:val="20"/>
              </w:rPr>
              <w:t xml:space="preserve"> - </w:t>
            </w:r>
            <w:r w:rsidR="00546269" w:rsidRPr="00546269">
              <w:rPr>
                <w:rFonts w:ascii="Arial" w:hAnsi="Arial" w:cs="Arial"/>
                <w:sz w:val="20"/>
                <w:szCs w:val="20"/>
              </w:rPr>
              <w:t>Understanding health and wellbeing</w:t>
            </w:r>
          </w:p>
          <w:p w14:paraId="3A698523" w14:textId="77777777" w:rsidR="00C66C38" w:rsidRPr="00267AE8" w:rsidRDefault="00C66C38" w:rsidP="002E752B">
            <w:pPr>
              <w:jc w:val="center"/>
              <w:rPr>
                <w:rFonts w:ascii="Arial" w:hAnsi="Arial" w:cs="Arial"/>
                <w:sz w:val="20"/>
                <w:szCs w:val="20"/>
              </w:rPr>
            </w:pPr>
          </w:p>
          <w:p w14:paraId="7D256714" w14:textId="49203BAC" w:rsidR="00C66C38" w:rsidRPr="00267AE8" w:rsidRDefault="00C66C38" w:rsidP="002E752B">
            <w:pPr>
              <w:jc w:val="center"/>
              <w:rPr>
                <w:rFonts w:ascii="Arial" w:hAnsi="Arial" w:cs="Arial"/>
                <w:sz w:val="20"/>
                <w:szCs w:val="20"/>
              </w:rPr>
            </w:pPr>
            <w:r w:rsidRPr="00267AE8">
              <w:rPr>
                <w:rFonts w:ascii="Arial" w:hAnsi="Arial" w:cs="Arial"/>
                <w:sz w:val="20"/>
                <w:szCs w:val="20"/>
              </w:rPr>
              <w:t xml:space="preserve">Area of Study 1 - </w:t>
            </w:r>
            <w:r w:rsidR="00546269">
              <w:rPr>
                <w:rFonts w:ascii="Arial" w:hAnsi="Arial" w:cs="Arial"/>
                <w:sz w:val="20"/>
                <w:szCs w:val="20"/>
              </w:rPr>
              <w:t>Concepts of health</w:t>
            </w:r>
          </w:p>
          <w:p w14:paraId="1EF06287" w14:textId="77777777" w:rsidR="00C66C38" w:rsidRPr="00267AE8" w:rsidRDefault="00C66C38" w:rsidP="002E752B">
            <w:pPr>
              <w:jc w:val="center"/>
              <w:rPr>
                <w:rFonts w:ascii="Arial" w:hAnsi="Arial" w:cs="Arial"/>
                <w:sz w:val="20"/>
                <w:szCs w:val="20"/>
              </w:rPr>
            </w:pPr>
          </w:p>
          <w:p w14:paraId="07009D0E" w14:textId="77777777" w:rsidR="00C66C38" w:rsidRPr="00267AE8" w:rsidRDefault="00C66C38" w:rsidP="002E752B">
            <w:pPr>
              <w:jc w:val="center"/>
              <w:rPr>
                <w:rFonts w:ascii="Arial" w:hAnsi="Arial" w:cs="Arial"/>
                <w:sz w:val="20"/>
                <w:szCs w:val="20"/>
              </w:rPr>
            </w:pPr>
            <w:r w:rsidRPr="00267AE8">
              <w:rPr>
                <w:rFonts w:ascii="Arial" w:hAnsi="Arial" w:cs="Arial"/>
                <w:sz w:val="20"/>
                <w:szCs w:val="20"/>
              </w:rPr>
              <w:t>Outcome 1</w:t>
            </w:r>
          </w:p>
        </w:tc>
        <w:tc>
          <w:tcPr>
            <w:tcW w:w="407" w:type="pct"/>
            <w:vAlign w:val="center"/>
          </w:tcPr>
          <w:p w14:paraId="3D95C48E" w14:textId="219C5C11" w:rsidR="00C66C38" w:rsidRPr="00267AE8" w:rsidRDefault="00C66C38" w:rsidP="002E752B">
            <w:pPr>
              <w:jc w:val="center"/>
              <w:rPr>
                <w:rFonts w:ascii="Arial" w:hAnsi="Arial" w:cs="Arial"/>
                <w:sz w:val="20"/>
                <w:szCs w:val="20"/>
              </w:rPr>
            </w:pPr>
            <w:r w:rsidRPr="00267AE8">
              <w:rPr>
                <w:rFonts w:ascii="Arial" w:hAnsi="Arial" w:cs="Arial"/>
                <w:sz w:val="20"/>
                <w:szCs w:val="20"/>
              </w:rPr>
              <w:t>1</w:t>
            </w:r>
          </w:p>
        </w:tc>
        <w:tc>
          <w:tcPr>
            <w:tcW w:w="1626" w:type="pct"/>
            <w:vAlign w:val="center"/>
          </w:tcPr>
          <w:p w14:paraId="35A24458" w14:textId="0C36156C" w:rsidR="00C66C38" w:rsidRPr="00267AE8" w:rsidRDefault="00662068" w:rsidP="00662068">
            <w:pPr>
              <w:pStyle w:val="VCAAbullet"/>
              <w:jc w:val="center"/>
              <w:rPr>
                <w:szCs w:val="20"/>
              </w:rPr>
            </w:pPr>
            <w:r>
              <w:rPr>
                <w:szCs w:val="20"/>
              </w:rPr>
              <w:t>V</w:t>
            </w:r>
            <w:r w:rsidRPr="00662068">
              <w:rPr>
                <w:szCs w:val="20"/>
              </w:rPr>
              <w:t>arious definitions of health and wellbeing: physical, social, emotional, mental and spiritual dimensions</w:t>
            </w:r>
          </w:p>
        </w:tc>
        <w:tc>
          <w:tcPr>
            <w:tcW w:w="1359" w:type="pct"/>
            <w:vAlign w:val="center"/>
          </w:tcPr>
          <w:p w14:paraId="0ADB81E4" w14:textId="28787E89" w:rsidR="002E752B" w:rsidRPr="00662068" w:rsidRDefault="00662068" w:rsidP="00662068">
            <w:pPr>
              <w:pStyle w:val="VCAAbullet"/>
              <w:jc w:val="center"/>
            </w:pPr>
            <w:r>
              <w:rPr>
                <w:szCs w:val="20"/>
              </w:rPr>
              <w:t>D</w:t>
            </w:r>
            <w:r w:rsidRPr="00662068">
              <w:rPr>
                <w:szCs w:val="20"/>
              </w:rPr>
              <w:t>escribe and analyse various perspectives, definitions and interpretations of health and wellbeing</w:t>
            </w:r>
          </w:p>
          <w:p w14:paraId="25C77A51" w14:textId="77777777" w:rsidR="00662068" w:rsidRPr="00267AE8" w:rsidRDefault="00662068" w:rsidP="00662068">
            <w:pPr>
              <w:pStyle w:val="VCAAbullet"/>
              <w:numPr>
                <w:ilvl w:val="0"/>
                <w:numId w:val="0"/>
              </w:numPr>
              <w:jc w:val="center"/>
            </w:pPr>
          </w:p>
          <w:p w14:paraId="2D24A5C2" w14:textId="35F63410" w:rsidR="00C66C38" w:rsidRPr="00267AE8" w:rsidRDefault="00662068" w:rsidP="00662068">
            <w:pPr>
              <w:pStyle w:val="VCAAbullet"/>
              <w:jc w:val="center"/>
              <w:rPr>
                <w:szCs w:val="20"/>
              </w:rPr>
            </w:pPr>
            <w:r>
              <w:rPr>
                <w:szCs w:val="20"/>
              </w:rPr>
              <w:t>E</w:t>
            </w:r>
            <w:r w:rsidRPr="00662068">
              <w:rPr>
                <w:szCs w:val="20"/>
              </w:rPr>
              <w:t>xplain different dimensions of health and wellbeing</w:t>
            </w:r>
          </w:p>
        </w:tc>
        <w:tc>
          <w:tcPr>
            <w:tcW w:w="1000" w:type="pct"/>
            <w:vAlign w:val="center"/>
          </w:tcPr>
          <w:p w14:paraId="54193FE4" w14:textId="77777777" w:rsidR="00C66C38" w:rsidRPr="00267AE8" w:rsidRDefault="00436581" w:rsidP="00662068">
            <w:pPr>
              <w:jc w:val="center"/>
              <w:rPr>
                <w:rFonts w:ascii="Arial" w:hAnsi="Arial" w:cs="Arial"/>
                <w:sz w:val="20"/>
                <w:szCs w:val="20"/>
              </w:rPr>
            </w:pPr>
            <w:r w:rsidRPr="00267AE8">
              <w:rPr>
                <w:rFonts w:ascii="Arial" w:hAnsi="Arial" w:cs="Arial"/>
                <w:sz w:val="20"/>
                <w:szCs w:val="20"/>
              </w:rPr>
              <w:t>Holiday homework:</w:t>
            </w:r>
          </w:p>
          <w:p w14:paraId="7C6C60E7" w14:textId="77777777" w:rsidR="006032F4" w:rsidRDefault="006032F4" w:rsidP="00662068">
            <w:pPr>
              <w:jc w:val="center"/>
              <w:rPr>
                <w:rFonts w:ascii="Arial" w:hAnsi="Arial" w:cs="Arial"/>
                <w:sz w:val="20"/>
                <w:szCs w:val="20"/>
              </w:rPr>
            </w:pPr>
          </w:p>
          <w:p w14:paraId="71F7C962" w14:textId="7E959CFA" w:rsidR="00436581" w:rsidRPr="00267AE8" w:rsidRDefault="00141D95" w:rsidP="00662068">
            <w:pPr>
              <w:jc w:val="center"/>
              <w:rPr>
                <w:rFonts w:ascii="Arial" w:hAnsi="Arial" w:cs="Arial"/>
                <w:sz w:val="20"/>
                <w:szCs w:val="20"/>
              </w:rPr>
            </w:pPr>
            <w:r w:rsidRPr="00267AE8">
              <w:rPr>
                <w:rFonts w:ascii="Arial" w:hAnsi="Arial" w:cs="Arial"/>
                <w:sz w:val="20"/>
                <w:szCs w:val="20"/>
              </w:rPr>
              <w:t>Complete Tr</w:t>
            </w:r>
            <w:r w:rsidR="00436581" w:rsidRPr="00267AE8">
              <w:rPr>
                <w:rFonts w:ascii="Arial" w:hAnsi="Arial" w:cs="Arial"/>
                <w:sz w:val="20"/>
                <w:szCs w:val="20"/>
              </w:rPr>
              <w:t xml:space="preserve">ansition </w:t>
            </w:r>
            <w:r w:rsidRPr="00267AE8">
              <w:rPr>
                <w:rFonts w:ascii="Arial" w:hAnsi="Arial" w:cs="Arial"/>
                <w:sz w:val="20"/>
                <w:szCs w:val="20"/>
              </w:rPr>
              <w:t>B</w:t>
            </w:r>
            <w:r w:rsidR="00436581" w:rsidRPr="00267AE8">
              <w:rPr>
                <w:rFonts w:ascii="Arial" w:hAnsi="Arial" w:cs="Arial"/>
                <w:sz w:val="20"/>
                <w:szCs w:val="20"/>
              </w:rPr>
              <w:t xml:space="preserve">ooklet and </w:t>
            </w:r>
            <w:r w:rsidR="006032F4">
              <w:rPr>
                <w:rFonts w:ascii="Arial" w:hAnsi="Arial" w:cs="Arial"/>
                <w:sz w:val="20"/>
                <w:szCs w:val="20"/>
              </w:rPr>
              <w:t>Textbook C</w:t>
            </w:r>
            <w:r w:rsidR="00436581" w:rsidRPr="00267AE8">
              <w:rPr>
                <w:rFonts w:ascii="Arial" w:hAnsi="Arial" w:cs="Arial"/>
                <w:sz w:val="20"/>
                <w:szCs w:val="20"/>
              </w:rPr>
              <w:t xml:space="preserve">hapter </w:t>
            </w:r>
            <w:r w:rsidR="006032F4">
              <w:rPr>
                <w:rFonts w:ascii="Arial" w:hAnsi="Arial" w:cs="Arial"/>
                <w:sz w:val="20"/>
                <w:szCs w:val="20"/>
              </w:rPr>
              <w:t>Q</w:t>
            </w:r>
            <w:r w:rsidR="00436581" w:rsidRPr="00267AE8">
              <w:rPr>
                <w:rFonts w:ascii="Arial" w:hAnsi="Arial" w:cs="Arial"/>
                <w:sz w:val="20"/>
                <w:szCs w:val="20"/>
              </w:rPr>
              <w:t>uestions</w:t>
            </w:r>
          </w:p>
        </w:tc>
      </w:tr>
    </w:tbl>
    <w:p w14:paraId="7C3695AB" w14:textId="77777777" w:rsidR="00C66C38" w:rsidRPr="00267AE8" w:rsidRDefault="00C66C38" w:rsidP="0024266E">
      <w:pPr>
        <w:jc w:val="center"/>
        <w:rPr>
          <w:rFonts w:ascii="Arial" w:hAnsi="Arial" w:cs="Arial"/>
          <w:sz w:val="20"/>
          <w:szCs w:val="20"/>
        </w:rPr>
      </w:pPr>
    </w:p>
    <w:p w14:paraId="4683E52D" w14:textId="77777777" w:rsidR="00C66C38" w:rsidRPr="00267AE8" w:rsidRDefault="00C66C38" w:rsidP="0024266E">
      <w:pPr>
        <w:jc w:val="center"/>
        <w:rPr>
          <w:rFonts w:ascii="Arial" w:hAnsi="Arial" w:cs="Arial"/>
          <w:sz w:val="20"/>
          <w:szCs w:val="20"/>
        </w:rPr>
      </w:pPr>
    </w:p>
    <w:p w14:paraId="149F5B3B" w14:textId="77777777" w:rsidR="002617BF" w:rsidRDefault="002617BF">
      <w:pPr>
        <w:rPr>
          <w:rFonts w:ascii="Arial" w:hAnsi="Arial" w:cs="Arial"/>
          <w:b/>
          <w:bCs/>
          <w:sz w:val="32"/>
          <w:szCs w:val="32"/>
        </w:rPr>
      </w:pPr>
      <w:r>
        <w:rPr>
          <w:rFonts w:ascii="Arial" w:hAnsi="Arial" w:cs="Arial"/>
          <w:b/>
          <w:bCs/>
          <w:sz w:val="32"/>
          <w:szCs w:val="32"/>
        </w:rPr>
        <w:br w:type="page"/>
      </w:r>
    </w:p>
    <w:p w14:paraId="27C657B6" w14:textId="1F6584AB" w:rsidR="0024266E" w:rsidRPr="002617BF" w:rsidRDefault="0024266E" w:rsidP="0024266E">
      <w:pPr>
        <w:jc w:val="center"/>
        <w:rPr>
          <w:rFonts w:ascii="Arial" w:hAnsi="Arial" w:cs="Arial"/>
          <w:b/>
          <w:bCs/>
          <w:sz w:val="32"/>
          <w:szCs w:val="32"/>
        </w:rPr>
      </w:pPr>
      <w:r w:rsidRPr="002617BF">
        <w:rPr>
          <w:rFonts w:ascii="Arial" w:hAnsi="Arial" w:cs="Arial"/>
          <w:b/>
          <w:bCs/>
          <w:sz w:val="32"/>
          <w:szCs w:val="32"/>
        </w:rPr>
        <w:lastRenderedPageBreak/>
        <w:t>Term 1</w:t>
      </w:r>
    </w:p>
    <w:p w14:paraId="01391A36" w14:textId="77777777" w:rsidR="0024266E" w:rsidRPr="00267AE8" w:rsidRDefault="0024266E" w:rsidP="0024266E">
      <w:pPr>
        <w:jc w:val="center"/>
        <w:rPr>
          <w:rFonts w:ascii="Arial" w:hAnsi="Arial" w:cs="Arial"/>
          <w:sz w:val="20"/>
          <w:szCs w:val="20"/>
        </w:rPr>
      </w:pPr>
    </w:p>
    <w:tbl>
      <w:tblPr>
        <w:tblStyle w:val="TableGrid"/>
        <w:tblW w:w="5000" w:type="pct"/>
        <w:tblLook w:val="04A0" w:firstRow="1" w:lastRow="0" w:firstColumn="1" w:lastColumn="0" w:noHBand="0" w:noVBand="1"/>
      </w:tblPr>
      <w:tblGrid>
        <w:gridCol w:w="1870"/>
        <w:gridCol w:w="1253"/>
        <w:gridCol w:w="5161"/>
        <w:gridCol w:w="4026"/>
        <w:gridCol w:w="3078"/>
      </w:tblGrid>
      <w:tr w:rsidR="0024266E" w:rsidRPr="00267AE8" w14:paraId="1572B04B" w14:textId="77777777" w:rsidTr="008048C4">
        <w:tc>
          <w:tcPr>
            <w:tcW w:w="608" w:type="pct"/>
            <w:vAlign w:val="center"/>
          </w:tcPr>
          <w:p w14:paraId="386AB5B4" w14:textId="77777777" w:rsidR="008048C4" w:rsidRDefault="008048C4" w:rsidP="008048C4">
            <w:pPr>
              <w:jc w:val="center"/>
              <w:rPr>
                <w:rFonts w:ascii="Arial" w:hAnsi="Arial" w:cs="Arial"/>
                <w:b/>
                <w:bCs/>
                <w:sz w:val="20"/>
                <w:szCs w:val="20"/>
              </w:rPr>
            </w:pPr>
          </w:p>
          <w:p w14:paraId="58DDEC8E" w14:textId="54C8DA47" w:rsidR="0024266E" w:rsidRDefault="0024266E" w:rsidP="008048C4">
            <w:pPr>
              <w:jc w:val="center"/>
              <w:rPr>
                <w:rFonts w:ascii="Arial" w:hAnsi="Arial" w:cs="Arial"/>
                <w:b/>
                <w:bCs/>
                <w:sz w:val="20"/>
                <w:szCs w:val="20"/>
              </w:rPr>
            </w:pPr>
            <w:r w:rsidRPr="002617BF">
              <w:rPr>
                <w:rFonts w:ascii="Arial" w:hAnsi="Arial" w:cs="Arial"/>
                <w:b/>
                <w:bCs/>
                <w:sz w:val="20"/>
                <w:szCs w:val="20"/>
              </w:rPr>
              <w:t>Unit, Area of Study and Outcome</w:t>
            </w:r>
          </w:p>
          <w:p w14:paraId="249D2B6E" w14:textId="6F58570C" w:rsidR="008048C4" w:rsidRPr="002617BF" w:rsidRDefault="008048C4" w:rsidP="008048C4">
            <w:pPr>
              <w:jc w:val="center"/>
              <w:rPr>
                <w:rFonts w:ascii="Arial" w:hAnsi="Arial" w:cs="Arial"/>
                <w:b/>
                <w:bCs/>
                <w:sz w:val="20"/>
                <w:szCs w:val="20"/>
              </w:rPr>
            </w:pPr>
          </w:p>
        </w:tc>
        <w:tc>
          <w:tcPr>
            <w:tcW w:w="407" w:type="pct"/>
            <w:vAlign w:val="center"/>
          </w:tcPr>
          <w:p w14:paraId="3C97E25E" w14:textId="5E49893D" w:rsidR="0024266E" w:rsidRPr="002617BF" w:rsidRDefault="0024266E" w:rsidP="008048C4">
            <w:pPr>
              <w:jc w:val="center"/>
              <w:rPr>
                <w:rFonts w:ascii="Arial" w:hAnsi="Arial" w:cs="Arial"/>
                <w:b/>
                <w:bCs/>
                <w:sz w:val="20"/>
                <w:szCs w:val="20"/>
              </w:rPr>
            </w:pPr>
            <w:r w:rsidRPr="002617BF">
              <w:rPr>
                <w:rFonts w:ascii="Arial" w:hAnsi="Arial" w:cs="Arial"/>
                <w:b/>
                <w:bCs/>
                <w:sz w:val="20"/>
                <w:szCs w:val="20"/>
              </w:rPr>
              <w:t>Week</w:t>
            </w:r>
          </w:p>
        </w:tc>
        <w:tc>
          <w:tcPr>
            <w:tcW w:w="1677" w:type="pct"/>
            <w:vAlign w:val="center"/>
          </w:tcPr>
          <w:p w14:paraId="29D40DF6" w14:textId="11EAF079" w:rsidR="0024266E" w:rsidRPr="002617BF" w:rsidRDefault="0024266E" w:rsidP="008048C4">
            <w:pPr>
              <w:jc w:val="center"/>
              <w:rPr>
                <w:rFonts w:ascii="Arial" w:hAnsi="Arial" w:cs="Arial"/>
                <w:b/>
                <w:bCs/>
                <w:sz w:val="20"/>
                <w:szCs w:val="20"/>
              </w:rPr>
            </w:pPr>
            <w:r w:rsidRPr="002617BF">
              <w:rPr>
                <w:rFonts w:ascii="Arial" w:hAnsi="Arial" w:cs="Arial"/>
                <w:b/>
                <w:bCs/>
                <w:sz w:val="20"/>
                <w:szCs w:val="20"/>
              </w:rPr>
              <w:t>Key knowledge</w:t>
            </w:r>
          </w:p>
        </w:tc>
        <w:tc>
          <w:tcPr>
            <w:tcW w:w="1308" w:type="pct"/>
            <w:vAlign w:val="center"/>
          </w:tcPr>
          <w:p w14:paraId="472859BA" w14:textId="7AC6FF73" w:rsidR="0024266E" w:rsidRPr="002617BF" w:rsidRDefault="0024266E" w:rsidP="002E752B">
            <w:pPr>
              <w:jc w:val="center"/>
              <w:rPr>
                <w:rFonts w:ascii="Arial" w:hAnsi="Arial" w:cs="Arial"/>
                <w:b/>
                <w:bCs/>
                <w:sz w:val="20"/>
                <w:szCs w:val="20"/>
              </w:rPr>
            </w:pPr>
            <w:r w:rsidRPr="002617BF">
              <w:rPr>
                <w:rFonts w:ascii="Arial" w:hAnsi="Arial" w:cs="Arial"/>
                <w:b/>
                <w:bCs/>
                <w:sz w:val="20"/>
                <w:szCs w:val="20"/>
              </w:rPr>
              <w:t>Key Skill</w:t>
            </w:r>
            <w:r w:rsidR="002617BF">
              <w:rPr>
                <w:rFonts w:ascii="Arial" w:hAnsi="Arial" w:cs="Arial"/>
                <w:b/>
                <w:bCs/>
                <w:sz w:val="20"/>
                <w:szCs w:val="20"/>
              </w:rPr>
              <w:t>s</w:t>
            </w:r>
          </w:p>
        </w:tc>
        <w:tc>
          <w:tcPr>
            <w:tcW w:w="1000" w:type="pct"/>
            <w:vAlign w:val="center"/>
          </w:tcPr>
          <w:p w14:paraId="720719B9" w14:textId="3652DE8F" w:rsidR="0024266E" w:rsidRPr="002617BF" w:rsidRDefault="0024266E" w:rsidP="002E752B">
            <w:pPr>
              <w:jc w:val="center"/>
              <w:rPr>
                <w:rFonts w:ascii="Arial" w:hAnsi="Arial" w:cs="Arial"/>
                <w:b/>
                <w:bCs/>
                <w:sz w:val="20"/>
                <w:szCs w:val="20"/>
              </w:rPr>
            </w:pPr>
            <w:r w:rsidRPr="002617BF">
              <w:rPr>
                <w:rFonts w:ascii="Arial" w:hAnsi="Arial" w:cs="Arial"/>
                <w:b/>
                <w:bCs/>
                <w:sz w:val="20"/>
                <w:szCs w:val="20"/>
              </w:rPr>
              <w:t>Coursework and Assessment tasks</w:t>
            </w:r>
          </w:p>
        </w:tc>
      </w:tr>
      <w:tr w:rsidR="0057440E" w:rsidRPr="00267AE8" w14:paraId="23115B32" w14:textId="77777777" w:rsidTr="00B5677D">
        <w:tc>
          <w:tcPr>
            <w:tcW w:w="608" w:type="pct"/>
            <w:vMerge w:val="restart"/>
            <w:vAlign w:val="center"/>
          </w:tcPr>
          <w:p w14:paraId="7D5377A0" w14:textId="77777777" w:rsidR="0057440E" w:rsidRPr="00267AE8" w:rsidRDefault="0057440E" w:rsidP="00D426C3">
            <w:pPr>
              <w:jc w:val="center"/>
              <w:rPr>
                <w:rFonts w:ascii="Arial" w:hAnsi="Arial" w:cs="Arial"/>
                <w:sz w:val="20"/>
                <w:szCs w:val="20"/>
              </w:rPr>
            </w:pPr>
            <w:r w:rsidRPr="00267AE8">
              <w:rPr>
                <w:rFonts w:ascii="Arial" w:hAnsi="Arial" w:cs="Arial"/>
                <w:sz w:val="20"/>
                <w:szCs w:val="20"/>
              </w:rPr>
              <w:t xml:space="preserve">Unit </w:t>
            </w:r>
            <w:r>
              <w:rPr>
                <w:rFonts w:ascii="Arial" w:hAnsi="Arial" w:cs="Arial"/>
                <w:sz w:val="20"/>
                <w:szCs w:val="20"/>
              </w:rPr>
              <w:t>1</w:t>
            </w:r>
            <w:r w:rsidRPr="00267AE8">
              <w:rPr>
                <w:rFonts w:ascii="Arial" w:hAnsi="Arial" w:cs="Arial"/>
                <w:sz w:val="20"/>
                <w:szCs w:val="20"/>
              </w:rPr>
              <w:t xml:space="preserve"> - </w:t>
            </w:r>
            <w:r w:rsidRPr="00546269">
              <w:rPr>
                <w:rFonts w:ascii="Arial" w:hAnsi="Arial" w:cs="Arial"/>
                <w:sz w:val="20"/>
                <w:szCs w:val="20"/>
              </w:rPr>
              <w:t>Understanding health and wellbeing</w:t>
            </w:r>
          </w:p>
          <w:p w14:paraId="06211F27" w14:textId="77777777" w:rsidR="0057440E" w:rsidRPr="00267AE8" w:rsidRDefault="0057440E" w:rsidP="00D426C3">
            <w:pPr>
              <w:jc w:val="center"/>
              <w:rPr>
                <w:rFonts w:ascii="Arial" w:hAnsi="Arial" w:cs="Arial"/>
                <w:sz w:val="20"/>
                <w:szCs w:val="20"/>
              </w:rPr>
            </w:pPr>
          </w:p>
          <w:p w14:paraId="3FB4DAEF" w14:textId="77777777" w:rsidR="0057440E" w:rsidRPr="00267AE8" w:rsidRDefault="0057440E" w:rsidP="00D426C3">
            <w:pPr>
              <w:jc w:val="center"/>
              <w:rPr>
                <w:rFonts w:ascii="Arial" w:hAnsi="Arial" w:cs="Arial"/>
                <w:sz w:val="20"/>
                <w:szCs w:val="20"/>
              </w:rPr>
            </w:pPr>
            <w:r w:rsidRPr="00267AE8">
              <w:rPr>
                <w:rFonts w:ascii="Arial" w:hAnsi="Arial" w:cs="Arial"/>
                <w:sz w:val="20"/>
                <w:szCs w:val="20"/>
              </w:rPr>
              <w:t xml:space="preserve">Area of Study 1 - </w:t>
            </w:r>
            <w:r>
              <w:rPr>
                <w:rFonts w:ascii="Arial" w:hAnsi="Arial" w:cs="Arial"/>
                <w:sz w:val="20"/>
                <w:szCs w:val="20"/>
              </w:rPr>
              <w:t>Concepts of health</w:t>
            </w:r>
          </w:p>
          <w:p w14:paraId="183FCC68" w14:textId="77777777" w:rsidR="0057440E" w:rsidRPr="00267AE8" w:rsidRDefault="0057440E" w:rsidP="00D426C3">
            <w:pPr>
              <w:jc w:val="center"/>
              <w:rPr>
                <w:rFonts w:ascii="Arial" w:hAnsi="Arial" w:cs="Arial"/>
                <w:sz w:val="20"/>
                <w:szCs w:val="20"/>
              </w:rPr>
            </w:pPr>
          </w:p>
          <w:p w14:paraId="761C0550" w14:textId="6291737E" w:rsidR="0057440E" w:rsidRPr="00267AE8" w:rsidRDefault="0057440E" w:rsidP="00D426C3">
            <w:pPr>
              <w:jc w:val="center"/>
              <w:rPr>
                <w:rFonts w:ascii="Arial" w:hAnsi="Arial" w:cs="Arial"/>
                <w:sz w:val="20"/>
                <w:szCs w:val="20"/>
              </w:rPr>
            </w:pPr>
            <w:r w:rsidRPr="00267AE8">
              <w:rPr>
                <w:rFonts w:ascii="Arial" w:hAnsi="Arial" w:cs="Arial"/>
                <w:sz w:val="20"/>
                <w:szCs w:val="20"/>
              </w:rPr>
              <w:t>Outcome 1</w:t>
            </w:r>
          </w:p>
        </w:tc>
        <w:tc>
          <w:tcPr>
            <w:tcW w:w="407" w:type="pct"/>
            <w:vAlign w:val="center"/>
          </w:tcPr>
          <w:p w14:paraId="2C04B816" w14:textId="771BA0EF" w:rsidR="0057440E" w:rsidRPr="00267AE8" w:rsidRDefault="0057440E" w:rsidP="002E752B">
            <w:pPr>
              <w:jc w:val="center"/>
              <w:rPr>
                <w:rFonts w:ascii="Arial" w:hAnsi="Arial" w:cs="Arial"/>
                <w:sz w:val="20"/>
                <w:szCs w:val="20"/>
              </w:rPr>
            </w:pPr>
            <w:r w:rsidRPr="00267AE8">
              <w:rPr>
                <w:rFonts w:ascii="Arial" w:hAnsi="Arial" w:cs="Arial"/>
                <w:sz w:val="20"/>
                <w:szCs w:val="20"/>
              </w:rPr>
              <w:t>1</w:t>
            </w:r>
          </w:p>
        </w:tc>
        <w:tc>
          <w:tcPr>
            <w:tcW w:w="1677" w:type="pct"/>
          </w:tcPr>
          <w:p w14:paraId="0793296A" w14:textId="5E95FCB2" w:rsidR="0057440E" w:rsidRPr="00267AE8" w:rsidRDefault="0057440E" w:rsidP="002E752B">
            <w:pPr>
              <w:jc w:val="center"/>
              <w:rPr>
                <w:rFonts w:ascii="Arial" w:hAnsi="Arial" w:cs="Arial"/>
                <w:sz w:val="20"/>
                <w:szCs w:val="20"/>
              </w:rPr>
            </w:pPr>
            <w:r w:rsidRPr="00267AE8">
              <w:rPr>
                <w:rFonts w:ascii="Arial" w:hAnsi="Arial" w:cs="Arial"/>
                <w:sz w:val="20"/>
                <w:szCs w:val="20"/>
              </w:rPr>
              <w:t>Review:</w:t>
            </w:r>
          </w:p>
          <w:p w14:paraId="4C16FEBB" w14:textId="7D29B06E" w:rsidR="0057440E" w:rsidRPr="00955BE2" w:rsidRDefault="0057440E" w:rsidP="00955BE2">
            <w:pPr>
              <w:pStyle w:val="VCAAbullet"/>
              <w:rPr>
                <w:szCs w:val="20"/>
              </w:rPr>
            </w:pPr>
            <w:r>
              <w:rPr>
                <w:szCs w:val="20"/>
              </w:rPr>
              <w:t>V</w:t>
            </w:r>
            <w:r w:rsidRPr="00662068">
              <w:rPr>
                <w:szCs w:val="20"/>
              </w:rPr>
              <w:t>arious definitions of health and wellbeing: physical, social, emotional, mental and spiritual dimensions</w:t>
            </w:r>
          </w:p>
        </w:tc>
        <w:tc>
          <w:tcPr>
            <w:tcW w:w="1308" w:type="pct"/>
          </w:tcPr>
          <w:p w14:paraId="3E3B4EB7" w14:textId="77777777" w:rsidR="0057440E" w:rsidRPr="0079716D" w:rsidRDefault="0057440E" w:rsidP="0079716D">
            <w:pPr>
              <w:pStyle w:val="VCAAbullet"/>
              <w:rPr>
                <w:szCs w:val="20"/>
              </w:rPr>
            </w:pPr>
            <w:r>
              <w:rPr>
                <w:szCs w:val="20"/>
              </w:rPr>
              <w:t>D</w:t>
            </w:r>
            <w:r w:rsidRPr="00662068">
              <w:rPr>
                <w:szCs w:val="20"/>
              </w:rPr>
              <w:t>escribe and analyse various perspectives, definitions and interpretations of health and wellbeing</w:t>
            </w:r>
          </w:p>
          <w:p w14:paraId="04478FE3" w14:textId="77777777" w:rsidR="0057440E" w:rsidRPr="0079716D" w:rsidRDefault="0057440E" w:rsidP="0079716D">
            <w:pPr>
              <w:pStyle w:val="VCAAbullet"/>
              <w:numPr>
                <w:ilvl w:val="0"/>
                <w:numId w:val="0"/>
              </w:numPr>
              <w:rPr>
                <w:szCs w:val="20"/>
              </w:rPr>
            </w:pPr>
          </w:p>
          <w:p w14:paraId="4AE4952A" w14:textId="48679CEE" w:rsidR="0057440E" w:rsidRDefault="0057440E" w:rsidP="0079716D">
            <w:pPr>
              <w:pStyle w:val="VCAAbullet"/>
              <w:rPr>
                <w:szCs w:val="20"/>
              </w:rPr>
            </w:pPr>
            <w:r>
              <w:rPr>
                <w:szCs w:val="20"/>
              </w:rPr>
              <w:t>E</w:t>
            </w:r>
            <w:r w:rsidRPr="00662068">
              <w:rPr>
                <w:szCs w:val="20"/>
              </w:rPr>
              <w:t>xplain different dimensions of health and wellbeing</w:t>
            </w:r>
          </w:p>
          <w:p w14:paraId="5140126E" w14:textId="77777777" w:rsidR="0057440E" w:rsidRDefault="0057440E" w:rsidP="002E752B">
            <w:pPr>
              <w:rPr>
                <w:rFonts w:ascii="Arial" w:hAnsi="Arial" w:cs="Arial"/>
                <w:sz w:val="20"/>
                <w:szCs w:val="20"/>
              </w:rPr>
            </w:pPr>
          </w:p>
          <w:p w14:paraId="29372480" w14:textId="77777777" w:rsidR="0057440E" w:rsidRPr="00267AE8" w:rsidRDefault="0057440E" w:rsidP="002E752B">
            <w:pPr>
              <w:rPr>
                <w:rFonts w:ascii="Arial" w:hAnsi="Arial" w:cs="Arial"/>
                <w:sz w:val="20"/>
                <w:szCs w:val="20"/>
              </w:rPr>
            </w:pPr>
          </w:p>
        </w:tc>
        <w:tc>
          <w:tcPr>
            <w:tcW w:w="1000" w:type="pct"/>
            <w:vAlign w:val="center"/>
          </w:tcPr>
          <w:p w14:paraId="25D3170F" w14:textId="77777777" w:rsidR="0057440E" w:rsidRPr="00267AE8" w:rsidRDefault="0057440E" w:rsidP="002E752B">
            <w:pPr>
              <w:jc w:val="center"/>
              <w:rPr>
                <w:rFonts w:ascii="Arial" w:hAnsi="Arial" w:cs="Arial"/>
                <w:sz w:val="20"/>
                <w:szCs w:val="20"/>
              </w:rPr>
            </w:pPr>
          </w:p>
          <w:p w14:paraId="5D02BA98" w14:textId="2C537481" w:rsidR="0057440E" w:rsidRPr="00267AE8" w:rsidRDefault="0057440E" w:rsidP="002E752B">
            <w:pPr>
              <w:jc w:val="center"/>
              <w:rPr>
                <w:rFonts w:ascii="Arial" w:hAnsi="Arial" w:cs="Arial"/>
                <w:sz w:val="20"/>
                <w:szCs w:val="20"/>
              </w:rPr>
            </w:pPr>
            <w:r w:rsidRPr="00267AE8">
              <w:rPr>
                <w:rFonts w:ascii="Arial" w:hAnsi="Arial" w:cs="Arial"/>
                <w:sz w:val="20"/>
                <w:szCs w:val="20"/>
              </w:rPr>
              <w:t>Complete Area of Study 1 Booklet activities</w:t>
            </w:r>
            <w:r>
              <w:rPr>
                <w:rFonts w:ascii="Arial" w:hAnsi="Arial" w:cs="Arial"/>
                <w:sz w:val="20"/>
                <w:szCs w:val="20"/>
              </w:rPr>
              <w:t xml:space="preserve"> in section</w:t>
            </w:r>
            <w:r w:rsidRPr="00267AE8">
              <w:rPr>
                <w:rFonts w:ascii="Arial" w:hAnsi="Arial" w:cs="Arial"/>
                <w:sz w:val="20"/>
                <w:szCs w:val="20"/>
              </w:rPr>
              <w:t xml:space="preserve"> </w:t>
            </w:r>
            <w:r>
              <w:rPr>
                <w:rFonts w:ascii="Arial" w:hAnsi="Arial" w:cs="Arial"/>
                <w:sz w:val="20"/>
                <w:szCs w:val="20"/>
              </w:rPr>
              <w:t>1</w:t>
            </w:r>
            <w:r w:rsidRPr="00267AE8">
              <w:rPr>
                <w:rFonts w:ascii="Arial" w:hAnsi="Arial" w:cs="Arial"/>
                <w:sz w:val="20"/>
                <w:szCs w:val="20"/>
              </w:rPr>
              <w:t>.1.1</w:t>
            </w:r>
          </w:p>
          <w:p w14:paraId="64BB0B67" w14:textId="77777777" w:rsidR="0057440E" w:rsidRPr="00267AE8" w:rsidRDefault="0057440E" w:rsidP="002E752B">
            <w:pPr>
              <w:jc w:val="center"/>
              <w:rPr>
                <w:rFonts w:ascii="Arial" w:hAnsi="Arial" w:cs="Arial"/>
                <w:sz w:val="20"/>
                <w:szCs w:val="20"/>
              </w:rPr>
            </w:pPr>
          </w:p>
          <w:p w14:paraId="438010CD" w14:textId="35E10708" w:rsidR="0057440E" w:rsidRPr="00267AE8" w:rsidRDefault="0057440E" w:rsidP="002E752B">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57440E" w:rsidRPr="00267AE8" w14:paraId="35284CC0" w14:textId="77777777" w:rsidTr="00B5677D">
        <w:tc>
          <w:tcPr>
            <w:tcW w:w="608" w:type="pct"/>
            <w:vMerge/>
            <w:vAlign w:val="center"/>
          </w:tcPr>
          <w:p w14:paraId="6AE10C79" w14:textId="77777777" w:rsidR="0057440E" w:rsidRPr="00267AE8" w:rsidRDefault="0057440E" w:rsidP="002E752B">
            <w:pPr>
              <w:jc w:val="center"/>
              <w:rPr>
                <w:rFonts w:ascii="Arial" w:hAnsi="Arial" w:cs="Arial"/>
                <w:sz w:val="20"/>
                <w:szCs w:val="20"/>
              </w:rPr>
            </w:pPr>
          </w:p>
        </w:tc>
        <w:tc>
          <w:tcPr>
            <w:tcW w:w="407" w:type="pct"/>
            <w:vAlign w:val="center"/>
          </w:tcPr>
          <w:p w14:paraId="56A863A2" w14:textId="79F9F778" w:rsidR="0057440E" w:rsidRPr="00267AE8" w:rsidRDefault="0057440E" w:rsidP="002E752B">
            <w:pPr>
              <w:jc w:val="center"/>
              <w:rPr>
                <w:rFonts w:ascii="Arial" w:hAnsi="Arial" w:cs="Arial"/>
                <w:sz w:val="20"/>
                <w:szCs w:val="20"/>
              </w:rPr>
            </w:pPr>
            <w:r w:rsidRPr="00267AE8">
              <w:rPr>
                <w:rFonts w:ascii="Arial" w:hAnsi="Arial" w:cs="Arial"/>
                <w:sz w:val="20"/>
                <w:szCs w:val="20"/>
              </w:rPr>
              <w:t>2</w:t>
            </w:r>
          </w:p>
        </w:tc>
        <w:tc>
          <w:tcPr>
            <w:tcW w:w="1677" w:type="pct"/>
          </w:tcPr>
          <w:p w14:paraId="0C1E702E" w14:textId="77777777" w:rsidR="0057440E" w:rsidRPr="00267AE8" w:rsidRDefault="0057440E" w:rsidP="0094126B">
            <w:pPr>
              <w:pStyle w:val="VCAAbullet"/>
              <w:rPr>
                <w:szCs w:val="20"/>
              </w:rPr>
            </w:pPr>
            <w:r>
              <w:rPr>
                <w:szCs w:val="20"/>
              </w:rPr>
              <w:t>P</w:t>
            </w:r>
            <w:r w:rsidRPr="0094126B">
              <w:rPr>
                <w:szCs w:val="20"/>
              </w:rPr>
              <w:t>rerequisites for health, as determined by the WHO: peace, shelter, education, food, income, social justice, equity, stable ecosystem and sustainable resources</w:t>
            </w:r>
          </w:p>
          <w:p w14:paraId="15032A6D" w14:textId="77777777" w:rsidR="0057440E" w:rsidRPr="00267AE8" w:rsidRDefault="0057440E" w:rsidP="002E752B">
            <w:pPr>
              <w:rPr>
                <w:rFonts w:ascii="Arial" w:hAnsi="Arial" w:cs="Arial"/>
                <w:sz w:val="20"/>
                <w:szCs w:val="20"/>
              </w:rPr>
            </w:pPr>
          </w:p>
        </w:tc>
        <w:tc>
          <w:tcPr>
            <w:tcW w:w="1308" w:type="pct"/>
          </w:tcPr>
          <w:p w14:paraId="357F52A4" w14:textId="1B6E02AD" w:rsidR="0057440E" w:rsidRPr="00267AE8" w:rsidRDefault="0057440E" w:rsidP="0094126B">
            <w:pPr>
              <w:pStyle w:val="VCAAbullet"/>
              <w:rPr>
                <w:szCs w:val="20"/>
              </w:rPr>
            </w:pPr>
            <w:r>
              <w:rPr>
                <w:szCs w:val="20"/>
              </w:rPr>
              <w:t>D</w:t>
            </w:r>
            <w:r w:rsidRPr="0094126B">
              <w:rPr>
                <w:szCs w:val="20"/>
              </w:rPr>
              <w:t>iscuss how access to prerequisites for health can promote positive health outcomes</w:t>
            </w:r>
          </w:p>
        </w:tc>
        <w:tc>
          <w:tcPr>
            <w:tcW w:w="1000" w:type="pct"/>
            <w:vAlign w:val="center"/>
          </w:tcPr>
          <w:p w14:paraId="4DE5DEAB" w14:textId="044F5756" w:rsidR="0057440E" w:rsidRPr="00267AE8" w:rsidRDefault="0057440E" w:rsidP="002E752B">
            <w:pPr>
              <w:jc w:val="center"/>
              <w:rPr>
                <w:rFonts w:ascii="Arial" w:hAnsi="Arial" w:cs="Arial"/>
                <w:sz w:val="20"/>
                <w:szCs w:val="20"/>
              </w:rPr>
            </w:pPr>
            <w:r w:rsidRPr="00267AE8">
              <w:rPr>
                <w:rFonts w:ascii="Arial" w:hAnsi="Arial" w:cs="Arial"/>
                <w:sz w:val="20"/>
                <w:szCs w:val="20"/>
              </w:rPr>
              <w:t xml:space="preserve">Complete Area of Study 1 Booklet activities </w:t>
            </w:r>
            <w:r>
              <w:rPr>
                <w:rFonts w:ascii="Arial" w:hAnsi="Arial" w:cs="Arial"/>
                <w:sz w:val="20"/>
                <w:szCs w:val="20"/>
              </w:rPr>
              <w:t>in section 1</w:t>
            </w:r>
            <w:r w:rsidRPr="00267AE8">
              <w:rPr>
                <w:rFonts w:ascii="Arial" w:hAnsi="Arial" w:cs="Arial"/>
                <w:sz w:val="20"/>
                <w:szCs w:val="20"/>
              </w:rPr>
              <w:t>.1.</w:t>
            </w:r>
            <w:r>
              <w:rPr>
                <w:rFonts w:ascii="Arial" w:hAnsi="Arial" w:cs="Arial"/>
                <w:sz w:val="20"/>
                <w:szCs w:val="20"/>
              </w:rPr>
              <w:t>2</w:t>
            </w:r>
          </w:p>
          <w:p w14:paraId="0B6CBDE2" w14:textId="77777777" w:rsidR="0057440E" w:rsidRPr="00267AE8" w:rsidRDefault="0057440E" w:rsidP="002E752B">
            <w:pPr>
              <w:jc w:val="center"/>
              <w:rPr>
                <w:rFonts w:ascii="Arial" w:hAnsi="Arial" w:cs="Arial"/>
                <w:sz w:val="20"/>
                <w:szCs w:val="20"/>
              </w:rPr>
            </w:pPr>
          </w:p>
          <w:p w14:paraId="70923C82" w14:textId="0CC05123" w:rsidR="0057440E" w:rsidRPr="00267AE8" w:rsidRDefault="0057440E" w:rsidP="002E752B">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57440E" w:rsidRPr="00267AE8" w14:paraId="6A5F0DFA" w14:textId="77777777" w:rsidTr="00B5677D">
        <w:tc>
          <w:tcPr>
            <w:tcW w:w="608" w:type="pct"/>
            <w:vMerge/>
            <w:vAlign w:val="center"/>
          </w:tcPr>
          <w:p w14:paraId="7DB2ACF3" w14:textId="77777777" w:rsidR="0057440E" w:rsidRPr="00267AE8" w:rsidRDefault="0057440E" w:rsidP="002E752B">
            <w:pPr>
              <w:jc w:val="center"/>
              <w:rPr>
                <w:rFonts w:ascii="Arial" w:hAnsi="Arial" w:cs="Arial"/>
                <w:sz w:val="20"/>
                <w:szCs w:val="20"/>
              </w:rPr>
            </w:pPr>
          </w:p>
        </w:tc>
        <w:tc>
          <w:tcPr>
            <w:tcW w:w="407" w:type="pct"/>
            <w:vAlign w:val="center"/>
          </w:tcPr>
          <w:p w14:paraId="4AA1F0F8" w14:textId="0597A02C" w:rsidR="0057440E" w:rsidRPr="00267AE8" w:rsidRDefault="0057440E" w:rsidP="002E752B">
            <w:pPr>
              <w:jc w:val="center"/>
              <w:rPr>
                <w:rFonts w:ascii="Arial" w:hAnsi="Arial" w:cs="Arial"/>
                <w:sz w:val="20"/>
                <w:szCs w:val="20"/>
              </w:rPr>
            </w:pPr>
            <w:r w:rsidRPr="00267AE8">
              <w:rPr>
                <w:rFonts w:ascii="Arial" w:hAnsi="Arial" w:cs="Arial"/>
                <w:sz w:val="20"/>
                <w:szCs w:val="20"/>
              </w:rPr>
              <w:t>3</w:t>
            </w:r>
          </w:p>
        </w:tc>
        <w:tc>
          <w:tcPr>
            <w:tcW w:w="1677" w:type="pct"/>
          </w:tcPr>
          <w:p w14:paraId="41A63C53" w14:textId="78FBCFDF" w:rsidR="0057440E" w:rsidRPr="00955BE2" w:rsidRDefault="0057440E" w:rsidP="00955BE2">
            <w:pPr>
              <w:pStyle w:val="VCAAbullet"/>
              <w:rPr>
                <w:szCs w:val="20"/>
              </w:rPr>
            </w:pPr>
            <w:r>
              <w:rPr>
                <w:szCs w:val="20"/>
              </w:rPr>
              <w:t>Y</w:t>
            </w:r>
            <w:r w:rsidRPr="0094126B">
              <w:rPr>
                <w:szCs w:val="20"/>
              </w:rPr>
              <w:t>outh and Aboriginal and Torres Strait Islander perspectives on health and wellbeing</w:t>
            </w:r>
          </w:p>
        </w:tc>
        <w:tc>
          <w:tcPr>
            <w:tcW w:w="1308" w:type="pct"/>
          </w:tcPr>
          <w:p w14:paraId="350079DE" w14:textId="77777777" w:rsidR="0057440E" w:rsidRDefault="0057440E" w:rsidP="00955BE2">
            <w:pPr>
              <w:pStyle w:val="VCAAbullet"/>
              <w:rPr>
                <w:szCs w:val="20"/>
              </w:rPr>
            </w:pPr>
            <w:r>
              <w:rPr>
                <w:szCs w:val="20"/>
              </w:rPr>
              <w:t>D</w:t>
            </w:r>
            <w:r w:rsidRPr="0061489F">
              <w:rPr>
                <w:szCs w:val="20"/>
              </w:rPr>
              <w:t>escribe the subjective nature of health and wellbeing</w:t>
            </w:r>
          </w:p>
          <w:p w14:paraId="15356090" w14:textId="77777777" w:rsidR="0057440E" w:rsidRDefault="0057440E" w:rsidP="00955BE2">
            <w:pPr>
              <w:pStyle w:val="VCAAbullet"/>
              <w:numPr>
                <w:ilvl w:val="0"/>
                <w:numId w:val="0"/>
              </w:numPr>
              <w:rPr>
                <w:szCs w:val="20"/>
              </w:rPr>
            </w:pPr>
          </w:p>
          <w:p w14:paraId="655768E2" w14:textId="3FB9F679" w:rsidR="0057440E" w:rsidRPr="00267AE8" w:rsidRDefault="0057440E" w:rsidP="00955BE2">
            <w:pPr>
              <w:pStyle w:val="VCAAbullet"/>
              <w:rPr>
                <w:szCs w:val="20"/>
              </w:rPr>
            </w:pPr>
            <w:r>
              <w:rPr>
                <w:szCs w:val="20"/>
              </w:rPr>
              <w:t>D</w:t>
            </w:r>
            <w:r w:rsidRPr="00955BE2">
              <w:rPr>
                <w:szCs w:val="20"/>
              </w:rPr>
              <w:t>iscuss various perspectives on health and wellbeing, including those of youth and Aboriginal and Torres Strait Islander Peoples</w:t>
            </w:r>
          </w:p>
          <w:p w14:paraId="12E304AF" w14:textId="77777777" w:rsidR="0057440E" w:rsidRDefault="0057440E" w:rsidP="00B5677D">
            <w:pPr>
              <w:jc w:val="center"/>
              <w:rPr>
                <w:rFonts w:ascii="Arial" w:hAnsi="Arial" w:cs="Arial"/>
                <w:sz w:val="20"/>
                <w:szCs w:val="20"/>
              </w:rPr>
            </w:pPr>
          </w:p>
          <w:p w14:paraId="46B46868" w14:textId="77777777" w:rsidR="0057440E" w:rsidRDefault="0057440E" w:rsidP="00B5677D">
            <w:pPr>
              <w:jc w:val="center"/>
              <w:rPr>
                <w:rFonts w:ascii="Arial" w:hAnsi="Arial" w:cs="Arial"/>
                <w:sz w:val="20"/>
                <w:szCs w:val="20"/>
              </w:rPr>
            </w:pPr>
          </w:p>
          <w:p w14:paraId="21651B04" w14:textId="278A5AFF" w:rsidR="0057440E" w:rsidRPr="00267AE8" w:rsidRDefault="0057440E" w:rsidP="00B5677D">
            <w:pPr>
              <w:jc w:val="center"/>
              <w:rPr>
                <w:rFonts w:ascii="Arial" w:hAnsi="Arial" w:cs="Arial"/>
                <w:sz w:val="20"/>
                <w:szCs w:val="20"/>
              </w:rPr>
            </w:pPr>
          </w:p>
        </w:tc>
        <w:tc>
          <w:tcPr>
            <w:tcW w:w="1000" w:type="pct"/>
            <w:vAlign w:val="center"/>
          </w:tcPr>
          <w:p w14:paraId="18A94FDC" w14:textId="64AC2C5F" w:rsidR="0057440E" w:rsidRPr="00267AE8" w:rsidRDefault="0057440E" w:rsidP="00CD4841">
            <w:pPr>
              <w:jc w:val="center"/>
              <w:rPr>
                <w:rFonts w:ascii="Arial" w:hAnsi="Arial" w:cs="Arial"/>
                <w:sz w:val="20"/>
                <w:szCs w:val="20"/>
              </w:rPr>
            </w:pPr>
            <w:r w:rsidRPr="00267AE8">
              <w:rPr>
                <w:rFonts w:ascii="Arial" w:hAnsi="Arial" w:cs="Arial"/>
                <w:sz w:val="20"/>
                <w:szCs w:val="20"/>
              </w:rPr>
              <w:t>Complete Area of Study 1 Booklet activities</w:t>
            </w:r>
            <w:r>
              <w:rPr>
                <w:rFonts w:ascii="Arial" w:hAnsi="Arial" w:cs="Arial"/>
                <w:sz w:val="20"/>
                <w:szCs w:val="20"/>
              </w:rPr>
              <w:t xml:space="preserve"> in section</w:t>
            </w:r>
            <w:r w:rsidRPr="00267AE8">
              <w:rPr>
                <w:rFonts w:ascii="Arial" w:hAnsi="Arial" w:cs="Arial"/>
                <w:sz w:val="20"/>
                <w:szCs w:val="20"/>
              </w:rPr>
              <w:t xml:space="preserve"> </w:t>
            </w:r>
            <w:r>
              <w:rPr>
                <w:rFonts w:ascii="Arial" w:hAnsi="Arial" w:cs="Arial"/>
                <w:sz w:val="20"/>
                <w:szCs w:val="20"/>
              </w:rPr>
              <w:t>1.1.3</w:t>
            </w:r>
          </w:p>
          <w:p w14:paraId="326959FA" w14:textId="77777777" w:rsidR="0057440E" w:rsidRPr="00267AE8" w:rsidRDefault="0057440E" w:rsidP="00CD4841">
            <w:pPr>
              <w:jc w:val="center"/>
              <w:rPr>
                <w:rFonts w:ascii="Arial" w:hAnsi="Arial" w:cs="Arial"/>
                <w:sz w:val="20"/>
                <w:szCs w:val="20"/>
              </w:rPr>
            </w:pPr>
          </w:p>
          <w:p w14:paraId="74706579" w14:textId="0EADA85C" w:rsidR="0057440E" w:rsidRDefault="0057440E" w:rsidP="00CD4841">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p w14:paraId="3ECA1A48" w14:textId="01D1A555" w:rsidR="0057440E" w:rsidRPr="00267AE8" w:rsidRDefault="0057440E" w:rsidP="002E752B">
            <w:pPr>
              <w:jc w:val="center"/>
              <w:rPr>
                <w:rFonts w:ascii="Arial" w:hAnsi="Arial" w:cs="Arial"/>
                <w:sz w:val="20"/>
                <w:szCs w:val="20"/>
              </w:rPr>
            </w:pPr>
          </w:p>
        </w:tc>
      </w:tr>
      <w:tr w:rsidR="0057440E" w:rsidRPr="00267AE8" w14:paraId="36831131" w14:textId="77777777" w:rsidTr="00B5677D">
        <w:tc>
          <w:tcPr>
            <w:tcW w:w="608" w:type="pct"/>
            <w:vMerge/>
            <w:vAlign w:val="center"/>
          </w:tcPr>
          <w:p w14:paraId="30250D6D" w14:textId="77777777" w:rsidR="0057440E" w:rsidRPr="00267AE8" w:rsidRDefault="0057440E" w:rsidP="002E752B">
            <w:pPr>
              <w:jc w:val="center"/>
              <w:rPr>
                <w:rFonts w:ascii="Arial" w:hAnsi="Arial" w:cs="Arial"/>
                <w:sz w:val="20"/>
                <w:szCs w:val="20"/>
              </w:rPr>
            </w:pPr>
          </w:p>
        </w:tc>
        <w:tc>
          <w:tcPr>
            <w:tcW w:w="407" w:type="pct"/>
            <w:vAlign w:val="center"/>
          </w:tcPr>
          <w:p w14:paraId="1880DB41" w14:textId="2AE60F0E" w:rsidR="0057440E" w:rsidRPr="00267AE8" w:rsidRDefault="0057440E" w:rsidP="002E752B">
            <w:pPr>
              <w:jc w:val="center"/>
              <w:rPr>
                <w:rFonts w:ascii="Arial" w:hAnsi="Arial" w:cs="Arial"/>
                <w:sz w:val="20"/>
                <w:szCs w:val="20"/>
              </w:rPr>
            </w:pPr>
            <w:r>
              <w:rPr>
                <w:rFonts w:ascii="Arial" w:hAnsi="Arial" w:cs="Arial"/>
                <w:sz w:val="20"/>
                <w:szCs w:val="20"/>
              </w:rPr>
              <w:t>4</w:t>
            </w:r>
          </w:p>
        </w:tc>
        <w:tc>
          <w:tcPr>
            <w:tcW w:w="1677" w:type="pct"/>
          </w:tcPr>
          <w:p w14:paraId="3ECD901C" w14:textId="77777777" w:rsidR="0057440E" w:rsidRDefault="0057440E" w:rsidP="0061489F">
            <w:pPr>
              <w:pStyle w:val="VCAAbullet"/>
              <w:rPr>
                <w:szCs w:val="20"/>
              </w:rPr>
            </w:pPr>
            <w:r>
              <w:rPr>
                <w:szCs w:val="20"/>
              </w:rPr>
              <w:t>I</w:t>
            </w:r>
            <w:r w:rsidRPr="0094126B">
              <w:rPr>
                <w:szCs w:val="20"/>
              </w:rPr>
              <w:t>ndicators used to measure health status, such as incidence and prevalence of health conditions, morbidity, rates of hospitalisation, burden of disease, mortality, life expectancy, core activity limitation, psychological distress and self-assessed health status</w:t>
            </w:r>
          </w:p>
          <w:p w14:paraId="2267F91F" w14:textId="77777777" w:rsidR="0057440E" w:rsidRDefault="0057440E" w:rsidP="0094126B">
            <w:pPr>
              <w:pStyle w:val="VCAAbullet"/>
              <w:numPr>
                <w:ilvl w:val="0"/>
                <w:numId w:val="0"/>
              </w:numPr>
              <w:rPr>
                <w:szCs w:val="20"/>
              </w:rPr>
            </w:pPr>
          </w:p>
        </w:tc>
        <w:tc>
          <w:tcPr>
            <w:tcW w:w="1308" w:type="pct"/>
            <w:vMerge w:val="restart"/>
          </w:tcPr>
          <w:p w14:paraId="09CCF00F" w14:textId="2FB68736" w:rsidR="0057440E" w:rsidRDefault="0057440E" w:rsidP="0054390D">
            <w:pPr>
              <w:pStyle w:val="VCAAbullet"/>
              <w:rPr>
                <w:szCs w:val="20"/>
              </w:rPr>
            </w:pPr>
            <w:r>
              <w:rPr>
                <w:szCs w:val="20"/>
              </w:rPr>
              <w:t>D</w:t>
            </w:r>
            <w:r w:rsidRPr="0054390D">
              <w:rPr>
                <w:szCs w:val="20"/>
              </w:rPr>
              <w:t>raw conclusions from health data about the health status of youth in Australia</w:t>
            </w:r>
          </w:p>
        </w:tc>
        <w:tc>
          <w:tcPr>
            <w:tcW w:w="1000" w:type="pct"/>
            <w:vAlign w:val="center"/>
          </w:tcPr>
          <w:p w14:paraId="3C2F2F46" w14:textId="598B8116" w:rsidR="0057440E" w:rsidRPr="00267AE8" w:rsidRDefault="0057440E" w:rsidP="00CD4841">
            <w:pPr>
              <w:jc w:val="center"/>
              <w:rPr>
                <w:rFonts w:ascii="Arial" w:hAnsi="Arial" w:cs="Arial"/>
                <w:sz w:val="20"/>
                <w:szCs w:val="20"/>
              </w:rPr>
            </w:pPr>
            <w:r w:rsidRPr="00267AE8">
              <w:rPr>
                <w:rFonts w:ascii="Arial" w:hAnsi="Arial" w:cs="Arial"/>
                <w:sz w:val="20"/>
                <w:szCs w:val="20"/>
              </w:rPr>
              <w:t>Complete Area of Study 1 Booklet activities</w:t>
            </w:r>
            <w:r>
              <w:rPr>
                <w:rFonts w:ascii="Arial" w:hAnsi="Arial" w:cs="Arial"/>
                <w:sz w:val="20"/>
                <w:szCs w:val="20"/>
              </w:rPr>
              <w:t xml:space="preserve"> in section</w:t>
            </w:r>
            <w:r w:rsidRPr="00267AE8">
              <w:rPr>
                <w:rFonts w:ascii="Arial" w:hAnsi="Arial" w:cs="Arial"/>
                <w:sz w:val="20"/>
                <w:szCs w:val="20"/>
              </w:rPr>
              <w:t xml:space="preserve"> </w:t>
            </w:r>
            <w:r>
              <w:rPr>
                <w:rFonts w:ascii="Arial" w:hAnsi="Arial" w:cs="Arial"/>
                <w:sz w:val="20"/>
                <w:szCs w:val="20"/>
              </w:rPr>
              <w:t>1.1.4</w:t>
            </w:r>
          </w:p>
          <w:p w14:paraId="79356672" w14:textId="77777777" w:rsidR="0057440E" w:rsidRPr="00267AE8" w:rsidRDefault="0057440E" w:rsidP="00CD4841">
            <w:pPr>
              <w:jc w:val="center"/>
              <w:rPr>
                <w:rFonts w:ascii="Arial" w:hAnsi="Arial" w:cs="Arial"/>
                <w:sz w:val="20"/>
                <w:szCs w:val="20"/>
              </w:rPr>
            </w:pPr>
          </w:p>
          <w:p w14:paraId="1622221B" w14:textId="10A81156" w:rsidR="0057440E" w:rsidRDefault="0057440E" w:rsidP="00CD4841">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57440E" w:rsidRPr="00267AE8" w14:paraId="55487187" w14:textId="77777777" w:rsidTr="00B5677D">
        <w:tc>
          <w:tcPr>
            <w:tcW w:w="608" w:type="pct"/>
            <w:vMerge/>
            <w:vAlign w:val="center"/>
          </w:tcPr>
          <w:p w14:paraId="6557BFB1" w14:textId="77777777" w:rsidR="0057440E" w:rsidRPr="00267AE8" w:rsidRDefault="0057440E" w:rsidP="002E752B">
            <w:pPr>
              <w:jc w:val="center"/>
              <w:rPr>
                <w:rFonts w:ascii="Arial" w:hAnsi="Arial" w:cs="Arial"/>
                <w:sz w:val="20"/>
                <w:szCs w:val="20"/>
              </w:rPr>
            </w:pPr>
          </w:p>
        </w:tc>
        <w:tc>
          <w:tcPr>
            <w:tcW w:w="407" w:type="pct"/>
            <w:vAlign w:val="center"/>
          </w:tcPr>
          <w:p w14:paraId="7261D3B2" w14:textId="56DC4F5F" w:rsidR="0057440E" w:rsidRPr="00267AE8" w:rsidRDefault="0057440E" w:rsidP="002E752B">
            <w:pPr>
              <w:jc w:val="center"/>
              <w:rPr>
                <w:rFonts w:ascii="Arial" w:hAnsi="Arial" w:cs="Arial"/>
                <w:sz w:val="20"/>
                <w:szCs w:val="20"/>
              </w:rPr>
            </w:pPr>
            <w:r>
              <w:rPr>
                <w:rFonts w:ascii="Arial" w:hAnsi="Arial" w:cs="Arial"/>
                <w:sz w:val="20"/>
                <w:szCs w:val="20"/>
              </w:rPr>
              <w:t>5</w:t>
            </w:r>
          </w:p>
        </w:tc>
        <w:tc>
          <w:tcPr>
            <w:tcW w:w="1677" w:type="pct"/>
          </w:tcPr>
          <w:p w14:paraId="2E03512C" w14:textId="4270D35E" w:rsidR="0057440E" w:rsidRDefault="0057440E" w:rsidP="0054390D">
            <w:pPr>
              <w:pStyle w:val="VCAAbullet"/>
              <w:rPr>
                <w:szCs w:val="20"/>
              </w:rPr>
            </w:pPr>
            <w:r>
              <w:rPr>
                <w:szCs w:val="20"/>
              </w:rPr>
              <w:t>T</w:t>
            </w:r>
            <w:r w:rsidRPr="0054390D">
              <w:rPr>
                <w:szCs w:val="20"/>
              </w:rPr>
              <w:t>he health status of Australia’s youth</w:t>
            </w:r>
          </w:p>
        </w:tc>
        <w:tc>
          <w:tcPr>
            <w:tcW w:w="1308" w:type="pct"/>
            <w:vMerge/>
          </w:tcPr>
          <w:p w14:paraId="504DC20D" w14:textId="7E481E12" w:rsidR="0057440E" w:rsidRDefault="0057440E" w:rsidP="0054390D">
            <w:pPr>
              <w:pStyle w:val="VCAAbullet"/>
              <w:rPr>
                <w:szCs w:val="20"/>
              </w:rPr>
            </w:pPr>
          </w:p>
        </w:tc>
        <w:tc>
          <w:tcPr>
            <w:tcW w:w="1000" w:type="pct"/>
            <w:vAlign w:val="center"/>
          </w:tcPr>
          <w:p w14:paraId="327E01D0" w14:textId="07C65F8F" w:rsidR="0057440E" w:rsidRPr="00267AE8" w:rsidRDefault="0057440E" w:rsidP="00CD4841">
            <w:pPr>
              <w:jc w:val="center"/>
              <w:rPr>
                <w:rFonts w:ascii="Arial" w:hAnsi="Arial" w:cs="Arial"/>
                <w:sz w:val="20"/>
                <w:szCs w:val="20"/>
              </w:rPr>
            </w:pPr>
            <w:r w:rsidRPr="00267AE8">
              <w:rPr>
                <w:rFonts w:ascii="Arial" w:hAnsi="Arial" w:cs="Arial"/>
                <w:sz w:val="20"/>
                <w:szCs w:val="20"/>
              </w:rPr>
              <w:t>Complete Area of Study 1 Booklet activities</w:t>
            </w:r>
            <w:r>
              <w:rPr>
                <w:rFonts w:ascii="Arial" w:hAnsi="Arial" w:cs="Arial"/>
                <w:sz w:val="20"/>
                <w:szCs w:val="20"/>
              </w:rPr>
              <w:t xml:space="preserve"> in section</w:t>
            </w:r>
            <w:r w:rsidRPr="00267AE8">
              <w:rPr>
                <w:rFonts w:ascii="Arial" w:hAnsi="Arial" w:cs="Arial"/>
                <w:sz w:val="20"/>
                <w:szCs w:val="20"/>
              </w:rPr>
              <w:t xml:space="preserve"> </w:t>
            </w:r>
            <w:r>
              <w:rPr>
                <w:rFonts w:ascii="Arial" w:hAnsi="Arial" w:cs="Arial"/>
                <w:sz w:val="20"/>
                <w:szCs w:val="20"/>
              </w:rPr>
              <w:t>1.1.5</w:t>
            </w:r>
          </w:p>
          <w:p w14:paraId="271850A5" w14:textId="77777777" w:rsidR="0057440E" w:rsidRPr="00267AE8" w:rsidRDefault="0057440E" w:rsidP="00CD4841">
            <w:pPr>
              <w:jc w:val="center"/>
              <w:rPr>
                <w:rFonts w:ascii="Arial" w:hAnsi="Arial" w:cs="Arial"/>
                <w:sz w:val="20"/>
                <w:szCs w:val="20"/>
              </w:rPr>
            </w:pPr>
          </w:p>
          <w:p w14:paraId="521A47FC" w14:textId="6ADA99BD" w:rsidR="0057440E" w:rsidRDefault="0057440E" w:rsidP="00CD4841">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57440E" w:rsidRPr="00267AE8" w14:paraId="780A6FA6" w14:textId="77777777" w:rsidTr="00B5677D">
        <w:tc>
          <w:tcPr>
            <w:tcW w:w="608" w:type="pct"/>
            <w:vMerge/>
            <w:vAlign w:val="center"/>
          </w:tcPr>
          <w:p w14:paraId="1C083CC3" w14:textId="77777777" w:rsidR="0057440E" w:rsidRPr="00267AE8" w:rsidRDefault="0057440E" w:rsidP="002E752B">
            <w:pPr>
              <w:jc w:val="center"/>
              <w:rPr>
                <w:rFonts w:ascii="Arial" w:hAnsi="Arial" w:cs="Arial"/>
                <w:sz w:val="20"/>
                <w:szCs w:val="20"/>
              </w:rPr>
            </w:pPr>
          </w:p>
        </w:tc>
        <w:tc>
          <w:tcPr>
            <w:tcW w:w="407" w:type="pct"/>
            <w:vAlign w:val="center"/>
          </w:tcPr>
          <w:p w14:paraId="030FB326" w14:textId="5CDDCDB2" w:rsidR="0057440E" w:rsidRPr="00267AE8" w:rsidRDefault="0057440E" w:rsidP="002E752B">
            <w:pPr>
              <w:jc w:val="center"/>
              <w:rPr>
                <w:rFonts w:ascii="Arial" w:hAnsi="Arial" w:cs="Arial"/>
                <w:sz w:val="20"/>
                <w:szCs w:val="20"/>
              </w:rPr>
            </w:pPr>
            <w:r>
              <w:rPr>
                <w:rFonts w:ascii="Arial" w:hAnsi="Arial" w:cs="Arial"/>
                <w:sz w:val="20"/>
                <w:szCs w:val="20"/>
              </w:rPr>
              <w:t>6</w:t>
            </w:r>
          </w:p>
        </w:tc>
        <w:tc>
          <w:tcPr>
            <w:tcW w:w="1677" w:type="pct"/>
          </w:tcPr>
          <w:p w14:paraId="0C587606" w14:textId="76096D10" w:rsidR="0057440E" w:rsidRDefault="0057440E" w:rsidP="00CD4841">
            <w:pPr>
              <w:pStyle w:val="VCAAbullet"/>
              <w:rPr>
                <w:szCs w:val="20"/>
              </w:rPr>
            </w:pPr>
            <w:r>
              <w:rPr>
                <w:szCs w:val="20"/>
              </w:rPr>
              <w:t>S</w:t>
            </w:r>
            <w:r w:rsidRPr="00CD4841">
              <w:rPr>
                <w:szCs w:val="20"/>
              </w:rPr>
              <w:t>ociocultural factors that contribute to variations in health outcomes for youth, such as peer group, family, education, income and health literacy.</w:t>
            </w:r>
          </w:p>
        </w:tc>
        <w:tc>
          <w:tcPr>
            <w:tcW w:w="1308" w:type="pct"/>
          </w:tcPr>
          <w:p w14:paraId="38B48705" w14:textId="7945576A" w:rsidR="0057440E" w:rsidRDefault="0057440E" w:rsidP="00CD4841">
            <w:pPr>
              <w:pStyle w:val="VCAAbullet"/>
              <w:rPr>
                <w:szCs w:val="20"/>
              </w:rPr>
            </w:pPr>
            <w:r>
              <w:rPr>
                <w:szCs w:val="20"/>
              </w:rPr>
              <w:t>E</w:t>
            </w:r>
            <w:r w:rsidRPr="00CD4841">
              <w:rPr>
                <w:szCs w:val="20"/>
              </w:rPr>
              <w:t>xplain and analyse a range of sociocultural factors that contribute to variations in the health outcomes of Australia’s youth.</w:t>
            </w:r>
          </w:p>
        </w:tc>
        <w:tc>
          <w:tcPr>
            <w:tcW w:w="1000" w:type="pct"/>
            <w:vAlign w:val="center"/>
          </w:tcPr>
          <w:p w14:paraId="604CB356" w14:textId="3835D11E" w:rsidR="0057440E" w:rsidRPr="00267AE8" w:rsidRDefault="0057440E" w:rsidP="00CD4841">
            <w:pPr>
              <w:jc w:val="center"/>
              <w:rPr>
                <w:rFonts w:ascii="Arial" w:hAnsi="Arial" w:cs="Arial"/>
                <w:sz w:val="20"/>
                <w:szCs w:val="20"/>
              </w:rPr>
            </w:pPr>
            <w:r w:rsidRPr="00267AE8">
              <w:rPr>
                <w:rFonts w:ascii="Arial" w:hAnsi="Arial" w:cs="Arial"/>
                <w:sz w:val="20"/>
                <w:szCs w:val="20"/>
              </w:rPr>
              <w:t>Complete Area of Study 1 Booklet activities</w:t>
            </w:r>
            <w:r>
              <w:rPr>
                <w:rFonts w:ascii="Arial" w:hAnsi="Arial" w:cs="Arial"/>
                <w:sz w:val="20"/>
                <w:szCs w:val="20"/>
              </w:rPr>
              <w:t xml:space="preserve"> in section</w:t>
            </w:r>
            <w:r w:rsidRPr="00267AE8">
              <w:rPr>
                <w:rFonts w:ascii="Arial" w:hAnsi="Arial" w:cs="Arial"/>
                <w:sz w:val="20"/>
                <w:szCs w:val="20"/>
              </w:rPr>
              <w:t xml:space="preserve"> </w:t>
            </w:r>
            <w:r>
              <w:rPr>
                <w:rFonts w:ascii="Arial" w:hAnsi="Arial" w:cs="Arial"/>
                <w:sz w:val="20"/>
                <w:szCs w:val="20"/>
              </w:rPr>
              <w:t>1.1.6</w:t>
            </w:r>
          </w:p>
          <w:p w14:paraId="7988C188" w14:textId="77777777" w:rsidR="0057440E" w:rsidRPr="00267AE8" w:rsidRDefault="0057440E" w:rsidP="00CD4841">
            <w:pPr>
              <w:jc w:val="center"/>
              <w:rPr>
                <w:rFonts w:ascii="Arial" w:hAnsi="Arial" w:cs="Arial"/>
                <w:sz w:val="20"/>
                <w:szCs w:val="20"/>
              </w:rPr>
            </w:pPr>
          </w:p>
          <w:p w14:paraId="00AC9630" w14:textId="0E756FB4" w:rsidR="0057440E" w:rsidRDefault="0057440E" w:rsidP="00CD4841">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57440E" w:rsidRPr="00267AE8" w14:paraId="33481E7A" w14:textId="77777777" w:rsidTr="00B5677D">
        <w:tc>
          <w:tcPr>
            <w:tcW w:w="608" w:type="pct"/>
            <w:vMerge/>
            <w:vAlign w:val="center"/>
          </w:tcPr>
          <w:p w14:paraId="6952DA0C" w14:textId="77777777" w:rsidR="0057440E" w:rsidRPr="00267AE8" w:rsidRDefault="0057440E" w:rsidP="002E752B">
            <w:pPr>
              <w:jc w:val="center"/>
              <w:rPr>
                <w:rFonts w:ascii="Arial" w:hAnsi="Arial" w:cs="Arial"/>
                <w:sz w:val="20"/>
                <w:szCs w:val="20"/>
              </w:rPr>
            </w:pPr>
          </w:p>
        </w:tc>
        <w:tc>
          <w:tcPr>
            <w:tcW w:w="407" w:type="pct"/>
            <w:vAlign w:val="center"/>
          </w:tcPr>
          <w:p w14:paraId="2A83FF03" w14:textId="44290BDE" w:rsidR="0057440E" w:rsidRPr="00267AE8" w:rsidRDefault="0057440E" w:rsidP="002E752B">
            <w:pPr>
              <w:jc w:val="center"/>
              <w:rPr>
                <w:rFonts w:ascii="Arial" w:hAnsi="Arial" w:cs="Arial"/>
                <w:sz w:val="20"/>
                <w:szCs w:val="20"/>
              </w:rPr>
            </w:pPr>
            <w:r>
              <w:rPr>
                <w:rFonts w:ascii="Arial" w:hAnsi="Arial" w:cs="Arial"/>
                <w:sz w:val="20"/>
                <w:szCs w:val="20"/>
              </w:rPr>
              <w:t>7</w:t>
            </w:r>
          </w:p>
        </w:tc>
        <w:tc>
          <w:tcPr>
            <w:tcW w:w="1677" w:type="pct"/>
          </w:tcPr>
          <w:p w14:paraId="24DAEB36" w14:textId="6613ADB0" w:rsidR="0057440E" w:rsidRPr="00353D80" w:rsidRDefault="0057440E" w:rsidP="00353D80">
            <w:pPr>
              <w:pStyle w:val="VCAAbullet"/>
              <w:numPr>
                <w:ilvl w:val="0"/>
                <w:numId w:val="0"/>
              </w:numPr>
              <w:jc w:val="center"/>
              <w:rPr>
                <w:b/>
                <w:bCs/>
                <w:szCs w:val="20"/>
              </w:rPr>
            </w:pPr>
            <w:r w:rsidRPr="00353D80">
              <w:rPr>
                <w:b/>
                <w:bCs/>
                <w:szCs w:val="20"/>
              </w:rPr>
              <w:t>Assessment/SAC Preparation</w:t>
            </w:r>
          </w:p>
        </w:tc>
        <w:tc>
          <w:tcPr>
            <w:tcW w:w="1308" w:type="pct"/>
          </w:tcPr>
          <w:p w14:paraId="7D7E3747" w14:textId="77777777" w:rsidR="0057440E" w:rsidRDefault="0057440E" w:rsidP="00353D80">
            <w:pPr>
              <w:jc w:val="center"/>
              <w:rPr>
                <w:rFonts w:ascii="Arial" w:hAnsi="Arial" w:cs="Arial"/>
                <w:sz w:val="20"/>
                <w:szCs w:val="20"/>
              </w:rPr>
            </w:pPr>
          </w:p>
        </w:tc>
        <w:tc>
          <w:tcPr>
            <w:tcW w:w="1000" w:type="pct"/>
            <w:vAlign w:val="center"/>
          </w:tcPr>
          <w:p w14:paraId="6E1B95A0" w14:textId="034B7397" w:rsidR="0057440E" w:rsidRPr="00353D80" w:rsidRDefault="0057440E" w:rsidP="00353D80">
            <w:pPr>
              <w:jc w:val="center"/>
              <w:rPr>
                <w:rFonts w:ascii="Arial" w:hAnsi="Arial" w:cs="Arial"/>
                <w:b/>
                <w:bCs/>
                <w:sz w:val="20"/>
                <w:szCs w:val="20"/>
              </w:rPr>
            </w:pPr>
            <w:r w:rsidRPr="00353D80">
              <w:rPr>
                <w:rFonts w:ascii="Arial" w:hAnsi="Arial" w:cs="Arial"/>
                <w:b/>
                <w:bCs/>
                <w:sz w:val="20"/>
                <w:szCs w:val="20"/>
              </w:rPr>
              <w:t>Assessment/SAC 1</w:t>
            </w:r>
          </w:p>
        </w:tc>
      </w:tr>
      <w:tr w:rsidR="0057440E" w:rsidRPr="00267AE8" w14:paraId="683DB6BF" w14:textId="77777777" w:rsidTr="00B5677D">
        <w:tc>
          <w:tcPr>
            <w:tcW w:w="608" w:type="pct"/>
            <w:vMerge w:val="restart"/>
            <w:vAlign w:val="center"/>
          </w:tcPr>
          <w:p w14:paraId="3193403B" w14:textId="77777777" w:rsidR="0057440E" w:rsidRPr="00267AE8" w:rsidRDefault="0057440E" w:rsidP="0057440E">
            <w:pPr>
              <w:jc w:val="center"/>
              <w:rPr>
                <w:rFonts w:ascii="Arial" w:hAnsi="Arial" w:cs="Arial"/>
                <w:sz w:val="20"/>
                <w:szCs w:val="20"/>
              </w:rPr>
            </w:pPr>
            <w:r w:rsidRPr="00267AE8">
              <w:rPr>
                <w:rFonts w:ascii="Arial" w:hAnsi="Arial" w:cs="Arial"/>
                <w:sz w:val="20"/>
                <w:szCs w:val="20"/>
              </w:rPr>
              <w:t xml:space="preserve">Unit </w:t>
            </w:r>
            <w:r>
              <w:rPr>
                <w:rFonts w:ascii="Arial" w:hAnsi="Arial" w:cs="Arial"/>
                <w:sz w:val="20"/>
                <w:szCs w:val="20"/>
              </w:rPr>
              <w:t>1</w:t>
            </w:r>
            <w:r w:rsidRPr="00267AE8">
              <w:rPr>
                <w:rFonts w:ascii="Arial" w:hAnsi="Arial" w:cs="Arial"/>
                <w:sz w:val="20"/>
                <w:szCs w:val="20"/>
              </w:rPr>
              <w:t xml:space="preserve"> - </w:t>
            </w:r>
            <w:r w:rsidRPr="00546269">
              <w:rPr>
                <w:rFonts w:ascii="Arial" w:hAnsi="Arial" w:cs="Arial"/>
                <w:sz w:val="20"/>
                <w:szCs w:val="20"/>
              </w:rPr>
              <w:t>Understanding health and wellbeing</w:t>
            </w:r>
          </w:p>
          <w:p w14:paraId="7913DE8A" w14:textId="77777777" w:rsidR="0057440E" w:rsidRPr="00267AE8" w:rsidRDefault="0057440E" w:rsidP="0057440E">
            <w:pPr>
              <w:jc w:val="center"/>
              <w:rPr>
                <w:rFonts w:ascii="Arial" w:hAnsi="Arial" w:cs="Arial"/>
                <w:sz w:val="20"/>
                <w:szCs w:val="20"/>
              </w:rPr>
            </w:pPr>
          </w:p>
          <w:p w14:paraId="0A4D3C70" w14:textId="17D6F61F" w:rsidR="0057440E" w:rsidRPr="00267AE8" w:rsidRDefault="0057440E" w:rsidP="0057440E">
            <w:pPr>
              <w:jc w:val="center"/>
              <w:rPr>
                <w:rFonts w:ascii="Arial" w:hAnsi="Arial" w:cs="Arial"/>
                <w:sz w:val="20"/>
                <w:szCs w:val="20"/>
              </w:rPr>
            </w:pPr>
            <w:r w:rsidRPr="00267AE8">
              <w:rPr>
                <w:rFonts w:ascii="Arial" w:hAnsi="Arial" w:cs="Arial"/>
                <w:sz w:val="20"/>
                <w:szCs w:val="20"/>
              </w:rPr>
              <w:t xml:space="preserve">Area of Study </w:t>
            </w:r>
            <w:r>
              <w:rPr>
                <w:rFonts w:ascii="Arial" w:hAnsi="Arial" w:cs="Arial"/>
                <w:sz w:val="20"/>
                <w:szCs w:val="20"/>
              </w:rPr>
              <w:t>2</w:t>
            </w:r>
            <w:r w:rsidRPr="00267AE8">
              <w:rPr>
                <w:rFonts w:ascii="Arial" w:hAnsi="Arial" w:cs="Arial"/>
                <w:sz w:val="20"/>
                <w:szCs w:val="20"/>
              </w:rPr>
              <w:t xml:space="preserve"> - </w:t>
            </w:r>
            <w:r>
              <w:rPr>
                <w:rFonts w:ascii="Arial" w:hAnsi="Arial" w:cs="Arial"/>
                <w:sz w:val="20"/>
                <w:szCs w:val="20"/>
              </w:rPr>
              <w:t>Youth health and wellbeing</w:t>
            </w:r>
          </w:p>
          <w:p w14:paraId="5014422B" w14:textId="77777777" w:rsidR="0057440E" w:rsidRPr="00267AE8" w:rsidRDefault="0057440E" w:rsidP="0057440E">
            <w:pPr>
              <w:jc w:val="center"/>
              <w:rPr>
                <w:rFonts w:ascii="Arial" w:hAnsi="Arial" w:cs="Arial"/>
                <w:sz w:val="20"/>
                <w:szCs w:val="20"/>
              </w:rPr>
            </w:pPr>
          </w:p>
          <w:p w14:paraId="4ECA26BB" w14:textId="29B86433" w:rsidR="0057440E" w:rsidRPr="00267AE8" w:rsidRDefault="0057440E" w:rsidP="0057440E">
            <w:pPr>
              <w:jc w:val="center"/>
              <w:rPr>
                <w:rFonts w:ascii="Arial" w:hAnsi="Arial" w:cs="Arial"/>
                <w:sz w:val="20"/>
                <w:szCs w:val="20"/>
              </w:rPr>
            </w:pPr>
            <w:r w:rsidRPr="00267AE8">
              <w:rPr>
                <w:rFonts w:ascii="Arial" w:hAnsi="Arial" w:cs="Arial"/>
                <w:sz w:val="20"/>
                <w:szCs w:val="20"/>
              </w:rPr>
              <w:t xml:space="preserve">Outcome </w:t>
            </w:r>
            <w:r>
              <w:rPr>
                <w:rFonts w:ascii="Arial" w:hAnsi="Arial" w:cs="Arial"/>
                <w:sz w:val="20"/>
                <w:szCs w:val="20"/>
              </w:rPr>
              <w:t>2</w:t>
            </w:r>
          </w:p>
        </w:tc>
        <w:tc>
          <w:tcPr>
            <w:tcW w:w="407" w:type="pct"/>
            <w:vAlign w:val="center"/>
          </w:tcPr>
          <w:p w14:paraId="3C3CC66D" w14:textId="75B91432" w:rsidR="0057440E" w:rsidRPr="00267AE8" w:rsidRDefault="0057440E" w:rsidP="002E752B">
            <w:pPr>
              <w:jc w:val="center"/>
              <w:rPr>
                <w:rFonts w:ascii="Arial" w:hAnsi="Arial" w:cs="Arial"/>
                <w:sz w:val="20"/>
                <w:szCs w:val="20"/>
              </w:rPr>
            </w:pPr>
            <w:r>
              <w:rPr>
                <w:rFonts w:ascii="Arial" w:hAnsi="Arial" w:cs="Arial"/>
                <w:sz w:val="20"/>
                <w:szCs w:val="20"/>
              </w:rPr>
              <w:t>8</w:t>
            </w:r>
          </w:p>
        </w:tc>
        <w:tc>
          <w:tcPr>
            <w:tcW w:w="1677" w:type="pct"/>
          </w:tcPr>
          <w:p w14:paraId="02950C0F" w14:textId="05D3A3FE" w:rsidR="0057440E" w:rsidRDefault="0057440E" w:rsidP="0057440E">
            <w:pPr>
              <w:pStyle w:val="VCAAbullet"/>
              <w:rPr>
                <w:szCs w:val="20"/>
              </w:rPr>
            </w:pPr>
            <w:r>
              <w:rPr>
                <w:szCs w:val="20"/>
              </w:rPr>
              <w:t>K</w:t>
            </w:r>
            <w:r w:rsidRPr="0057440E">
              <w:rPr>
                <w:szCs w:val="20"/>
              </w:rPr>
              <w:t>ey areas of youth health requiring health action, as indicated by health data</w:t>
            </w:r>
          </w:p>
        </w:tc>
        <w:tc>
          <w:tcPr>
            <w:tcW w:w="1308" w:type="pct"/>
          </w:tcPr>
          <w:p w14:paraId="45F8DCAE" w14:textId="77777777" w:rsidR="0057440E" w:rsidRDefault="0057440E" w:rsidP="0057440E">
            <w:pPr>
              <w:pStyle w:val="VCAAbullet"/>
              <w:rPr>
                <w:szCs w:val="20"/>
              </w:rPr>
            </w:pPr>
            <w:r>
              <w:rPr>
                <w:szCs w:val="20"/>
              </w:rPr>
              <w:t>I</w:t>
            </w:r>
            <w:r w:rsidRPr="0057440E">
              <w:rPr>
                <w:szCs w:val="20"/>
              </w:rPr>
              <w:t>dentify key areas for action and improvement in youth health and wellbeing using research to interpret data</w:t>
            </w:r>
          </w:p>
          <w:p w14:paraId="0C740D72" w14:textId="77777777" w:rsidR="00353D80" w:rsidRDefault="00353D80" w:rsidP="00353D80">
            <w:pPr>
              <w:pStyle w:val="VCAAbullet"/>
              <w:numPr>
                <w:ilvl w:val="0"/>
                <w:numId w:val="0"/>
              </w:numPr>
              <w:rPr>
                <w:szCs w:val="20"/>
              </w:rPr>
            </w:pPr>
          </w:p>
          <w:p w14:paraId="2AFC415D" w14:textId="5B34741A" w:rsidR="00353D80" w:rsidRDefault="00353D80" w:rsidP="0057440E">
            <w:pPr>
              <w:pStyle w:val="VCAAbullet"/>
              <w:rPr>
                <w:szCs w:val="20"/>
              </w:rPr>
            </w:pPr>
            <w:r>
              <w:rPr>
                <w:szCs w:val="20"/>
              </w:rPr>
              <w:t>A</w:t>
            </w:r>
            <w:r w:rsidRPr="00353D80">
              <w:rPr>
                <w:szCs w:val="20"/>
              </w:rPr>
              <w:t>nalyse factors that contribute to inequalities in the health status of Australia’s youth</w:t>
            </w:r>
          </w:p>
        </w:tc>
        <w:tc>
          <w:tcPr>
            <w:tcW w:w="1000" w:type="pct"/>
            <w:vAlign w:val="center"/>
          </w:tcPr>
          <w:p w14:paraId="56D74214" w14:textId="79EF2691" w:rsidR="00353D80" w:rsidRPr="00267AE8" w:rsidRDefault="00353D80" w:rsidP="00353D80">
            <w:pPr>
              <w:jc w:val="center"/>
              <w:rPr>
                <w:rFonts w:ascii="Arial" w:hAnsi="Arial" w:cs="Arial"/>
                <w:sz w:val="20"/>
                <w:szCs w:val="20"/>
              </w:rPr>
            </w:pPr>
            <w:r w:rsidRPr="00267AE8">
              <w:rPr>
                <w:rFonts w:ascii="Arial" w:hAnsi="Arial" w:cs="Arial"/>
                <w:sz w:val="20"/>
                <w:szCs w:val="20"/>
              </w:rPr>
              <w:t xml:space="preserve">Complete Area of Study </w:t>
            </w:r>
            <w:r>
              <w:rPr>
                <w:rFonts w:ascii="Arial" w:hAnsi="Arial" w:cs="Arial"/>
                <w:sz w:val="20"/>
                <w:szCs w:val="20"/>
              </w:rPr>
              <w:t>2</w:t>
            </w:r>
            <w:r w:rsidRPr="00267AE8">
              <w:rPr>
                <w:rFonts w:ascii="Arial" w:hAnsi="Arial" w:cs="Arial"/>
                <w:sz w:val="20"/>
                <w:szCs w:val="20"/>
              </w:rPr>
              <w:t xml:space="preserve"> Booklet activities</w:t>
            </w:r>
            <w:r>
              <w:rPr>
                <w:rFonts w:ascii="Arial" w:hAnsi="Arial" w:cs="Arial"/>
                <w:sz w:val="20"/>
                <w:szCs w:val="20"/>
              </w:rPr>
              <w:t xml:space="preserve"> in section</w:t>
            </w:r>
            <w:r w:rsidRPr="00267AE8">
              <w:rPr>
                <w:rFonts w:ascii="Arial" w:hAnsi="Arial" w:cs="Arial"/>
                <w:sz w:val="20"/>
                <w:szCs w:val="20"/>
              </w:rPr>
              <w:t xml:space="preserve"> </w:t>
            </w:r>
            <w:r>
              <w:rPr>
                <w:rFonts w:ascii="Arial" w:hAnsi="Arial" w:cs="Arial"/>
                <w:sz w:val="20"/>
                <w:szCs w:val="20"/>
              </w:rPr>
              <w:t>1.2.1</w:t>
            </w:r>
          </w:p>
          <w:p w14:paraId="1B0ED6EE" w14:textId="77777777" w:rsidR="00353D80" w:rsidRPr="00267AE8" w:rsidRDefault="00353D80" w:rsidP="00353D80">
            <w:pPr>
              <w:jc w:val="center"/>
              <w:rPr>
                <w:rFonts w:ascii="Arial" w:hAnsi="Arial" w:cs="Arial"/>
                <w:sz w:val="20"/>
                <w:szCs w:val="20"/>
              </w:rPr>
            </w:pPr>
          </w:p>
          <w:p w14:paraId="2A64632E" w14:textId="23581DE3" w:rsidR="0057440E" w:rsidRDefault="00353D80" w:rsidP="00353D80">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57440E" w:rsidRPr="00267AE8" w14:paraId="6FB036B2" w14:textId="77777777" w:rsidTr="00B5677D">
        <w:tc>
          <w:tcPr>
            <w:tcW w:w="608" w:type="pct"/>
            <w:vMerge/>
            <w:vAlign w:val="center"/>
          </w:tcPr>
          <w:p w14:paraId="5CE9557C" w14:textId="77777777" w:rsidR="0057440E" w:rsidRPr="00267AE8" w:rsidRDefault="0057440E" w:rsidP="002E752B">
            <w:pPr>
              <w:jc w:val="center"/>
              <w:rPr>
                <w:rFonts w:ascii="Arial" w:hAnsi="Arial" w:cs="Arial"/>
                <w:sz w:val="20"/>
                <w:szCs w:val="20"/>
              </w:rPr>
            </w:pPr>
          </w:p>
        </w:tc>
        <w:tc>
          <w:tcPr>
            <w:tcW w:w="407" w:type="pct"/>
            <w:vAlign w:val="center"/>
          </w:tcPr>
          <w:p w14:paraId="7E8163BD" w14:textId="5848A61E" w:rsidR="0057440E" w:rsidRPr="00267AE8" w:rsidRDefault="0057440E" w:rsidP="002E752B">
            <w:pPr>
              <w:jc w:val="center"/>
              <w:rPr>
                <w:rFonts w:ascii="Arial" w:hAnsi="Arial" w:cs="Arial"/>
                <w:sz w:val="20"/>
                <w:szCs w:val="20"/>
              </w:rPr>
            </w:pPr>
            <w:r>
              <w:rPr>
                <w:rFonts w:ascii="Arial" w:hAnsi="Arial" w:cs="Arial"/>
                <w:sz w:val="20"/>
                <w:szCs w:val="20"/>
              </w:rPr>
              <w:t>9</w:t>
            </w:r>
          </w:p>
        </w:tc>
        <w:tc>
          <w:tcPr>
            <w:tcW w:w="1677" w:type="pct"/>
          </w:tcPr>
          <w:p w14:paraId="44DC46DE" w14:textId="773F0A36" w:rsidR="0057440E" w:rsidRDefault="0057440E" w:rsidP="0057440E">
            <w:pPr>
              <w:pStyle w:val="VCAAbullet"/>
              <w:rPr>
                <w:szCs w:val="20"/>
              </w:rPr>
            </w:pPr>
            <w:r>
              <w:rPr>
                <w:szCs w:val="20"/>
              </w:rPr>
              <w:t>G</w:t>
            </w:r>
            <w:r w:rsidRPr="0057440E">
              <w:rPr>
                <w:szCs w:val="20"/>
              </w:rPr>
              <w:t>overnment and non-government programs relating to youth health and wellbeing</w:t>
            </w:r>
          </w:p>
        </w:tc>
        <w:tc>
          <w:tcPr>
            <w:tcW w:w="1308" w:type="pct"/>
          </w:tcPr>
          <w:p w14:paraId="51977A34" w14:textId="49CA52AC" w:rsidR="0057440E" w:rsidRDefault="00353D80" w:rsidP="00353D80">
            <w:pPr>
              <w:pStyle w:val="VCAAbullet"/>
              <w:rPr>
                <w:szCs w:val="20"/>
              </w:rPr>
            </w:pPr>
            <w:r>
              <w:rPr>
                <w:szCs w:val="20"/>
              </w:rPr>
              <w:t>A</w:t>
            </w:r>
            <w:r w:rsidRPr="00353D80">
              <w:rPr>
                <w:szCs w:val="20"/>
              </w:rPr>
              <w:t>nalyse factors that influence the creation and implementation of, and access to, programs that target youth health such as equity, social justice, community values and funding</w:t>
            </w:r>
          </w:p>
        </w:tc>
        <w:tc>
          <w:tcPr>
            <w:tcW w:w="1000" w:type="pct"/>
            <w:vAlign w:val="center"/>
          </w:tcPr>
          <w:p w14:paraId="1AC9CC4A" w14:textId="12DE72E2" w:rsidR="00353D80" w:rsidRPr="00267AE8" w:rsidRDefault="00353D80" w:rsidP="00353D80">
            <w:pPr>
              <w:jc w:val="center"/>
              <w:rPr>
                <w:rFonts w:ascii="Arial" w:hAnsi="Arial" w:cs="Arial"/>
                <w:sz w:val="20"/>
                <w:szCs w:val="20"/>
              </w:rPr>
            </w:pPr>
            <w:r w:rsidRPr="00267AE8">
              <w:rPr>
                <w:rFonts w:ascii="Arial" w:hAnsi="Arial" w:cs="Arial"/>
                <w:sz w:val="20"/>
                <w:szCs w:val="20"/>
              </w:rPr>
              <w:t xml:space="preserve">Complete Area of Study </w:t>
            </w:r>
            <w:r>
              <w:rPr>
                <w:rFonts w:ascii="Arial" w:hAnsi="Arial" w:cs="Arial"/>
                <w:sz w:val="20"/>
                <w:szCs w:val="20"/>
              </w:rPr>
              <w:t>2</w:t>
            </w:r>
            <w:r w:rsidRPr="00267AE8">
              <w:rPr>
                <w:rFonts w:ascii="Arial" w:hAnsi="Arial" w:cs="Arial"/>
                <w:sz w:val="20"/>
                <w:szCs w:val="20"/>
              </w:rPr>
              <w:t xml:space="preserve"> Booklet activities</w:t>
            </w:r>
            <w:r>
              <w:rPr>
                <w:rFonts w:ascii="Arial" w:hAnsi="Arial" w:cs="Arial"/>
                <w:sz w:val="20"/>
                <w:szCs w:val="20"/>
              </w:rPr>
              <w:t xml:space="preserve"> in section</w:t>
            </w:r>
            <w:r w:rsidRPr="00267AE8">
              <w:rPr>
                <w:rFonts w:ascii="Arial" w:hAnsi="Arial" w:cs="Arial"/>
                <w:sz w:val="20"/>
                <w:szCs w:val="20"/>
              </w:rPr>
              <w:t xml:space="preserve"> </w:t>
            </w:r>
            <w:r>
              <w:rPr>
                <w:rFonts w:ascii="Arial" w:hAnsi="Arial" w:cs="Arial"/>
                <w:sz w:val="20"/>
                <w:szCs w:val="20"/>
              </w:rPr>
              <w:t>1.2.2</w:t>
            </w:r>
          </w:p>
          <w:p w14:paraId="4AAEE336" w14:textId="77777777" w:rsidR="00353D80" w:rsidRPr="00267AE8" w:rsidRDefault="00353D80" w:rsidP="00353D80">
            <w:pPr>
              <w:jc w:val="center"/>
              <w:rPr>
                <w:rFonts w:ascii="Arial" w:hAnsi="Arial" w:cs="Arial"/>
                <w:sz w:val="20"/>
                <w:szCs w:val="20"/>
              </w:rPr>
            </w:pPr>
          </w:p>
          <w:p w14:paraId="3B3808A3" w14:textId="324F6E87" w:rsidR="0057440E" w:rsidRDefault="00353D80" w:rsidP="00353D80">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57440E" w:rsidRPr="00267AE8" w14:paraId="0082B0BD" w14:textId="77777777" w:rsidTr="00B5677D">
        <w:tc>
          <w:tcPr>
            <w:tcW w:w="608" w:type="pct"/>
            <w:vMerge/>
            <w:vAlign w:val="center"/>
          </w:tcPr>
          <w:p w14:paraId="5ECD905E" w14:textId="77777777" w:rsidR="0057440E" w:rsidRPr="00267AE8" w:rsidRDefault="0057440E" w:rsidP="002E752B">
            <w:pPr>
              <w:jc w:val="center"/>
              <w:rPr>
                <w:rFonts w:ascii="Arial" w:hAnsi="Arial" w:cs="Arial"/>
                <w:sz w:val="20"/>
                <w:szCs w:val="20"/>
              </w:rPr>
            </w:pPr>
          </w:p>
        </w:tc>
        <w:tc>
          <w:tcPr>
            <w:tcW w:w="407" w:type="pct"/>
            <w:vAlign w:val="center"/>
          </w:tcPr>
          <w:p w14:paraId="0F2841B7" w14:textId="52E49DE6" w:rsidR="0057440E" w:rsidRPr="00267AE8" w:rsidRDefault="0057440E" w:rsidP="002E752B">
            <w:pPr>
              <w:jc w:val="center"/>
              <w:rPr>
                <w:rFonts w:ascii="Arial" w:hAnsi="Arial" w:cs="Arial"/>
                <w:sz w:val="20"/>
                <w:szCs w:val="20"/>
              </w:rPr>
            </w:pPr>
            <w:r>
              <w:rPr>
                <w:rFonts w:ascii="Arial" w:hAnsi="Arial" w:cs="Arial"/>
                <w:sz w:val="20"/>
                <w:szCs w:val="20"/>
              </w:rPr>
              <w:t>10</w:t>
            </w:r>
          </w:p>
        </w:tc>
        <w:tc>
          <w:tcPr>
            <w:tcW w:w="1677" w:type="pct"/>
          </w:tcPr>
          <w:p w14:paraId="3D5BA16E" w14:textId="43B5FC03" w:rsidR="0057440E" w:rsidRPr="0057440E" w:rsidRDefault="0057440E" w:rsidP="0057440E">
            <w:pPr>
              <w:pStyle w:val="VCAAbullet"/>
              <w:rPr>
                <w:szCs w:val="20"/>
              </w:rPr>
            </w:pPr>
            <w:r>
              <w:rPr>
                <w:szCs w:val="20"/>
              </w:rPr>
              <w:t>T</w:t>
            </w:r>
            <w:r w:rsidRPr="0057440E">
              <w:rPr>
                <w:szCs w:val="20"/>
              </w:rPr>
              <w:t>he following features of one health focus relating to Australia’s youth:</w:t>
            </w:r>
          </w:p>
          <w:p w14:paraId="7F4CC9BB" w14:textId="77777777" w:rsidR="0057440E" w:rsidRPr="00F812C7" w:rsidRDefault="0057440E" w:rsidP="0057440E">
            <w:pPr>
              <w:pStyle w:val="VCAAbulletlevel2"/>
            </w:pPr>
            <w:r w:rsidRPr="00F812C7">
              <w:t>impact on different dimensions of health and wellbeing</w:t>
            </w:r>
          </w:p>
          <w:p w14:paraId="3FE403CB" w14:textId="77777777" w:rsidR="0057440E" w:rsidRPr="00F812C7" w:rsidRDefault="0057440E" w:rsidP="0057440E">
            <w:pPr>
              <w:pStyle w:val="VCAAbulletlevel2"/>
            </w:pPr>
            <w:r w:rsidRPr="00F812C7">
              <w:t>data such as incidence, prevalence and trends</w:t>
            </w:r>
          </w:p>
          <w:p w14:paraId="29725C23" w14:textId="77777777" w:rsidR="0057440E" w:rsidRPr="00F812C7" w:rsidRDefault="0057440E" w:rsidP="0057440E">
            <w:pPr>
              <w:pStyle w:val="VCAAbulletlevel2"/>
            </w:pPr>
            <w:r w:rsidRPr="00F812C7">
              <w:t xml:space="preserve">risk and protective factors </w:t>
            </w:r>
          </w:p>
          <w:p w14:paraId="234578F1" w14:textId="77777777" w:rsidR="0057440E" w:rsidRPr="00F812C7" w:rsidRDefault="0057440E" w:rsidP="0057440E">
            <w:pPr>
              <w:pStyle w:val="VCAAbulletlevel2"/>
            </w:pPr>
            <w:r w:rsidRPr="00F812C7">
              <w:t xml:space="preserve">healthcare services and support </w:t>
            </w:r>
          </w:p>
          <w:p w14:paraId="3B3D814E" w14:textId="77777777" w:rsidR="0057440E" w:rsidRPr="00F812C7" w:rsidRDefault="0057440E" w:rsidP="0057440E">
            <w:pPr>
              <w:pStyle w:val="VCAAbulletlevel2"/>
            </w:pPr>
            <w:r w:rsidRPr="00F812C7">
              <w:t xml:space="preserve">government and community programs and personal strategies to reduce negative impact </w:t>
            </w:r>
          </w:p>
          <w:p w14:paraId="41965950" w14:textId="77777777" w:rsidR="0057440E" w:rsidRPr="00F812C7" w:rsidRDefault="0057440E" w:rsidP="0057440E">
            <w:pPr>
              <w:pStyle w:val="VCAAbulletlevel2"/>
            </w:pPr>
            <w:r w:rsidRPr="00F812C7">
              <w:t xml:space="preserve">direct, indirect and intangible costs to individuals and/or communities </w:t>
            </w:r>
          </w:p>
          <w:p w14:paraId="3FED32F2" w14:textId="77777777" w:rsidR="0057440E" w:rsidRPr="00F812C7" w:rsidRDefault="0057440E" w:rsidP="0057440E">
            <w:pPr>
              <w:pStyle w:val="VCAAbulletlevel2"/>
            </w:pPr>
            <w:r w:rsidRPr="00F812C7">
              <w:lastRenderedPageBreak/>
              <w:t>opportunities for youth advocacy and action on a personal and community level to improve outcomes in terms of health and equity</w:t>
            </w:r>
            <w:r>
              <w:t>.</w:t>
            </w:r>
          </w:p>
          <w:p w14:paraId="166DBB9C" w14:textId="77777777" w:rsidR="0057440E" w:rsidRDefault="0057440E" w:rsidP="0094126B">
            <w:pPr>
              <w:pStyle w:val="VCAAbullet"/>
              <w:numPr>
                <w:ilvl w:val="0"/>
                <w:numId w:val="0"/>
              </w:numPr>
              <w:rPr>
                <w:szCs w:val="20"/>
              </w:rPr>
            </w:pPr>
          </w:p>
        </w:tc>
        <w:tc>
          <w:tcPr>
            <w:tcW w:w="1308" w:type="pct"/>
          </w:tcPr>
          <w:p w14:paraId="0AC31702" w14:textId="1F65CE6C" w:rsidR="0057440E" w:rsidRDefault="00353D80" w:rsidP="00353D80">
            <w:pPr>
              <w:pStyle w:val="VCAAbullet"/>
              <w:rPr>
                <w:szCs w:val="20"/>
              </w:rPr>
            </w:pPr>
            <w:r>
              <w:rPr>
                <w:szCs w:val="20"/>
              </w:rPr>
              <w:lastRenderedPageBreak/>
              <w:t>Re</w:t>
            </w:r>
            <w:r w:rsidRPr="00353D80">
              <w:rPr>
                <w:szCs w:val="20"/>
              </w:rPr>
              <w:t>search, collect and analyse data on one health focus relating to youth, examining its impact, management, advocacy and costs.</w:t>
            </w:r>
          </w:p>
        </w:tc>
        <w:tc>
          <w:tcPr>
            <w:tcW w:w="1000" w:type="pct"/>
            <w:vAlign w:val="center"/>
          </w:tcPr>
          <w:p w14:paraId="7AEA0E4E" w14:textId="33259F2A" w:rsidR="00353D80" w:rsidRPr="00267AE8" w:rsidRDefault="00353D80" w:rsidP="00353D80">
            <w:pPr>
              <w:jc w:val="center"/>
              <w:rPr>
                <w:rFonts w:ascii="Arial" w:hAnsi="Arial" w:cs="Arial"/>
                <w:sz w:val="20"/>
                <w:szCs w:val="20"/>
              </w:rPr>
            </w:pPr>
            <w:r w:rsidRPr="00267AE8">
              <w:rPr>
                <w:rFonts w:ascii="Arial" w:hAnsi="Arial" w:cs="Arial"/>
                <w:sz w:val="20"/>
                <w:szCs w:val="20"/>
              </w:rPr>
              <w:t xml:space="preserve">Complete Area of Study </w:t>
            </w:r>
            <w:r>
              <w:rPr>
                <w:rFonts w:ascii="Arial" w:hAnsi="Arial" w:cs="Arial"/>
                <w:sz w:val="20"/>
                <w:szCs w:val="20"/>
              </w:rPr>
              <w:t>2</w:t>
            </w:r>
            <w:r w:rsidRPr="00267AE8">
              <w:rPr>
                <w:rFonts w:ascii="Arial" w:hAnsi="Arial" w:cs="Arial"/>
                <w:sz w:val="20"/>
                <w:szCs w:val="20"/>
              </w:rPr>
              <w:t xml:space="preserve"> Booklet activities</w:t>
            </w:r>
            <w:r>
              <w:rPr>
                <w:rFonts w:ascii="Arial" w:hAnsi="Arial" w:cs="Arial"/>
                <w:sz w:val="20"/>
                <w:szCs w:val="20"/>
              </w:rPr>
              <w:t xml:space="preserve"> in section</w:t>
            </w:r>
            <w:r w:rsidRPr="00267AE8">
              <w:rPr>
                <w:rFonts w:ascii="Arial" w:hAnsi="Arial" w:cs="Arial"/>
                <w:sz w:val="20"/>
                <w:szCs w:val="20"/>
              </w:rPr>
              <w:t xml:space="preserve"> </w:t>
            </w:r>
            <w:r>
              <w:rPr>
                <w:rFonts w:ascii="Arial" w:hAnsi="Arial" w:cs="Arial"/>
                <w:sz w:val="20"/>
                <w:szCs w:val="20"/>
              </w:rPr>
              <w:t>1.2.3</w:t>
            </w:r>
          </w:p>
          <w:p w14:paraId="0033CE1C" w14:textId="77777777" w:rsidR="00353D80" w:rsidRPr="00267AE8" w:rsidRDefault="00353D80" w:rsidP="00353D80">
            <w:pPr>
              <w:jc w:val="center"/>
              <w:rPr>
                <w:rFonts w:ascii="Arial" w:hAnsi="Arial" w:cs="Arial"/>
                <w:sz w:val="20"/>
                <w:szCs w:val="20"/>
              </w:rPr>
            </w:pPr>
          </w:p>
          <w:p w14:paraId="79565834" w14:textId="5E76C0BE" w:rsidR="0057440E" w:rsidRDefault="00353D80" w:rsidP="00353D80">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bl>
    <w:p w14:paraId="0A4C2477" w14:textId="77777777" w:rsidR="0024266E" w:rsidRPr="00267AE8" w:rsidRDefault="0024266E" w:rsidP="00A22D09">
      <w:pPr>
        <w:jc w:val="center"/>
        <w:rPr>
          <w:rFonts w:ascii="Arial" w:hAnsi="Arial" w:cs="Arial"/>
          <w:sz w:val="20"/>
          <w:szCs w:val="20"/>
        </w:rPr>
      </w:pPr>
    </w:p>
    <w:sectPr w:rsidR="0024266E" w:rsidRPr="00267AE8" w:rsidSect="00B5677D">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F8ED" w14:textId="77777777" w:rsidR="005C475D" w:rsidRDefault="005C475D" w:rsidP="00A22D09">
      <w:r>
        <w:separator/>
      </w:r>
    </w:p>
  </w:endnote>
  <w:endnote w:type="continuationSeparator" w:id="0">
    <w:p w14:paraId="35D9046E" w14:textId="77777777" w:rsidR="005C475D" w:rsidRDefault="005C475D" w:rsidP="00A2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69BC" w14:textId="099ECC58" w:rsidR="00A22D09" w:rsidRPr="0023275D" w:rsidRDefault="0023275D" w:rsidP="0023275D">
    <w:pPr>
      <w:pStyle w:val="Footer"/>
    </w:pPr>
    <w:r>
      <w:rPr>
        <w:rFonts w:ascii="Arial" w:hAnsi="Arial" w:cs="Arial"/>
        <w:sz w:val="16"/>
        <w:szCs w:val="16"/>
      </w:rPr>
      <w:t xml:space="preserve">© HRH 2025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hyperlink r:id="rId1" w:history="1">
      <w:r w:rsidRPr="00FF3E1A">
        <w:rPr>
          <w:rStyle w:val="Hyperlink"/>
          <w:rFonts w:ascii="Arial" w:hAnsi="Arial" w:cs="Arial"/>
          <w:color w:val="0432FF"/>
          <w:sz w:val="16"/>
          <w:szCs w:val="16"/>
        </w:rPr>
        <w:t>www.thehrh.net.au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5A22" w14:textId="77777777" w:rsidR="005C475D" w:rsidRDefault="005C475D" w:rsidP="00A22D09">
      <w:r>
        <w:separator/>
      </w:r>
    </w:p>
  </w:footnote>
  <w:footnote w:type="continuationSeparator" w:id="0">
    <w:p w14:paraId="4A6DEA21" w14:textId="77777777" w:rsidR="005C475D" w:rsidRDefault="005C475D" w:rsidP="00A22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249DB"/>
    <w:multiLevelType w:val="hybridMultilevel"/>
    <w:tmpl w:val="ECB0CF38"/>
    <w:lvl w:ilvl="0" w:tplc="50426742">
      <w:numFmt w:val="bullet"/>
      <w:pStyle w:val="VCAAbulletlevel2"/>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7A1F59CD"/>
    <w:multiLevelType w:val="hybridMultilevel"/>
    <w:tmpl w:val="51BABA5C"/>
    <w:lvl w:ilvl="0" w:tplc="8CD08DF0">
      <w:start w:val="1"/>
      <w:numFmt w:val="bullet"/>
      <w:pStyle w:val="VCAA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4697356">
    <w:abstractNumId w:val="1"/>
  </w:num>
  <w:num w:numId="2" w16cid:durableId="547499530">
    <w:abstractNumId w:val="0"/>
  </w:num>
  <w:num w:numId="3" w16cid:durableId="2073841819">
    <w:abstractNumId w:val="1"/>
  </w:num>
  <w:num w:numId="4" w16cid:durableId="1126697111">
    <w:abstractNumId w:val="1"/>
  </w:num>
  <w:num w:numId="5" w16cid:durableId="1180314365">
    <w:abstractNumId w:val="1"/>
  </w:num>
  <w:num w:numId="6" w16cid:durableId="1319110632">
    <w:abstractNumId w:val="1"/>
  </w:num>
  <w:num w:numId="7" w16cid:durableId="1974555369">
    <w:abstractNumId w:val="1"/>
  </w:num>
  <w:num w:numId="8" w16cid:durableId="789981632">
    <w:abstractNumId w:val="1"/>
  </w:num>
  <w:num w:numId="9" w16cid:durableId="418984494">
    <w:abstractNumId w:val="1"/>
  </w:num>
  <w:num w:numId="10" w16cid:durableId="575476621">
    <w:abstractNumId w:val="1"/>
  </w:num>
  <w:num w:numId="11" w16cid:durableId="993411104">
    <w:abstractNumId w:val="1"/>
  </w:num>
  <w:num w:numId="12" w16cid:durableId="1429110352">
    <w:abstractNumId w:val="1"/>
  </w:num>
  <w:num w:numId="13" w16cid:durableId="1853297340">
    <w:abstractNumId w:val="1"/>
  </w:num>
  <w:num w:numId="14" w16cid:durableId="184249954">
    <w:abstractNumId w:val="1"/>
  </w:num>
  <w:num w:numId="15" w16cid:durableId="127219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6E"/>
    <w:rsid w:val="00011EC6"/>
    <w:rsid w:val="00141D95"/>
    <w:rsid w:val="00180A13"/>
    <w:rsid w:val="001B33B3"/>
    <w:rsid w:val="0023275D"/>
    <w:rsid w:val="00240661"/>
    <w:rsid w:val="0024266E"/>
    <w:rsid w:val="002617BF"/>
    <w:rsid w:val="00267AE8"/>
    <w:rsid w:val="002B4173"/>
    <w:rsid w:val="002E752B"/>
    <w:rsid w:val="00353D80"/>
    <w:rsid w:val="003B4AB0"/>
    <w:rsid w:val="00436581"/>
    <w:rsid w:val="005301E3"/>
    <w:rsid w:val="0054390D"/>
    <w:rsid w:val="00546269"/>
    <w:rsid w:val="0057440E"/>
    <w:rsid w:val="0059480C"/>
    <w:rsid w:val="005C475D"/>
    <w:rsid w:val="006032F4"/>
    <w:rsid w:val="0061489F"/>
    <w:rsid w:val="00662068"/>
    <w:rsid w:val="006C0688"/>
    <w:rsid w:val="0079716D"/>
    <w:rsid w:val="008048C4"/>
    <w:rsid w:val="008235D0"/>
    <w:rsid w:val="008719A5"/>
    <w:rsid w:val="008E136E"/>
    <w:rsid w:val="0094126B"/>
    <w:rsid w:val="00955BE2"/>
    <w:rsid w:val="00A22D09"/>
    <w:rsid w:val="00A41797"/>
    <w:rsid w:val="00A61402"/>
    <w:rsid w:val="00A63821"/>
    <w:rsid w:val="00A907D9"/>
    <w:rsid w:val="00AB05C5"/>
    <w:rsid w:val="00AC3D77"/>
    <w:rsid w:val="00B25A3F"/>
    <w:rsid w:val="00B5677D"/>
    <w:rsid w:val="00C66C38"/>
    <w:rsid w:val="00C8030E"/>
    <w:rsid w:val="00CA3CAF"/>
    <w:rsid w:val="00CA6E07"/>
    <w:rsid w:val="00CD4841"/>
    <w:rsid w:val="00D426C3"/>
    <w:rsid w:val="00D579E2"/>
    <w:rsid w:val="00DF74F3"/>
    <w:rsid w:val="00EB509B"/>
    <w:rsid w:val="00EF0D40"/>
    <w:rsid w:val="00F25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16C7F7"/>
  <w15:chartTrackingRefBased/>
  <w15:docId w15:val="{93DB5065-E837-8749-B1BE-199684B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6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6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6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6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66E"/>
    <w:rPr>
      <w:rFonts w:eastAsiaTheme="majorEastAsia" w:cstheme="majorBidi"/>
      <w:color w:val="272727" w:themeColor="text1" w:themeTint="D8"/>
    </w:rPr>
  </w:style>
  <w:style w:type="paragraph" w:styleId="Title">
    <w:name w:val="Title"/>
    <w:basedOn w:val="Normal"/>
    <w:next w:val="Normal"/>
    <w:link w:val="TitleChar"/>
    <w:uiPriority w:val="10"/>
    <w:qFormat/>
    <w:rsid w:val="002426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6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6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66E"/>
    <w:rPr>
      <w:i/>
      <w:iCs/>
      <w:color w:val="404040" w:themeColor="text1" w:themeTint="BF"/>
    </w:rPr>
  </w:style>
  <w:style w:type="paragraph" w:styleId="ListParagraph">
    <w:name w:val="List Paragraph"/>
    <w:basedOn w:val="Normal"/>
    <w:uiPriority w:val="34"/>
    <w:qFormat/>
    <w:rsid w:val="0024266E"/>
    <w:pPr>
      <w:ind w:left="720"/>
      <w:contextualSpacing/>
    </w:pPr>
  </w:style>
  <w:style w:type="character" w:styleId="IntenseEmphasis">
    <w:name w:val="Intense Emphasis"/>
    <w:basedOn w:val="DefaultParagraphFont"/>
    <w:uiPriority w:val="21"/>
    <w:qFormat/>
    <w:rsid w:val="0024266E"/>
    <w:rPr>
      <w:i/>
      <w:iCs/>
      <w:color w:val="0F4761" w:themeColor="accent1" w:themeShade="BF"/>
    </w:rPr>
  </w:style>
  <w:style w:type="paragraph" w:styleId="IntenseQuote">
    <w:name w:val="Intense Quote"/>
    <w:basedOn w:val="Normal"/>
    <w:next w:val="Normal"/>
    <w:link w:val="IntenseQuoteChar"/>
    <w:uiPriority w:val="30"/>
    <w:qFormat/>
    <w:rsid w:val="0024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66E"/>
    <w:rPr>
      <w:i/>
      <w:iCs/>
      <w:color w:val="0F4761" w:themeColor="accent1" w:themeShade="BF"/>
    </w:rPr>
  </w:style>
  <w:style w:type="character" w:styleId="IntenseReference">
    <w:name w:val="Intense Reference"/>
    <w:basedOn w:val="DefaultParagraphFont"/>
    <w:uiPriority w:val="32"/>
    <w:qFormat/>
    <w:rsid w:val="0024266E"/>
    <w:rPr>
      <w:b/>
      <w:bCs/>
      <w:smallCaps/>
      <w:color w:val="0F4761" w:themeColor="accent1" w:themeShade="BF"/>
      <w:spacing w:val="5"/>
    </w:rPr>
  </w:style>
  <w:style w:type="table" w:styleId="TableGrid">
    <w:name w:val="Table Grid"/>
    <w:basedOn w:val="TableNormal"/>
    <w:uiPriority w:val="39"/>
    <w:rsid w:val="0024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bullet">
    <w:name w:val="VCAA bullet"/>
    <w:basedOn w:val="Normal"/>
    <w:autoRedefine/>
    <w:qFormat/>
    <w:rsid w:val="00C66C38"/>
    <w:pPr>
      <w:numPr>
        <w:numId w:val="1"/>
      </w:numPr>
      <w:tabs>
        <w:tab w:val="left" w:pos="425"/>
      </w:tabs>
      <w:spacing w:before="60" w:after="60" w:line="280" w:lineRule="exact"/>
      <w:ind w:right="-4"/>
      <w:contextualSpacing/>
    </w:pPr>
    <w:rPr>
      <w:rFonts w:ascii="Arial" w:eastAsia="Times New Roman" w:hAnsi="Arial" w:cs="Arial"/>
      <w:kern w:val="22"/>
      <w:sz w:val="20"/>
      <w:szCs w:val="22"/>
      <w:lang w:val="en-GB" w:eastAsia="ja-JP"/>
    </w:rPr>
  </w:style>
  <w:style w:type="paragraph" w:customStyle="1" w:styleId="VCAAbulletlevel2">
    <w:name w:val="VCAA bullet level 2"/>
    <w:basedOn w:val="VCAAbullet"/>
    <w:autoRedefine/>
    <w:qFormat/>
    <w:rsid w:val="00C66C38"/>
    <w:pPr>
      <w:numPr>
        <w:numId w:val="2"/>
      </w:numPr>
      <w:tabs>
        <w:tab w:val="clear" w:pos="425"/>
      </w:tabs>
    </w:pPr>
  </w:style>
  <w:style w:type="paragraph" w:styleId="Header">
    <w:name w:val="header"/>
    <w:basedOn w:val="Normal"/>
    <w:link w:val="HeaderChar"/>
    <w:uiPriority w:val="99"/>
    <w:unhideWhenUsed/>
    <w:rsid w:val="00A22D09"/>
    <w:pPr>
      <w:tabs>
        <w:tab w:val="center" w:pos="4513"/>
        <w:tab w:val="right" w:pos="9026"/>
      </w:tabs>
    </w:pPr>
  </w:style>
  <w:style w:type="character" w:customStyle="1" w:styleId="HeaderChar">
    <w:name w:val="Header Char"/>
    <w:basedOn w:val="DefaultParagraphFont"/>
    <w:link w:val="Header"/>
    <w:uiPriority w:val="99"/>
    <w:rsid w:val="00A22D09"/>
  </w:style>
  <w:style w:type="paragraph" w:styleId="Footer">
    <w:name w:val="footer"/>
    <w:basedOn w:val="Normal"/>
    <w:link w:val="FooterChar"/>
    <w:uiPriority w:val="99"/>
    <w:unhideWhenUsed/>
    <w:rsid w:val="00A22D09"/>
    <w:pPr>
      <w:tabs>
        <w:tab w:val="center" w:pos="4513"/>
        <w:tab w:val="right" w:pos="9026"/>
      </w:tabs>
    </w:pPr>
  </w:style>
  <w:style w:type="character" w:customStyle="1" w:styleId="FooterChar">
    <w:name w:val="Footer Char"/>
    <w:basedOn w:val="DefaultParagraphFont"/>
    <w:link w:val="Footer"/>
    <w:uiPriority w:val="99"/>
    <w:rsid w:val="00A22D09"/>
  </w:style>
  <w:style w:type="character" w:styleId="Hyperlink">
    <w:name w:val="Hyperlink"/>
    <w:basedOn w:val="DefaultParagraphFont"/>
    <w:uiPriority w:val="99"/>
    <w:unhideWhenUsed/>
    <w:rsid w:val="002327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hehrh.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Keating</dc:creator>
  <cp:keywords/>
  <dc:description/>
  <cp:lastModifiedBy>Andrew Keating</cp:lastModifiedBy>
  <cp:revision>18</cp:revision>
  <dcterms:created xsi:type="dcterms:W3CDTF">2024-07-05T05:02:00Z</dcterms:created>
  <dcterms:modified xsi:type="dcterms:W3CDTF">2025-10-05T06:47:00Z</dcterms:modified>
</cp:coreProperties>
</file>