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9AB0B" w14:textId="5801BAAC" w:rsidR="0036171E" w:rsidRPr="0036171E" w:rsidRDefault="00B4565D" w:rsidP="0036171E">
      <w:pPr>
        <w:spacing w:before="240" w:after="240" w:line="360" w:lineRule="auto"/>
        <w:jc w:val="center"/>
        <w:rPr>
          <w:sz w:val="32"/>
          <w:szCs w:val="32"/>
        </w:rPr>
      </w:pPr>
      <w:r>
        <w:rPr>
          <w:sz w:val="32"/>
          <w:szCs w:val="32"/>
        </w:rPr>
        <w:t>Do</w:t>
      </w:r>
      <w:r w:rsidR="0036171E" w:rsidRPr="0036171E">
        <w:rPr>
          <w:sz w:val="32"/>
          <w:szCs w:val="32"/>
        </w:rPr>
        <w:t xml:space="preserve"> Virtue</w:t>
      </w:r>
      <w:r>
        <w:rPr>
          <w:sz w:val="32"/>
          <w:szCs w:val="32"/>
        </w:rPr>
        <w:t>s</w:t>
      </w:r>
      <w:r w:rsidR="0036171E" w:rsidRPr="0036171E">
        <w:rPr>
          <w:sz w:val="32"/>
          <w:szCs w:val="32"/>
        </w:rPr>
        <w:t xml:space="preserve"> Have a Gender?</w:t>
      </w:r>
    </w:p>
    <w:p w14:paraId="1371231F" w14:textId="1817FBC1" w:rsidR="005B6501" w:rsidRDefault="00000000">
      <w:pPr>
        <w:spacing w:before="240" w:after="240" w:line="360" w:lineRule="auto"/>
      </w:pPr>
      <w:r>
        <w:t>Our sources on masculinity explore several different issues: current American attitudes toward masculinity, whether masculinity is primarily biological</w:t>
      </w:r>
      <w:r w:rsidR="00501C05">
        <w:t>ly</w:t>
      </w:r>
      <w:r>
        <w:t xml:space="preserve"> or socially constructed, whether there is a crisis of masculinity today and what should be done about it, the role of masculinity in the culture wars, and the rise of the manosphere and toxic masculinity. </w:t>
      </w:r>
    </w:p>
    <w:p w14:paraId="13712320" w14:textId="6B05DFAE" w:rsidR="005B6501" w:rsidRDefault="00000000">
      <w:pPr>
        <w:spacing w:before="240" w:after="240" w:line="360" w:lineRule="auto"/>
      </w:pPr>
      <w:r>
        <w:t xml:space="preserve">I want to explore some of these issues from the perspective of my own experience as a gay man. My principal claim is that we should think of virtues primarily as human virtues rather than as masculine or feminine. This does not mean that men and women are biologically identical, </w:t>
      </w:r>
      <w:r w:rsidR="00C25DF2">
        <w:t xml:space="preserve">for they obviously are not, </w:t>
      </w:r>
      <w:r>
        <w:t xml:space="preserve">nor does it require us to settle the complicated question of how much </w:t>
      </w:r>
      <w:r w:rsidR="00501C05">
        <w:t xml:space="preserve">of </w:t>
      </w:r>
      <w:r>
        <w:t>gender is biologically or socially determined. My argument is narrower. Whatever biological and social differences exist between men and women, those differences do not by themselves tell us what a good or virtuous man or woman ought to be.</w:t>
      </w:r>
    </w:p>
    <w:p w14:paraId="13712321" w14:textId="77777777" w:rsidR="005B6501" w:rsidRDefault="00000000">
      <w:pPr>
        <w:spacing w:before="240" w:after="240" w:line="360" w:lineRule="auto"/>
      </w:pPr>
      <w:r>
        <w:t>Every gay man confronts, in one way or another, the question of what it means to be a man. The question arises largely because we grow up surrounded by social expectations concerning what a “real man” is supposed to be. The social and religious milieu in which I was raised largely took it for granted that being gay meant somehow failing to be fully masculine. Gay men were assumed to be feminized men. Although that claim is probably less openly voiced today in educated and liberal circles, I suspect that it still often lurks beneath the surface. And there was yet another assumption hidden within it: being feminized was itself somehow undesirable, at least, for a man. To be gay was thought not merely to violate biology or, for some people, God's design, but also to signify that one lacked supposedly masculine virtues such as courage, strength, responsibility, and duty. The misogyny implicit in these assumptions is difficult to miss, although that is another subject.</w:t>
      </w:r>
    </w:p>
    <w:p w14:paraId="13712322" w14:textId="77777777" w:rsidR="005B6501" w:rsidRDefault="00000000">
      <w:pPr>
        <w:spacing w:before="240" w:after="240" w:line="360" w:lineRule="auto"/>
      </w:pPr>
      <w:r>
        <w:t>As a young man, I did not know that I was gay. I had no gay role models, and homosexuality was discussed, if at all, quietly and in hushed tones, as though speaking about it too openly might somehow invite its curse. I remember once hearing in church that homosexuality was the unforgivable sin mentioned in the New Testament. I did not think much about it because I was certain that it had nothing to do with me.</w:t>
      </w:r>
    </w:p>
    <w:p w14:paraId="13712323" w14:textId="77777777" w:rsidR="005B6501" w:rsidRDefault="00000000">
      <w:pPr>
        <w:spacing w:before="240" w:after="240" w:line="360" w:lineRule="auto"/>
      </w:pPr>
      <w:r>
        <w:t xml:space="preserve">I do, however, distinctly remember how uncomfortable I felt in the sixth grade when our teachers decided to help us learn how boys and girls were supposed to behave. The tables and chairs in </w:t>
      </w:r>
      <w:r>
        <w:lastRenderedPageBreak/>
        <w:t xml:space="preserve">the cafeteria were pushed aside, the boys and girls were lined up on opposite sides of the room, and a dance tune was played on the record player. The boys were instructed to take the initiative: to make what seemed to be a very long walk across the room, choose a girl, and ask her to dance. That was a tall order for a sixth grader. It certainly required courage to risk rejection. But the larger lesson was clear: taking the initiative and taking risks </w:t>
      </w:r>
      <w:proofErr w:type="gramStart"/>
      <w:r>
        <w:t>were</w:t>
      </w:r>
      <w:proofErr w:type="gramEnd"/>
      <w:r>
        <w:t xml:space="preserve"> things boys were expected to learn because they were part of becoming a man.</w:t>
      </w:r>
    </w:p>
    <w:p w14:paraId="13712324" w14:textId="77777777" w:rsidR="005B6501" w:rsidRDefault="00000000">
      <w:pPr>
        <w:spacing w:before="240" w:after="240" w:line="360" w:lineRule="auto"/>
      </w:pPr>
      <w:r>
        <w:t>I distinctly remember feeling, however, that something was off, as though I were being asked to fit a square peg into a round hole. I had no language with which to express or understand the feeling. After all, I was only a sixth grader.</w:t>
      </w:r>
    </w:p>
    <w:p w14:paraId="13712325" w14:textId="77777777" w:rsidR="005B6501" w:rsidRDefault="00000000">
      <w:pPr>
        <w:spacing w:before="240" w:after="240" w:line="360" w:lineRule="auto"/>
      </w:pPr>
      <w:r>
        <w:t xml:space="preserve">That discomfort followed me for many years until I eventually came to understand that I was both gay </w:t>
      </w:r>
      <w:r>
        <w:rPr>
          <w:b/>
          <w:bCs/>
        </w:rPr>
        <w:t xml:space="preserve">and </w:t>
      </w:r>
      <w:r>
        <w:t>fully a man. Perhaps because I was independent and somewhat stubborn, I did not allow the discomfort, in the meantime, to upend my life. It didn’t hurt that I excelled at school. Looking back, I do not hold it against the people who tried to guide me into a particular mold of being a man. None of us is born into a world knowing how to be, and it is inevitable as well as socially valuable for society to provide young people with models, expectations, and default ways of understanding themselves. But these default settings don’t work for everyone. The problem occurs when a default way of living becomes a prescription and the standard by which everyone is measured.</w:t>
      </w:r>
    </w:p>
    <w:p w14:paraId="13712326" w14:textId="77777777" w:rsidR="005B6501" w:rsidRDefault="00000000">
      <w:pPr>
        <w:spacing w:before="240" w:after="240" w:line="360" w:lineRule="auto"/>
      </w:pPr>
      <w:r>
        <w:t>The people around me largely meant well, but they did not live inside my skin and could not know what I felt. I came to understand that their conception of manhood did not have to determine either my destiny or my understanding of what it meant for me to be a man. Eventually, I decided to live my life in my own way.</w:t>
      </w:r>
    </w:p>
    <w:p w14:paraId="13712327" w14:textId="77777777" w:rsidR="005B6501" w:rsidRDefault="00000000">
      <w:pPr>
        <w:spacing w:before="240" w:after="240" w:line="360" w:lineRule="auto"/>
      </w:pPr>
      <w:r>
        <w:t>That has been one of the gifts my gayness has given me, and I value it. I learned that I could develop my own way of being a man. As I grew older, I felt more complete, healthier, and more fully a person.</w:t>
      </w:r>
    </w:p>
    <w:p w14:paraId="13712328" w14:textId="77777777" w:rsidR="005B6501" w:rsidRDefault="00000000">
      <w:pPr>
        <w:spacing w:before="240" w:after="240" w:line="360" w:lineRule="auto"/>
      </w:pPr>
      <w:r>
        <w:t>John Stuart Mill nails the point powerfully when he argues that there is no reason why human lives should be constructed according to only one or a small number of patterns.</w:t>
      </w:r>
      <w:r>
        <w:rPr>
          <w:vertAlign w:val="superscript"/>
        </w:rPr>
        <w:footnoteReference w:id="1"/>
      </w:r>
      <w:r>
        <w:t xml:space="preserve"> A person's own way of arranging his existence has value, Mill says, not necessarily because it is objectively </w:t>
      </w:r>
      <w:r>
        <w:lastRenderedPageBreak/>
        <w:t>superior to every alternative but because it is his own. Human beings are not indistinguishable creatures who flourish by conforming to a single blueprint. Individuality itself is one of the elements of well-being.</w:t>
      </w:r>
    </w:p>
    <w:p w14:paraId="13712329" w14:textId="77777777" w:rsidR="005B6501" w:rsidRDefault="00000000">
      <w:pPr>
        <w:spacing w:before="240" w:after="240" w:line="360" w:lineRule="auto"/>
      </w:pPr>
      <w:r>
        <w:t>These experiences shape my response to current debates about masculinity, especially when those debates are caught up in the culture wars and weaponized for partisan purposes. When I read about the manosphere or watch the clips of some of its influencers found in our sources, their conception of masculinity seems almost comical; yet, when viewed soberly, they become not amusing but worrisome. I don’t find it difficult to understand how a steady diet of messages equating manhood with dominance, sexual conquest, aggression, emotional invulnerability, or control over women could contribute to what our sources call toxic masculinity. Nor is it especially difficult, though sad, to understand how movements such as the incel subculture can take root when young men are offered rigid ideals of masculinity but find themselves unable to live up to them.</w:t>
      </w:r>
    </w:p>
    <w:p w14:paraId="1371232A" w14:textId="77777777" w:rsidR="005B6501" w:rsidRDefault="00000000">
      <w:pPr>
        <w:spacing w:before="240" w:after="240" w:line="360" w:lineRule="auto"/>
      </w:pPr>
      <w:r>
        <w:t xml:space="preserve">Our reading guide asks what </w:t>
      </w:r>
      <w:proofErr w:type="gramStart"/>
      <w:r>
        <w:t>a healthy</w:t>
      </w:r>
      <w:proofErr w:type="gramEnd"/>
      <w:r>
        <w:t xml:space="preserve"> masculinity might look like. My first answer is that a healthy masculinity should broaden rather than narrow the possible ways in which men may understand themselves and their place in the world. We need not ignore biology. Richard Reeves, for example, is right to emphasize that boys and men face real difficulties and that biological differences between the sexes may be relevant to some of them. He points, among other things, to average differences in development and physical strength. Public and educational policy may sometimes need to take such differences into account. Reeves also argues for providing boys with positive male role models. All young boys and girls need adults who can show them how to live well. Just what that will look like at a particular time and place, culturally and socially, may vary. Boys may also need help learning how to channel capacities such as physical strength, competitiveness, or aggression in constructive rather than destructive ways.</w:t>
      </w:r>
      <w:r>
        <w:rPr>
          <w:vertAlign w:val="superscript"/>
        </w:rPr>
        <w:footnoteReference w:id="2"/>
      </w:r>
    </w:p>
    <w:p w14:paraId="1371232B" w14:textId="77777777" w:rsidR="005B6501" w:rsidRDefault="00000000">
      <w:pPr>
        <w:spacing w:before="240" w:after="240" w:line="360" w:lineRule="auto"/>
      </w:pPr>
      <w:r>
        <w:t>But we should be careful about what follows here.</w:t>
      </w:r>
    </w:p>
    <w:p w14:paraId="1371232C" w14:textId="77777777" w:rsidR="005B6501" w:rsidRDefault="00000000">
      <w:pPr>
        <w:spacing w:before="240" w:after="240" w:line="360" w:lineRule="auto"/>
      </w:pPr>
      <w:r>
        <w:t xml:space="preserve">Suppose we accept that men, on average, are physically stronger, more aggressive, or more inclined toward certain forms of risk-taking than women. A biological tendency, however, is not </w:t>
      </w:r>
      <w:r>
        <w:lastRenderedPageBreak/>
        <w:t>in itself a moral ideal. It is just a fact, if indeed it is one: a description of what is the case. Before we can say that some descriptive characteristic ought to become part of a virtuous man’s identity, we need additional reasons, moral reasons, if you will, for why that fact or tendency should be cultivated, restrained, redirected, or perhaps even ignored. Biology may give us capabilities and tendencies. It does not tell us what we should do with them.</w:t>
      </w:r>
    </w:p>
    <w:p w14:paraId="1371232D" w14:textId="77777777" w:rsidR="005B6501" w:rsidRDefault="00000000">
      <w:pPr>
        <w:spacing w:before="240" w:after="240" w:line="360" w:lineRule="auto"/>
      </w:pPr>
      <w:r>
        <w:t>This is where I think some discussions of masculine virtue move too quickly.</w:t>
      </w:r>
    </w:p>
    <w:p w14:paraId="1371232E" w14:textId="77777777" w:rsidR="005B6501" w:rsidRDefault="00000000">
      <w:pPr>
        <w:spacing w:before="240" w:after="240" w:line="360" w:lineRule="auto"/>
      </w:pPr>
      <w:r>
        <w:t xml:space="preserve">David French, for example, tells the story of Oscar Stewart, an Army veteran who courageously confronted a gunman apparently intent on massacring worshipers at a synagogue in Poway, California. French uses the episode to illustrate how aggression, which he regards as a predominantly male tendency, can be cultivated toward virtuous ends. That is surely true, though </w:t>
      </w:r>
      <w:proofErr w:type="spellStart"/>
      <w:r>
        <w:t>noncontroversially</w:t>
      </w:r>
      <w:proofErr w:type="spellEnd"/>
      <w:r>
        <w:t xml:space="preserve"> so.</w:t>
      </w:r>
      <w:r>
        <w:rPr>
          <w:vertAlign w:val="superscript"/>
        </w:rPr>
        <w:footnoteReference w:id="3"/>
      </w:r>
    </w:p>
    <w:p w14:paraId="1371232F" w14:textId="2CC03BF0" w:rsidR="005B6501" w:rsidRDefault="00000000">
      <w:pPr>
        <w:spacing w:before="240" w:after="240" w:line="360" w:lineRule="auto"/>
      </w:pPr>
      <w:r>
        <w:t xml:space="preserve">But what precisely is the virtue displayed in Stewart's action? It is courage displayed as the willingness to protect people in grave danger at great risk to oneself. His physical </w:t>
      </w:r>
      <w:r w:rsidR="0099441C">
        <w:t>capabilities</w:t>
      </w:r>
      <w:r>
        <w:t xml:space="preserve"> and military experience may have made him especially able to act effectively. None of this, however, establishes that courage or </w:t>
      </w:r>
      <w:r w:rsidR="0099441C">
        <w:t>of being a protector</w:t>
      </w:r>
      <w:r>
        <w:t xml:space="preserve"> is intrinsically masculine. A woman possessing the relevant </w:t>
      </w:r>
      <w:r w:rsidR="00CB5DE3">
        <w:t>capabilities</w:t>
      </w:r>
      <w:r>
        <w:t xml:space="preserve"> and confronting the same circumstances could have acted in the same way. What Stewart's action shows is that a </w:t>
      </w:r>
      <w:r w:rsidR="00CB5DE3">
        <w:t>capability</w:t>
      </w:r>
      <w:r>
        <w:t xml:space="preserve"> sometimes associated with masculinity can be directed toward a virtuous end; it does not show that the virtue itself is masculine.</w:t>
      </w:r>
    </w:p>
    <w:p w14:paraId="13712330" w14:textId="5411CC81" w:rsidR="005B6501" w:rsidRDefault="00000000">
      <w:pPr>
        <w:spacing w:before="240" w:after="240" w:line="360" w:lineRule="auto"/>
      </w:pPr>
      <w:r>
        <w:t xml:space="preserve">I suspect French would say that I have largely missed his point. Even if courage is a sex- or gender-neutral virtue, it may still be embodied differently in men and women. That seems plausible. The embodied form in which a virtue is expressed depends upon many factors: the particulars of the situation, biological differences, individual </w:t>
      </w:r>
      <w:r w:rsidR="00CB5DE3">
        <w:t>capabilities</w:t>
      </w:r>
      <w:r>
        <w:t xml:space="preserve">, and the different expectations society </w:t>
      </w:r>
      <w:proofErr w:type="gramStart"/>
      <w:r>
        <w:t>attaches</w:t>
      </w:r>
      <w:proofErr w:type="gramEnd"/>
      <w:r>
        <w:t xml:space="preserve"> to men and women, among others. But if that is so, no </w:t>
      </w:r>
      <w:proofErr w:type="gramStart"/>
      <w:r>
        <w:t>particular embodied</w:t>
      </w:r>
      <w:proofErr w:type="gramEnd"/>
      <w:r>
        <w:t xml:space="preserve"> form of masculinity follows as morally privileged or required of all men. It is one valuable form among others in which virtues may be expressed.</w:t>
      </w:r>
    </w:p>
    <w:p w14:paraId="13712331" w14:textId="77777777" w:rsidR="005B6501" w:rsidRDefault="00000000">
      <w:pPr>
        <w:spacing w:before="240" w:after="240" w:line="360" w:lineRule="auto"/>
      </w:pPr>
      <w:r>
        <w:t xml:space="preserve">The difficulty arises when we move from saying that a particular pattern or form can be valuable to saying that this is therefore how all men ought to behave. A default masculine ideal may </w:t>
      </w:r>
      <w:r>
        <w:lastRenderedPageBreak/>
        <w:t xml:space="preserve">provide substantial social and personal value, but it has no special moral authority over all men. To claim that it does would require, at the very least, independent moral reasons showing why membership in a sex or gender imposes </w:t>
      </w:r>
      <w:proofErr w:type="gramStart"/>
      <w:r>
        <w:t>particular virtues</w:t>
      </w:r>
      <w:proofErr w:type="gramEnd"/>
      <w:r>
        <w:t xml:space="preserve"> or obligations. It would also require much more evidence about which average differences between the sexes are sufficiently robust and morally relevant to bear that weight.</w:t>
      </w:r>
    </w:p>
    <w:p w14:paraId="13712332" w14:textId="77777777" w:rsidR="005B6501" w:rsidRDefault="00000000">
      <w:pPr>
        <w:spacing w:before="240" w:after="240" w:line="360" w:lineRule="auto"/>
      </w:pPr>
      <w:r>
        <w:t>And that argument, I think, is difficult to make.</w:t>
      </w:r>
    </w:p>
    <w:p w14:paraId="13712333" w14:textId="47598AA5" w:rsidR="005B6501" w:rsidRDefault="00000000">
      <w:pPr>
        <w:spacing w:before="240" w:after="240" w:line="360" w:lineRule="auto"/>
      </w:pPr>
      <w:r>
        <w:t xml:space="preserve">Consider courage. Courage is admirable when circumstances require us to confront danger for a sufficiently good reason. Whether courage requires physical intervention, moral protest, endurance, resistance, or simply refusing to conform depends upon the circumstances and the </w:t>
      </w:r>
      <w:r w:rsidR="00190166" w:rsidRPr="00190166">
        <w:t xml:space="preserve">capabilities </w:t>
      </w:r>
      <w:r>
        <w:t xml:space="preserve">of the person involved. For some men, physical courage may be at the forefront simply because men are on average physically stronger. But strength does not transform courage into a masculine virtue. It simply </w:t>
      </w:r>
      <w:r w:rsidR="00E6698F">
        <w:t>reflects</w:t>
      </w:r>
      <w:r>
        <w:t xml:space="preserve"> the circumstances in which a particular person may be called upon to exercise a virtue.</w:t>
      </w:r>
    </w:p>
    <w:p w14:paraId="13712334" w14:textId="48E66C93" w:rsidR="005B6501" w:rsidRDefault="00000000">
      <w:pPr>
        <w:spacing w:before="240" w:after="240" w:line="360" w:lineRule="auto"/>
      </w:pPr>
      <w:r>
        <w:t xml:space="preserve">The same is true of other virtues. Their appropriate expression or form will vary according to our talents, physical and mental </w:t>
      </w:r>
      <w:r w:rsidR="00744099">
        <w:t>capabilities</w:t>
      </w:r>
      <w:r>
        <w:t>, circumstances, and social expectations for behavior, not simply according to whether we are male or female.</w:t>
      </w:r>
    </w:p>
    <w:p w14:paraId="13712335" w14:textId="491654EB" w:rsidR="005B6501" w:rsidRDefault="00000000">
      <w:pPr>
        <w:spacing w:before="240" w:after="240" w:line="360" w:lineRule="auto"/>
      </w:pPr>
      <w:r>
        <w:t xml:space="preserve">This is why I do not think it is helpful or instructive to speak of </w:t>
      </w:r>
      <w:r w:rsidR="00744099">
        <w:t xml:space="preserve">virtues as </w:t>
      </w:r>
      <w:r>
        <w:t xml:space="preserve">masculine </w:t>
      </w:r>
      <w:r w:rsidR="00744099">
        <w:t>or</w:t>
      </w:r>
      <w:r>
        <w:t xml:space="preserve"> feminine. There may certainly be masculine and feminine styles, social roles, traditions, identities, and ways of expressing virtues. </w:t>
      </w:r>
      <w:r w:rsidR="00190166">
        <w:t>The</w:t>
      </w:r>
      <w:r>
        <w:t xml:space="preserve"> virtues themselves</w:t>
      </w:r>
      <w:r w:rsidR="003850DF">
        <w:t>, however,</w:t>
      </w:r>
      <w:r>
        <w:t xml:space="preserve"> are better understood </w:t>
      </w:r>
      <w:r w:rsidR="00615281">
        <w:t xml:space="preserve">simply </w:t>
      </w:r>
      <w:r>
        <w:t xml:space="preserve">as human virtues. </w:t>
      </w:r>
      <w:r w:rsidR="00615281">
        <w:t>If so, then i</w:t>
      </w:r>
      <w:r>
        <w:t>t is better</w:t>
      </w:r>
      <w:r w:rsidR="00615281">
        <w:t xml:space="preserve"> </w:t>
      </w:r>
      <w:r>
        <w:t>to speak of what it means to be a virtuous person than of being a virtuous man or woman.</w:t>
      </w:r>
    </w:p>
    <w:p w14:paraId="13712336" w14:textId="77777777" w:rsidR="005B6501" w:rsidRDefault="00000000">
      <w:pPr>
        <w:spacing w:before="240" w:after="240" w:line="360" w:lineRule="auto"/>
      </w:pPr>
      <w:r>
        <w:t xml:space="preserve">This distinction between a virtue itself and its form also allows us to preserve and value traditional conceptions of masculinity without also turning them into prescriptions. A man who wishes to understand himself primarily as a provider and protector should be free to do so, </w:t>
      </w:r>
      <w:proofErr w:type="gramStart"/>
      <w:r>
        <w:t>provided that</w:t>
      </w:r>
      <w:proofErr w:type="gramEnd"/>
      <w:r>
        <w:t xml:space="preserve"> he respects the equal freedom of others to organize their lives differently. The point here is not to eliminate masculinity, but to loosen its moral boundaries.</w:t>
      </w:r>
    </w:p>
    <w:p w14:paraId="13712337" w14:textId="77777777" w:rsidR="005B6501" w:rsidRDefault="00000000">
      <w:pPr>
        <w:spacing w:before="240" w:after="240" w:line="360" w:lineRule="auto"/>
      </w:pPr>
      <w:r>
        <w:t>My own experience taught me the cost of confusing one conventional model of masculinity with manhood itself. It also taught me the value of having the freedom to discover a different way of being a man. Neither biology nor inherited social roles can, by themselves, establish how an individual man ought to live.</w:t>
      </w:r>
    </w:p>
    <w:p w14:paraId="1371233A" w14:textId="2B9B751C" w:rsidR="005B6501" w:rsidRDefault="00000000" w:rsidP="00FC5770">
      <w:pPr>
        <w:jc w:val="center"/>
      </w:pPr>
      <w:r>
        <w:lastRenderedPageBreak/>
        <w:t>Works Cited</w:t>
      </w:r>
    </w:p>
    <w:p w14:paraId="3A985C97" w14:textId="77777777" w:rsidR="00953168" w:rsidRDefault="00953168">
      <w:pPr>
        <w:jc w:val="center"/>
      </w:pPr>
    </w:p>
    <w:p w14:paraId="1371233B" w14:textId="7DD30301" w:rsidR="005B6501" w:rsidRDefault="00000000">
      <w:pPr>
        <w:ind w:left="720" w:hanging="720"/>
      </w:pPr>
      <w:r>
        <w:t xml:space="preserve">French, David. “Understanding the Inescapable Reality of Masculinity.” </w:t>
      </w:r>
      <w:r>
        <w:rPr>
          <w:i/>
        </w:rPr>
        <w:t>National Review</w:t>
      </w:r>
      <w:r>
        <w:t xml:space="preserve">, 2 May 2019, </w:t>
      </w:r>
      <w:hyperlink r:id="rId7" w:history="1">
        <w:r w:rsidR="00953168" w:rsidRPr="00953168">
          <w:rPr>
            <w:rStyle w:val="Hyperlink"/>
          </w:rPr>
          <w:t>http://</w:t>
        </w:r>
        <w:r w:rsidRPr="00953168">
          <w:rPr>
            <w:rStyle w:val="Hyperlink"/>
          </w:rPr>
          <w:t>www.nationalreview.com/2019/05/understanding-the-inescapable-reality-of-masculinity/</w:t>
        </w:r>
      </w:hyperlink>
      <w:r>
        <w:t>. Accessed 1 Oct. 2026.</w:t>
      </w:r>
    </w:p>
    <w:p w14:paraId="44DE7EFD" w14:textId="77777777" w:rsidR="00953168" w:rsidRDefault="00953168">
      <w:pPr>
        <w:ind w:left="720" w:hanging="720"/>
      </w:pPr>
    </w:p>
    <w:p w14:paraId="1371233C" w14:textId="018D62AD" w:rsidR="005B6501" w:rsidRDefault="00000000">
      <w:pPr>
        <w:ind w:left="720" w:hanging="720"/>
      </w:pPr>
      <w:r>
        <w:t xml:space="preserve">Mill, John Stuart. </w:t>
      </w:r>
      <w:r>
        <w:rPr>
          <w:i/>
        </w:rPr>
        <w:t>On Liberty</w:t>
      </w:r>
      <w:r>
        <w:t xml:space="preserve">. 1859. </w:t>
      </w:r>
      <w:r>
        <w:rPr>
          <w:i/>
        </w:rPr>
        <w:t>Project Gutenberg</w:t>
      </w:r>
      <w:r>
        <w:t xml:space="preserve">, 10 Jan. 2011, </w:t>
      </w:r>
      <w:hyperlink r:id="rId8" w:history="1">
        <w:r w:rsidR="00953168" w:rsidRPr="00A7393A">
          <w:rPr>
            <w:rStyle w:val="Hyperlink"/>
          </w:rPr>
          <w:t>http://www.gutenberg.org/ebooks/34901. Accessed 1 Oct. 2026</w:t>
        </w:r>
      </w:hyperlink>
      <w:r>
        <w:t>.</w:t>
      </w:r>
    </w:p>
    <w:p w14:paraId="5EEFA927" w14:textId="77777777" w:rsidR="00953168" w:rsidRDefault="00953168">
      <w:pPr>
        <w:ind w:left="720" w:hanging="720"/>
      </w:pPr>
    </w:p>
    <w:p w14:paraId="1371233D" w14:textId="3F10281D" w:rsidR="005B6501" w:rsidRDefault="00000000">
      <w:pPr>
        <w:ind w:left="720" w:hanging="720"/>
      </w:pPr>
      <w:r>
        <w:t xml:space="preserve">Reeves, Richard V. “Toxic Masculinity Is a Harmful Myth. Society Is in Denial about the Problems of Boys and Men.” </w:t>
      </w:r>
      <w:r>
        <w:rPr>
          <w:i/>
        </w:rPr>
        <w:t>Big Think</w:t>
      </w:r>
      <w:r>
        <w:t xml:space="preserve">, 17 Oct. 2022, </w:t>
      </w:r>
      <w:hyperlink r:id="rId9" w:history="1">
        <w:r w:rsidR="00953168" w:rsidRPr="00953168">
          <w:rPr>
            <w:rStyle w:val="Hyperlink"/>
          </w:rPr>
          <w:t>http://</w:t>
        </w:r>
        <w:r w:rsidRPr="00953168">
          <w:rPr>
            <w:rStyle w:val="Hyperlink"/>
          </w:rPr>
          <w:t>bigthink.com/the-present/toxic-masculinity-myth/</w:t>
        </w:r>
      </w:hyperlink>
      <w:r>
        <w:t>. Accessed 1 Oct. 2026.</w:t>
      </w:r>
    </w:p>
    <w:p w14:paraId="406BD7D4" w14:textId="77777777" w:rsidR="00FC5770" w:rsidRDefault="00FC5770">
      <w:pPr>
        <w:ind w:left="720" w:hanging="720"/>
      </w:pPr>
    </w:p>
    <w:p w14:paraId="15F91FE4" w14:textId="77777777" w:rsidR="00904FF1" w:rsidRDefault="00904FF1">
      <w:pPr>
        <w:ind w:left="720" w:hanging="720"/>
      </w:pPr>
    </w:p>
    <w:p w14:paraId="413E5497" w14:textId="77777777" w:rsidR="00904FF1" w:rsidRDefault="00904FF1">
      <w:pPr>
        <w:ind w:left="720" w:hanging="720"/>
      </w:pPr>
    </w:p>
    <w:p w14:paraId="23B094A2" w14:textId="77777777" w:rsidR="00904FF1" w:rsidRDefault="00904FF1">
      <w:pPr>
        <w:ind w:left="720" w:hanging="720"/>
      </w:pPr>
    </w:p>
    <w:p w14:paraId="468ECB87" w14:textId="77777777" w:rsidR="00904FF1" w:rsidRDefault="00904FF1">
      <w:pPr>
        <w:ind w:left="720" w:hanging="720"/>
      </w:pPr>
    </w:p>
    <w:p w14:paraId="274C8996" w14:textId="77777777" w:rsidR="00904FF1" w:rsidRDefault="00904FF1">
      <w:pPr>
        <w:ind w:left="720" w:hanging="720"/>
      </w:pPr>
    </w:p>
    <w:p w14:paraId="4311E3B2" w14:textId="77777777" w:rsidR="00904FF1" w:rsidRDefault="00904FF1">
      <w:pPr>
        <w:ind w:left="720" w:hanging="720"/>
      </w:pPr>
    </w:p>
    <w:p w14:paraId="128EBDB1" w14:textId="77777777" w:rsidR="00904FF1" w:rsidRDefault="00904FF1">
      <w:pPr>
        <w:ind w:left="720" w:hanging="720"/>
      </w:pPr>
    </w:p>
    <w:p w14:paraId="426D331A" w14:textId="77777777" w:rsidR="00904FF1" w:rsidRDefault="00904FF1">
      <w:pPr>
        <w:ind w:left="720" w:hanging="720"/>
      </w:pPr>
    </w:p>
    <w:p w14:paraId="3FB77285" w14:textId="77777777" w:rsidR="00904FF1" w:rsidRDefault="00904FF1">
      <w:pPr>
        <w:ind w:left="720" w:hanging="720"/>
      </w:pPr>
    </w:p>
    <w:p w14:paraId="576AFF60" w14:textId="77777777" w:rsidR="00904FF1" w:rsidRDefault="00904FF1">
      <w:pPr>
        <w:ind w:left="720" w:hanging="720"/>
      </w:pPr>
    </w:p>
    <w:p w14:paraId="3682A99E" w14:textId="7BB12F28" w:rsidR="00FC5770" w:rsidRDefault="00FC5770">
      <w:pPr>
        <w:ind w:left="720" w:hanging="720"/>
      </w:pPr>
      <w:r>
        <w:t>Michael D. Redmond</w:t>
      </w:r>
    </w:p>
    <w:p w14:paraId="29A77AFC" w14:textId="67AF45CE" w:rsidR="00FC5770" w:rsidRDefault="00FC5770">
      <w:pPr>
        <w:ind w:left="720" w:hanging="720"/>
      </w:pPr>
      <w:r>
        <w:t xml:space="preserve">October </w:t>
      </w:r>
      <w:r w:rsidR="00B86062">
        <w:t>8, 2026</w:t>
      </w:r>
    </w:p>
    <w:sectPr w:rsidR="00FC5770">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704C2" w14:textId="77777777" w:rsidR="00F314AB" w:rsidRDefault="00F314AB">
      <w:pPr>
        <w:spacing w:line="240" w:lineRule="auto"/>
      </w:pPr>
      <w:r>
        <w:separator/>
      </w:r>
    </w:p>
  </w:endnote>
  <w:endnote w:type="continuationSeparator" w:id="0">
    <w:p w14:paraId="66472D57" w14:textId="77777777" w:rsidR="00F314AB" w:rsidRDefault="00F314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8C1F7E6-0CC2-4E94-A456-BDE8A6BB9009}"/>
  </w:font>
  <w:font w:name="Cambria">
    <w:panose1 w:val="02040503050406030204"/>
    <w:charset w:val="00"/>
    <w:family w:val="roman"/>
    <w:pitch w:val="variable"/>
    <w:sig w:usb0="E00006FF" w:usb1="420024FF" w:usb2="02000000" w:usb3="00000000" w:csb0="0000019F" w:csb1="00000000"/>
    <w:embedRegular r:id="rId2" w:fontKey="{8BF004EC-D27C-47BB-8846-741FDE982D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233E" w14:textId="11927319" w:rsidR="005B6501" w:rsidRDefault="00000000">
    <w:pPr>
      <w:jc w:val="right"/>
    </w:pPr>
    <w:r>
      <w:fldChar w:fldCharType="begin"/>
    </w:r>
    <w:r>
      <w:instrText>PAGE</w:instrText>
    </w:r>
    <w:r>
      <w:fldChar w:fldCharType="separate"/>
    </w:r>
    <w:r w:rsidR="009E3AE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2BC17" w14:textId="77777777" w:rsidR="00F314AB" w:rsidRDefault="00F314AB">
      <w:pPr>
        <w:spacing w:line="240" w:lineRule="auto"/>
      </w:pPr>
      <w:r>
        <w:separator/>
      </w:r>
    </w:p>
  </w:footnote>
  <w:footnote w:type="continuationSeparator" w:id="0">
    <w:p w14:paraId="205FDAAA" w14:textId="77777777" w:rsidR="00F314AB" w:rsidRDefault="00F314AB">
      <w:pPr>
        <w:spacing w:line="240" w:lineRule="auto"/>
      </w:pPr>
      <w:r>
        <w:continuationSeparator/>
      </w:r>
    </w:p>
  </w:footnote>
  <w:footnote w:id="1">
    <w:p w14:paraId="1371233F" w14:textId="2B081B45" w:rsidR="005B6501" w:rsidRDefault="00000000">
      <w:pPr>
        <w:spacing w:line="240" w:lineRule="auto"/>
        <w:rPr>
          <w:sz w:val="20"/>
          <w:szCs w:val="20"/>
        </w:rPr>
      </w:pPr>
      <w:r>
        <w:rPr>
          <w:vertAlign w:val="superscript"/>
        </w:rPr>
        <w:footnoteRef/>
      </w:r>
      <w:r>
        <w:t xml:space="preserve"> Mill, John Stuart. On Liberty. 1859. Project Gutenberg, 10 Jan. 2011,</w:t>
      </w:r>
      <w:r w:rsidR="008833C9" w:rsidRPr="008833C9">
        <w:t xml:space="preserve"> </w:t>
      </w:r>
      <w:hyperlink r:id="rId1" w:history="1">
        <w:r w:rsidR="008833C9" w:rsidRPr="008833C9">
          <w:rPr>
            <w:rStyle w:val="Hyperlink"/>
          </w:rPr>
          <w:t>https://www.gutenberg.org/ebooks/34901</w:t>
        </w:r>
      </w:hyperlink>
      <w:r>
        <w:t>. Accessed 1 Oct. 2026. See ch. 3, “Of Individuality, as One of the Elements of Well-Being.”</w:t>
      </w:r>
    </w:p>
  </w:footnote>
  <w:footnote w:id="2">
    <w:p w14:paraId="13712340" w14:textId="65703B39" w:rsidR="005B6501" w:rsidRDefault="00000000">
      <w:pPr>
        <w:spacing w:line="240" w:lineRule="auto"/>
        <w:rPr>
          <w:sz w:val="20"/>
          <w:szCs w:val="20"/>
        </w:rPr>
      </w:pPr>
      <w:r>
        <w:rPr>
          <w:vertAlign w:val="superscript"/>
        </w:rPr>
        <w:footnoteRef/>
      </w:r>
      <w:r>
        <w:t xml:space="preserve"> Reeves, Richard V. “Toxic Masculinity Is a Harmful Myth. Society Is in Denial about the Problems of Boys and Men.” Big Think, 17 Oct. 2022, </w:t>
      </w:r>
      <w:hyperlink r:id="rId2" w:history="1">
        <w:r w:rsidR="001A3E88" w:rsidRPr="001A3E88">
          <w:rPr>
            <w:rStyle w:val="Hyperlink"/>
          </w:rPr>
          <w:t>http://</w:t>
        </w:r>
        <w:r w:rsidRPr="001A3E88">
          <w:rPr>
            <w:rStyle w:val="Hyperlink"/>
          </w:rPr>
          <w:t>bigthink.com/the-present/toxic-masculinity-myth/</w:t>
        </w:r>
      </w:hyperlink>
      <w:r>
        <w:t>. Accessed 1 Oct. 2026.</w:t>
      </w:r>
    </w:p>
  </w:footnote>
  <w:footnote w:id="3">
    <w:p w14:paraId="13712341" w14:textId="020E1EA7" w:rsidR="005B6501" w:rsidRDefault="00000000">
      <w:pPr>
        <w:spacing w:line="240" w:lineRule="auto"/>
        <w:rPr>
          <w:sz w:val="20"/>
          <w:szCs w:val="20"/>
        </w:rPr>
      </w:pPr>
      <w:r>
        <w:rPr>
          <w:vertAlign w:val="superscript"/>
        </w:rPr>
        <w:footnoteRef/>
      </w:r>
      <w:r>
        <w:t xml:space="preserve"> French, David. “Understanding the Inescapable Reality of Masculinity.” National Review, 2 May 2019, </w:t>
      </w:r>
      <w:hyperlink r:id="rId3" w:history="1">
        <w:r w:rsidR="005B6501" w:rsidRPr="00884DE8">
          <w:rPr>
            <w:rStyle w:val="Hyperlink"/>
          </w:rPr>
          <w:t>www.nationalreview.com/2019/05/understanding-the-inescapable-reality-of-masculinity/</w:t>
        </w:r>
      </w:hyperlink>
      <w:r>
        <w:t>. Accessed 1 Oct.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501"/>
    <w:rsid w:val="0005660F"/>
    <w:rsid w:val="001873F3"/>
    <w:rsid w:val="00190166"/>
    <w:rsid w:val="001A3E88"/>
    <w:rsid w:val="00211FE0"/>
    <w:rsid w:val="00282281"/>
    <w:rsid w:val="002C24E6"/>
    <w:rsid w:val="0036171E"/>
    <w:rsid w:val="003850DF"/>
    <w:rsid w:val="003C2F4A"/>
    <w:rsid w:val="004513CB"/>
    <w:rsid w:val="00501C05"/>
    <w:rsid w:val="00546146"/>
    <w:rsid w:val="005B6501"/>
    <w:rsid w:val="00615281"/>
    <w:rsid w:val="007150A2"/>
    <w:rsid w:val="0073623E"/>
    <w:rsid w:val="00742421"/>
    <w:rsid w:val="00744099"/>
    <w:rsid w:val="00765FDF"/>
    <w:rsid w:val="007C53AE"/>
    <w:rsid w:val="007E11AA"/>
    <w:rsid w:val="008463FA"/>
    <w:rsid w:val="00851478"/>
    <w:rsid w:val="00870502"/>
    <w:rsid w:val="008833C9"/>
    <w:rsid w:val="00884DE8"/>
    <w:rsid w:val="008B31FA"/>
    <w:rsid w:val="00900BAE"/>
    <w:rsid w:val="00904FF1"/>
    <w:rsid w:val="00950EC5"/>
    <w:rsid w:val="00953168"/>
    <w:rsid w:val="0099441C"/>
    <w:rsid w:val="009E3AE8"/>
    <w:rsid w:val="00AC1564"/>
    <w:rsid w:val="00AF4456"/>
    <w:rsid w:val="00B4565D"/>
    <w:rsid w:val="00B61E25"/>
    <w:rsid w:val="00B86062"/>
    <w:rsid w:val="00B930BC"/>
    <w:rsid w:val="00BF1970"/>
    <w:rsid w:val="00C043C2"/>
    <w:rsid w:val="00C25DF2"/>
    <w:rsid w:val="00CB5DE3"/>
    <w:rsid w:val="00D56633"/>
    <w:rsid w:val="00DD065E"/>
    <w:rsid w:val="00E27155"/>
    <w:rsid w:val="00E6698F"/>
    <w:rsid w:val="00F11E8E"/>
    <w:rsid w:val="00F314AB"/>
    <w:rsid w:val="00F44987"/>
    <w:rsid w:val="00FC5770"/>
    <w:rsid w:val="00FD0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1231E"/>
  <w15:docId w15:val="{2C09AAFC-7FCC-447A-A92B-082131449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851478"/>
    <w:rPr>
      <w:color w:val="0000FF" w:themeColor="hyperlink"/>
      <w:u w:val="single"/>
    </w:rPr>
  </w:style>
  <w:style w:type="character" w:styleId="UnresolvedMention">
    <w:name w:val="Unresolved Mention"/>
    <w:basedOn w:val="DefaultParagraphFont"/>
    <w:uiPriority w:val="99"/>
    <w:semiHidden/>
    <w:unhideWhenUsed/>
    <w:rsid w:val="00851478"/>
    <w:rPr>
      <w:color w:val="605E5C"/>
      <w:shd w:val="clear" w:color="auto" w:fill="E1DFDD"/>
    </w:rPr>
  </w:style>
  <w:style w:type="character" w:styleId="FollowedHyperlink">
    <w:name w:val="FollowedHyperlink"/>
    <w:basedOn w:val="DefaultParagraphFont"/>
    <w:uiPriority w:val="99"/>
    <w:semiHidden/>
    <w:unhideWhenUsed/>
    <w:rsid w:val="00884DE8"/>
    <w:rPr>
      <w:color w:val="800080" w:themeColor="followedHyperlink"/>
      <w:u w:val="single"/>
    </w:rPr>
  </w:style>
  <w:style w:type="paragraph" w:styleId="Header">
    <w:name w:val="header"/>
    <w:basedOn w:val="Normal"/>
    <w:link w:val="HeaderChar"/>
    <w:uiPriority w:val="99"/>
    <w:semiHidden/>
    <w:unhideWhenUsed/>
    <w:rsid w:val="00F4498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44987"/>
  </w:style>
  <w:style w:type="paragraph" w:styleId="Footer">
    <w:name w:val="footer"/>
    <w:basedOn w:val="Normal"/>
    <w:link w:val="FooterChar"/>
    <w:uiPriority w:val="99"/>
    <w:semiHidden/>
    <w:unhideWhenUsed/>
    <w:rsid w:val="00F4498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44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utenberg.org/ebooks/34901.%20Accessed%201%20Oct.%202026" TargetMode="External"/><Relationship Id="rId3" Type="http://schemas.openxmlformats.org/officeDocument/2006/relationships/settings" Target="settings.xml"/><Relationship Id="rId7" Type="http://schemas.openxmlformats.org/officeDocument/2006/relationships/hyperlink" Target="http://www.nationalreview.com/2019/05/understanding-the-inescapable-reality-of-masculin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igthink.com/the-present/toxic-masculinity-myth/"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www.nationalreview.com/2019/05/understanding-the-inescapable-reality-of-masculinity/" TargetMode="External"/><Relationship Id="rId2" Type="http://schemas.openxmlformats.org/officeDocument/2006/relationships/hyperlink" Target="http://bigthink.com/the-present/toxic-masculinity-myth/" TargetMode="External"/><Relationship Id="rId1" Type="http://schemas.openxmlformats.org/officeDocument/2006/relationships/hyperlink" Target="https://www.gutenberg.org/ebooks/34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1511</TotalTime>
  <Pages>6</Pages>
  <Words>2161</Words>
  <Characters>10915</Characters>
  <Application>Microsoft Office Word</Application>
  <DocSecurity>0</DocSecurity>
  <Lines>162</Lines>
  <Paragraphs>39</Paragraphs>
  <ScaleCrop>false</ScaleCrop>
  <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Redmond</cp:lastModifiedBy>
  <cp:revision>26</cp:revision>
  <dcterms:created xsi:type="dcterms:W3CDTF">2026-10-02T21:25:00Z</dcterms:created>
  <dcterms:modified xsi:type="dcterms:W3CDTF">2026-10-08T13:25:00Z</dcterms:modified>
</cp:coreProperties>
</file>