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D465" w14:textId="77777777" w:rsidR="00CF0248" w:rsidRDefault="00CF0248" w:rsidP="00D96241">
      <w:pPr>
        <w:pStyle w:val="NormalWeb"/>
      </w:pPr>
    </w:p>
    <w:p w14:paraId="517E7E72" w14:textId="248F00B4" w:rsidR="00D96241" w:rsidRDefault="00D96241" w:rsidP="00D96241">
      <w:pPr>
        <w:pStyle w:val="NormalWeb"/>
      </w:pPr>
      <w:r>
        <w:t xml:space="preserve">Cryptocurrency, </w:t>
      </w:r>
      <w:r w:rsidR="00CF0248">
        <w:t xml:space="preserve">such as </w:t>
      </w:r>
      <w:r>
        <w:t>Bitcoin and other proof-of-work (PoW) based digital assets, is increasingly recognized as a contributor to climate change due to its high energy consumption and carbon emissions. Mining operations require vast computational power, leading to a reliance on fossil fuel-based electricity in many regions. According to the United Nations University (UNU), the annual energy usage of Bitcoin mining alone rivals that of entire countries, such as Argentina or the Netherlands, with much of this energy sourced from coal and natural gas. This heavy reliance on non-renewables results in significant greenhouse gas emissions, accelerating global warming.</w:t>
      </w:r>
    </w:p>
    <w:p w14:paraId="7CC5BCE4" w14:textId="37A62042" w:rsidR="00D96241" w:rsidRDefault="00CF0248" w:rsidP="00D96241">
      <w:pPr>
        <w:pStyle w:val="NormalWeb"/>
      </w:pPr>
      <w:r>
        <w:t xml:space="preserve">The </w:t>
      </w:r>
      <w:r w:rsidR="00D96241">
        <w:t xml:space="preserve">UNU </w:t>
      </w:r>
      <w:r>
        <w:t xml:space="preserve">article </w:t>
      </w:r>
      <w:r w:rsidR="00D96241">
        <w:t xml:space="preserve">highlights the e-waste generated by obsolete mining equipment poses an additional environmental burden. Specialized mining hardware quickly becomes inefficient, leading to disposal challenges that intensify resource extraction and pollution. Studies in </w:t>
      </w:r>
      <w:r w:rsidR="00D96241">
        <w:rPr>
          <w:rStyle w:val="Emphasis"/>
          <w:rFonts w:eastAsiaTheme="majorEastAsia"/>
        </w:rPr>
        <w:t>Nature Communications</w:t>
      </w:r>
      <w:r w:rsidR="00D96241">
        <w:t xml:space="preserve"> suggest unchecked growth in cryptocurrency adoption could push global temperatures above the 2°C threshold outlined in the Paris Agreement.</w:t>
      </w:r>
    </w:p>
    <w:p w14:paraId="68E3E735" w14:textId="47573245" w:rsidR="00B13D3F" w:rsidRDefault="00CF0248" w:rsidP="00B13D3F">
      <w:pPr>
        <w:pStyle w:val="NormalWeb"/>
      </w:pPr>
      <w:r>
        <w:t>Yet, c</w:t>
      </w:r>
      <w:r w:rsidR="00B13D3F">
        <w:t>ryptocurrency does not inherently have to cause environmental harm, and several developments are reducing its ecological footprint. The main driver of concern—proof-of-work (PoW) mining—</w:t>
      </w:r>
      <w:r w:rsidR="00B13D3F" w:rsidRPr="00E43B0A">
        <w:t>can</w:t>
      </w:r>
      <w:r w:rsidR="00B13D3F">
        <w:t xml:space="preserve"> be replaced with more energy-efficient consensus mechanisms. Proof-of-stake (</w:t>
      </w:r>
      <w:proofErr w:type="spellStart"/>
      <w:r w:rsidR="00B13D3F">
        <w:t>PoS</w:t>
      </w:r>
      <w:proofErr w:type="spellEnd"/>
      <w:r w:rsidR="00B13D3F">
        <w:t>), now adopted by Ethereum after its 2022 upgrade, reduces energy consumption by more than 99% compared to PoW (Ethereum Foundation, 2022). This demonstrates that large-scale blockchain networks can operate securely without vast electricity demands.</w:t>
      </w:r>
    </w:p>
    <w:p w14:paraId="7E387D02" w14:textId="68A0F646" w:rsidR="00B13D3F" w:rsidRDefault="00E43B0A" w:rsidP="00B13D3F">
      <w:pPr>
        <w:pStyle w:val="NormalWeb"/>
      </w:pPr>
      <w:r>
        <w:t>C</w:t>
      </w:r>
      <w:r w:rsidR="00B13D3F">
        <w:t>ryptocurrency mining can incentivize renewable energy adoption. Some operations are relocating to areas with abundant hydro, wind, or solar power, using surplus electricity that would otherwise be wasted. This not only reduces reliance on fossil fuels but can also support renewable infrastructure investment (Stoll et al., 2019).</w:t>
      </w:r>
      <w:r w:rsidR="00CF0248">
        <w:t xml:space="preserve"> M</w:t>
      </w:r>
      <w:r w:rsidR="00B13D3F">
        <w:t>ining operations are experimenting with capturing flared natural gas at oil fields, preventing methane release while generating power for blockchain validation (De Vries, 2021).</w:t>
      </w:r>
    </w:p>
    <w:p w14:paraId="5820A418" w14:textId="54C3BA14" w:rsidR="00B13D3F" w:rsidRDefault="00DA51C6" w:rsidP="00B13D3F">
      <w:pPr>
        <w:pStyle w:val="NormalWeb"/>
      </w:pPr>
      <w:r>
        <w:t>C</w:t>
      </w:r>
      <w:r w:rsidR="00B13D3F">
        <w:t xml:space="preserve">ryptocurrencies </w:t>
      </w:r>
      <w:r>
        <w:t>could</w:t>
      </w:r>
      <w:r w:rsidR="00B13D3F">
        <w:t xml:space="preserve"> promote sustainability through applications such as carbon credit markets and transparent green financing on blockchain networks. If innovation continues toward cleaner technologies and responsible regulation ensures sustainable practices, cryptocurrencies can operate without significantly harming the environment.</w:t>
      </w:r>
    </w:p>
    <w:p w14:paraId="157092E2" w14:textId="497BF82A" w:rsidR="00B13D3F" w:rsidRDefault="00B13D3F" w:rsidP="00B13D3F">
      <w:pPr>
        <w:pStyle w:val="NormalWeb"/>
      </w:pPr>
      <w:r>
        <w:t>But as my mother used to say</w:t>
      </w:r>
      <w:r w:rsidR="00DA51C6">
        <w:t xml:space="preserve"> </w:t>
      </w:r>
      <w:r>
        <w:t>“if ifs and ands where pots and pans, they’d be no need for tinkers!”</w:t>
      </w:r>
    </w:p>
    <w:p w14:paraId="48EC8318" w14:textId="07BEF793" w:rsidR="00D96241" w:rsidRDefault="00CF0248" w:rsidP="00D96241">
      <w:pPr>
        <w:pStyle w:val="NormalWeb"/>
      </w:pPr>
      <w:r>
        <w:t>P</w:t>
      </w:r>
      <w:r w:rsidR="00D96241">
        <w:t>roponents</w:t>
      </w:r>
      <w:r>
        <w:t xml:space="preserve"> will</w:t>
      </w:r>
      <w:r w:rsidR="00D96241">
        <w:t xml:space="preserve"> argue renewable energy could offset the impact, </w:t>
      </w:r>
      <w:r w:rsidR="00DA51C6">
        <w:t xml:space="preserve">yet </w:t>
      </w:r>
      <w:r w:rsidR="00D96241">
        <w:t xml:space="preserve">the current distribution of mining hubs in fossil fuel–dependent nations undermine this claim. </w:t>
      </w:r>
      <w:r>
        <w:t>U</w:t>
      </w:r>
      <w:r w:rsidR="00D96241">
        <w:t>nless regulatory frameworks or technological shifts toward greener consensus mechanisms occur, cryptocurrencies will continue to exacerbate climate change.</w:t>
      </w:r>
    </w:p>
    <w:p w14:paraId="5C09BE22" w14:textId="7ABC534D" w:rsidR="00CF0248" w:rsidRDefault="00D96241" w:rsidP="00CF0248">
      <w:pPr>
        <w:pStyle w:val="NormalWeb"/>
      </w:pPr>
      <w:r>
        <w:rPr>
          <w:rStyle w:val="Strong"/>
          <w:rFonts w:eastAsiaTheme="majorEastAsia"/>
        </w:rPr>
        <w:t>References:</w:t>
      </w:r>
    </w:p>
    <w:p w14:paraId="561FEB8B" w14:textId="482939A5" w:rsidR="00CF0248" w:rsidRDefault="00CF0248" w:rsidP="00CF0248">
      <w:pPr>
        <w:pStyle w:val="NormalWeb"/>
        <w:numPr>
          <w:ilvl w:val="0"/>
          <w:numId w:val="3"/>
        </w:numPr>
      </w:pPr>
      <w:r>
        <w:lastRenderedPageBreak/>
        <w:t>De Vries, A. (2021). Bitcoin’s growing energy problem. *Joule, 5*(3), 509–513. [</w:t>
      </w:r>
      <w:proofErr w:type="gramStart"/>
      <w:r>
        <w:t>https://doi.org/10.1016/j.joule.2021.02.007](</w:t>
      </w:r>
      <w:proofErr w:type="gramEnd"/>
      <w:r>
        <w:t>https://doi.org/10.1016/j.joule.2021.02.007)</w:t>
      </w:r>
    </w:p>
    <w:p w14:paraId="7BD7E0FA" w14:textId="242ECDE5" w:rsidR="00CF0248" w:rsidRDefault="00CF0248" w:rsidP="00CF0248">
      <w:pPr>
        <w:pStyle w:val="NormalWeb"/>
        <w:numPr>
          <w:ilvl w:val="0"/>
          <w:numId w:val="3"/>
        </w:numPr>
      </w:pPr>
      <w:r>
        <w:t>Ethereum Foundation. (2022). *The Merge*. Ethereum.org. [</w:t>
      </w:r>
      <w:proofErr w:type="gramStart"/>
      <w:r>
        <w:t>https://ethereum.org/en/upgrades/merge/](</w:t>
      </w:r>
      <w:proofErr w:type="gramEnd"/>
      <w:r>
        <w:t>https://ethereum.org/en/upgrades/merge/)</w:t>
      </w:r>
    </w:p>
    <w:p w14:paraId="385602A2" w14:textId="2A8696F4" w:rsidR="00CF0248" w:rsidRDefault="00CF0248" w:rsidP="00CF0248">
      <w:pPr>
        <w:pStyle w:val="NormalWeb"/>
        <w:numPr>
          <w:ilvl w:val="0"/>
          <w:numId w:val="3"/>
        </w:numPr>
      </w:pPr>
      <w:r>
        <w:t>Mora, C., Rollins, R. L., Taladay, K., Kantar, M. B., Chock, M. K., Shimada, M., &amp; Franklin, E. C. (2018). Bitcoin emissions alone could push global warming above 2°C. *Nature Communications, 9*(1), 2341. [</w:t>
      </w:r>
      <w:proofErr w:type="gramStart"/>
      <w:r>
        <w:t>https://doi.org/10.1038/s41467-018-07038-6](</w:t>
      </w:r>
      <w:proofErr w:type="gramEnd"/>
      <w:r>
        <w:t>https://doi.org/10.1038/s41467-018-07038-6)</w:t>
      </w:r>
    </w:p>
    <w:p w14:paraId="314C0228" w14:textId="208741B4" w:rsidR="00CF0248" w:rsidRDefault="00CF0248" w:rsidP="00CF0248">
      <w:pPr>
        <w:pStyle w:val="NormalWeb"/>
        <w:numPr>
          <w:ilvl w:val="0"/>
          <w:numId w:val="3"/>
        </w:numPr>
      </w:pPr>
      <w:r>
        <w:t xml:space="preserve">Stoll, C., </w:t>
      </w:r>
      <w:proofErr w:type="spellStart"/>
      <w:r>
        <w:t>Klaaßen</w:t>
      </w:r>
      <w:proofErr w:type="spellEnd"/>
      <w:r>
        <w:t xml:space="preserve">, L., &amp; </w:t>
      </w:r>
      <w:proofErr w:type="spellStart"/>
      <w:r>
        <w:t>Gallersdörfer</w:t>
      </w:r>
      <w:proofErr w:type="spellEnd"/>
      <w:r>
        <w:t>, U. (2019). The carbon footprint of Bitcoin. *Joule, 3*(7), 1647–1661. [</w:t>
      </w:r>
      <w:proofErr w:type="gramStart"/>
      <w:r>
        <w:t>https://doi.org/10.1016/j.joule.2019.05.012](</w:t>
      </w:r>
      <w:proofErr w:type="gramEnd"/>
      <w:r>
        <w:t>https://doi.org/10.1016/j.joule.2019.05.012)</w:t>
      </w:r>
    </w:p>
    <w:p w14:paraId="4BFB954B" w14:textId="769E4D5B" w:rsidR="00CF0248" w:rsidRDefault="00CF0248" w:rsidP="00CF0248">
      <w:pPr>
        <w:pStyle w:val="NormalWeb"/>
        <w:numPr>
          <w:ilvl w:val="0"/>
          <w:numId w:val="3"/>
        </w:numPr>
      </w:pPr>
      <w:r>
        <w:t>United Nations University. (2022). *Bitcoin’s growing energy problem*. UNU. [</w:t>
      </w:r>
      <w:proofErr w:type="gramStart"/>
      <w:r>
        <w:t>https://unu.edu/publications](</w:t>
      </w:r>
      <w:proofErr w:type="gramEnd"/>
      <w:r>
        <w:t>https://unu.edu/publications)</w:t>
      </w:r>
    </w:p>
    <w:p w14:paraId="0A155236" w14:textId="051C7F2A" w:rsidR="00D96241" w:rsidRDefault="00D96241" w:rsidP="00CF0248">
      <w:pPr>
        <w:pStyle w:val="NormalWeb"/>
      </w:pPr>
    </w:p>
    <w:p w14:paraId="747062B9" w14:textId="52432ED3" w:rsidR="00CF0248" w:rsidRDefault="00CF0248" w:rsidP="00CF0248">
      <w:pPr>
        <w:pStyle w:val="NormalWeb"/>
      </w:pPr>
      <w:r>
        <w:t>Written with the help of CHAT GPT</w:t>
      </w:r>
    </w:p>
    <w:sectPr w:rsidR="00CF024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93565" w14:textId="77777777" w:rsidR="00B63340" w:rsidRDefault="00B63340" w:rsidP="00CF0248">
      <w:pPr>
        <w:spacing w:after="0" w:line="240" w:lineRule="auto"/>
      </w:pPr>
      <w:r>
        <w:separator/>
      </w:r>
    </w:p>
  </w:endnote>
  <w:endnote w:type="continuationSeparator" w:id="0">
    <w:p w14:paraId="6BE52A9F" w14:textId="77777777" w:rsidR="00B63340" w:rsidRDefault="00B63340" w:rsidP="00CF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3A295" w14:textId="77777777" w:rsidR="00B63340" w:rsidRDefault="00B63340" w:rsidP="00CF0248">
      <w:pPr>
        <w:spacing w:after="0" w:line="240" w:lineRule="auto"/>
      </w:pPr>
      <w:r>
        <w:separator/>
      </w:r>
    </w:p>
  </w:footnote>
  <w:footnote w:type="continuationSeparator" w:id="0">
    <w:p w14:paraId="6BFEA6F3" w14:textId="77777777" w:rsidR="00B63340" w:rsidRDefault="00B63340" w:rsidP="00CF0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32D38" w14:textId="5326AE1B" w:rsidR="00CF0248" w:rsidRDefault="00CF0248">
    <w:pPr>
      <w:pStyle w:val="Header"/>
    </w:pPr>
    <w:r>
      <w:t>Geri O’Hare</w:t>
    </w:r>
    <w:r>
      <w:tab/>
    </w:r>
    <w:r>
      <w:tab/>
      <w:t>September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6252C"/>
    <w:multiLevelType w:val="multilevel"/>
    <w:tmpl w:val="717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96D5B"/>
    <w:multiLevelType w:val="multilevel"/>
    <w:tmpl w:val="717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AC12F2"/>
    <w:multiLevelType w:val="hybridMultilevel"/>
    <w:tmpl w:val="26F020C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025322">
    <w:abstractNumId w:val="0"/>
  </w:num>
  <w:num w:numId="2" w16cid:durableId="1994991753">
    <w:abstractNumId w:val="1"/>
  </w:num>
  <w:num w:numId="3" w16cid:durableId="1339649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44"/>
    <w:rsid w:val="003E7FDB"/>
    <w:rsid w:val="0046302A"/>
    <w:rsid w:val="00474B2E"/>
    <w:rsid w:val="004C43F2"/>
    <w:rsid w:val="00B13D3F"/>
    <w:rsid w:val="00B35E7F"/>
    <w:rsid w:val="00B63340"/>
    <w:rsid w:val="00CF0248"/>
    <w:rsid w:val="00D96241"/>
    <w:rsid w:val="00DA51C6"/>
    <w:rsid w:val="00DF7022"/>
    <w:rsid w:val="00E43B0A"/>
    <w:rsid w:val="00EA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4FEA"/>
  <w15:chartTrackingRefBased/>
  <w15:docId w15:val="{B85AD970-D5F0-4F7D-A10A-5C6CEEA7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1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11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11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11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11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11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1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1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1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1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11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11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11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11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11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1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1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144"/>
    <w:rPr>
      <w:rFonts w:eastAsiaTheme="majorEastAsia" w:cstheme="majorBidi"/>
      <w:color w:val="272727" w:themeColor="text1" w:themeTint="D8"/>
    </w:rPr>
  </w:style>
  <w:style w:type="paragraph" w:styleId="Title">
    <w:name w:val="Title"/>
    <w:basedOn w:val="Normal"/>
    <w:next w:val="Normal"/>
    <w:link w:val="TitleChar"/>
    <w:uiPriority w:val="10"/>
    <w:qFormat/>
    <w:rsid w:val="00EA1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1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1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1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144"/>
    <w:pPr>
      <w:spacing w:before="160"/>
      <w:jc w:val="center"/>
    </w:pPr>
    <w:rPr>
      <w:i/>
      <w:iCs/>
      <w:color w:val="404040" w:themeColor="text1" w:themeTint="BF"/>
    </w:rPr>
  </w:style>
  <w:style w:type="character" w:customStyle="1" w:styleId="QuoteChar">
    <w:name w:val="Quote Char"/>
    <w:basedOn w:val="DefaultParagraphFont"/>
    <w:link w:val="Quote"/>
    <w:uiPriority w:val="29"/>
    <w:rsid w:val="00EA1144"/>
    <w:rPr>
      <w:i/>
      <w:iCs/>
      <w:color w:val="404040" w:themeColor="text1" w:themeTint="BF"/>
    </w:rPr>
  </w:style>
  <w:style w:type="paragraph" w:styleId="ListParagraph">
    <w:name w:val="List Paragraph"/>
    <w:basedOn w:val="Normal"/>
    <w:uiPriority w:val="34"/>
    <w:qFormat/>
    <w:rsid w:val="00EA1144"/>
    <w:pPr>
      <w:ind w:left="720"/>
      <w:contextualSpacing/>
    </w:pPr>
  </w:style>
  <w:style w:type="character" w:styleId="IntenseEmphasis">
    <w:name w:val="Intense Emphasis"/>
    <w:basedOn w:val="DefaultParagraphFont"/>
    <w:uiPriority w:val="21"/>
    <w:qFormat/>
    <w:rsid w:val="00EA1144"/>
    <w:rPr>
      <w:i/>
      <w:iCs/>
      <w:color w:val="2F5496" w:themeColor="accent1" w:themeShade="BF"/>
    </w:rPr>
  </w:style>
  <w:style w:type="paragraph" w:styleId="IntenseQuote">
    <w:name w:val="Intense Quote"/>
    <w:basedOn w:val="Normal"/>
    <w:next w:val="Normal"/>
    <w:link w:val="IntenseQuoteChar"/>
    <w:uiPriority w:val="30"/>
    <w:qFormat/>
    <w:rsid w:val="00EA1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1144"/>
    <w:rPr>
      <w:i/>
      <w:iCs/>
      <w:color w:val="2F5496" w:themeColor="accent1" w:themeShade="BF"/>
    </w:rPr>
  </w:style>
  <w:style w:type="character" w:styleId="IntenseReference">
    <w:name w:val="Intense Reference"/>
    <w:basedOn w:val="DefaultParagraphFont"/>
    <w:uiPriority w:val="32"/>
    <w:qFormat/>
    <w:rsid w:val="00EA1144"/>
    <w:rPr>
      <w:b/>
      <w:bCs/>
      <w:smallCaps/>
      <w:color w:val="2F5496" w:themeColor="accent1" w:themeShade="BF"/>
      <w:spacing w:val="5"/>
    </w:rPr>
  </w:style>
  <w:style w:type="paragraph" w:styleId="NormalWeb">
    <w:name w:val="Normal (Web)"/>
    <w:basedOn w:val="Normal"/>
    <w:uiPriority w:val="99"/>
    <w:semiHidden/>
    <w:unhideWhenUsed/>
    <w:rsid w:val="00D9624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96241"/>
    <w:rPr>
      <w:i/>
      <w:iCs/>
    </w:rPr>
  </w:style>
  <w:style w:type="character" w:styleId="Strong">
    <w:name w:val="Strong"/>
    <w:basedOn w:val="DefaultParagraphFont"/>
    <w:uiPriority w:val="22"/>
    <w:qFormat/>
    <w:rsid w:val="00D96241"/>
    <w:rPr>
      <w:b/>
      <w:bCs/>
    </w:rPr>
  </w:style>
  <w:style w:type="paragraph" w:styleId="Header">
    <w:name w:val="header"/>
    <w:basedOn w:val="Normal"/>
    <w:link w:val="HeaderChar"/>
    <w:uiPriority w:val="99"/>
    <w:unhideWhenUsed/>
    <w:rsid w:val="00CF0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248"/>
  </w:style>
  <w:style w:type="paragraph" w:styleId="Footer">
    <w:name w:val="footer"/>
    <w:basedOn w:val="Normal"/>
    <w:link w:val="FooterChar"/>
    <w:uiPriority w:val="99"/>
    <w:unhideWhenUsed/>
    <w:rsid w:val="00CF0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A1455-FC80-47D0-9C4D-BA315A71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 O'Hare</dc:creator>
  <cp:keywords/>
  <dc:description/>
  <cp:lastModifiedBy>Aram Terzian</cp:lastModifiedBy>
  <cp:revision>2</cp:revision>
  <dcterms:created xsi:type="dcterms:W3CDTF">2025-09-07T18:12:00Z</dcterms:created>
  <dcterms:modified xsi:type="dcterms:W3CDTF">2025-09-07T18:12:00Z</dcterms:modified>
</cp:coreProperties>
</file>