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A0852" w:rsidRDefault="002E1D09">
      <w:pPr>
        <w:jc w:val="center"/>
        <w:rPr>
          <w:sz w:val="28"/>
          <w:szCs w:val="28"/>
        </w:rPr>
      </w:pPr>
      <w:r>
        <w:rPr>
          <w:sz w:val="28"/>
          <w:szCs w:val="28"/>
        </w:rPr>
        <w:t>In Defense of Derivative Texts</w:t>
      </w:r>
    </w:p>
    <w:p w14:paraId="00000002" w14:textId="77777777" w:rsidR="005A0852" w:rsidRDefault="005A0852">
      <w:pPr>
        <w:jc w:val="center"/>
        <w:rPr>
          <w:sz w:val="24"/>
          <w:szCs w:val="24"/>
        </w:rPr>
      </w:pPr>
    </w:p>
    <w:p w14:paraId="00000003" w14:textId="77777777" w:rsidR="005A0852" w:rsidRDefault="002E1D09">
      <w:pPr>
        <w:spacing w:before="240" w:after="240" w:line="360" w:lineRule="auto"/>
        <w:rPr>
          <w:sz w:val="24"/>
          <w:szCs w:val="24"/>
        </w:rPr>
      </w:pPr>
      <w:r>
        <w:rPr>
          <w:sz w:val="24"/>
          <w:szCs w:val="24"/>
        </w:rPr>
        <w:t xml:space="preserve">Our topic this month is “Rewritten Masterpieces.” I should confess at the outset that I know only one of the works discussed in our materials well enough to speak of it with much confidence: Barbara Kingsolver’s </w:t>
      </w:r>
      <w:r>
        <w:rPr>
          <w:i/>
          <w:iCs/>
          <w:sz w:val="24"/>
          <w:szCs w:val="24"/>
        </w:rPr>
        <w:t>Demon Copperhead</w:t>
      </w:r>
      <w:r>
        <w:rPr>
          <w:sz w:val="24"/>
          <w:szCs w:val="24"/>
        </w:rPr>
        <w:t xml:space="preserve">. Our reading guide characterizes “rewritten masterpieces” as “derivative works,” and identifies several distinct understandings of that term, including educational updating, political updating, and (re)interpretation. But the word </w:t>
      </w:r>
      <w:r>
        <w:rPr>
          <w:i/>
          <w:iCs/>
          <w:sz w:val="24"/>
          <w:szCs w:val="24"/>
        </w:rPr>
        <w:t>derivative</w:t>
      </w:r>
      <w:r>
        <w:rPr>
          <w:sz w:val="24"/>
          <w:szCs w:val="24"/>
        </w:rPr>
        <w:t xml:space="preserve"> often carries more weight than this. It is not merely descriptive. It is frequently a judgment, and often not a generous one. For many, calling a work derivative is to raise a doubt about its artistic merit. Much like, I suppose, our instinctive feeling</w:t>
      </w:r>
      <w:r>
        <w:rPr>
          <w:sz w:val="24"/>
          <w:szCs w:val="24"/>
        </w:rPr>
        <w:t xml:space="preserve"> about buying a “knock off” or buying a reproduction instead of the “real” thing.  </w:t>
      </w:r>
    </w:p>
    <w:p w14:paraId="00000004" w14:textId="77777777" w:rsidR="005A0852" w:rsidRDefault="002E1D09">
      <w:pPr>
        <w:spacing w:before="240" w:after="240" w:line="360" w:lineRule="auto"/>
        <w:rPr>
          <w:sz w:val="24"/>
          <w:szCs w:val="24"/>
        </w:rPr>
      </w:pPr>
      <w:r>
        <w:rPr>
          <w:sz w:val="24"/>
          <w:szCs w:val="24"/>
        </w:rPr>
        <w:t>In this short essay, I want to explore whether, to what extent, and under what conditions this initial doubt or bias is warranted. More precisely, I want to distinguish the descriptive fact of dependency from the evaluative judgment of artistic inferiority. My contention is that sometimes the negative judgment trades on blurring the distinction between these two senses of derivative. Behind the pejorative use of “derivative,” I shall suggest, sometimes lies a mistaken view of the relationship of author, tex</w:t>
      </w:r>
      <w:r>
        <w:rPr>
          <w:sz w:val="24"/>
          <w:szCs w:val="24"/>
        </w:rPr>
        <w:t>t, and reader, and how meaning arises out of this relationship.</w:t>
      </w:r>
    </w:p>
    <w:p w14:paraId="00000005" w14:textId="77777777" w:rsidR="005A0852" w:rsidRDefault="002E1D09">
      <w:pPr>
        <w:spacing w:line="360" w:lineRule="auto"/>
        <w:rPr>
          <w:sz w:val="24"/>
          <w:szCs w:val="24"/>
        </w:rPr>
      </w:pPr>
      <w:r>
        <w:rPr>
          <w:sz w:val="24"/>
          <w:szCs w:val="24"/>
        </w:rPr>
        <w:t xml:space="preserve">When the term “derivative” is used in a merely descriptive sense, it means only that a work depends upon another in some significant way. Kingsolver’s </w:t>
      </w:r>
      <w:r>
        <w:rPr>
          <w:i/>
          <w:iCs/>
          <w:sz w:val="24"/>
          <w:szCs w:val="24"/>
        </w:rPr>
        <w:t>Demon Copperhead</w:t>
      </w:r>
      <w:r>
        <w:rPr>
          <w:sz w:val="24"/>
          <w:szCs w:val="24"/>
        </w:rPr>
        <w:t xml:space="preserve">, for instance, borrows the essential plot line from Dickens’s </w:t>
      </w:r>
      <w:r>
        <w:rPr>
          <w:i/>
          <w:iCs/>
          <w:sz w:val="24"/>
          <w:szCs w:val="24"/>
        </w:rPr>
        <w:t>David Copperfield</w:t>
      </w:r>
      <w:r>
        <w:rPr>
          <w:sz w:val="24"/>
          <w:szCs w:val="24"/>
        </w:rPr>
        <w:t xml:space="preserve">, though updated to a very different time and setting. The Broadway play </w:t>
      </w:r>
      <w:r>
        <w:rPr>
          <w:i/>
          <w:iCs/>
          <w:sz w:val="24"/>
          <w:szCs w:val="24"/>
        </w:rPr>
        <w:t>&amp; Juliet</w:t>
      </w:r>
      <w:r>
        <w:rPr>
          <w:sz w:val="24"/>
          <w:szCs w:val="24"/>
        </w:rPr>
        <w:t xml:space="preserve"> explores the counterfactual possibility of what might have happened had Juliet not taken her own life in Shakespeare’s </w:t>
      </w:r>
      <w:r>
        <w:rPr>
          <w:i/>
          <w:iCs/>
          <w:sz w:val="24"/>
          <w:szCs w:val="24"/>
        </w:rPr>
        <w:t>Romeo and Juliet</w:t>
      </w:r>
      <w:r>
        <w:rPr>
          <w:sz w:val="24"/>
          <w:szCs w:val="24"/>
        </w:rPr>
        <w:t>. Used this way, “derivative” simply describes the relationship between the later work and the earlier one. It tells us something about literary genealogy, not artistic merit.</w:t>
      </w:r>
    </w:p>
    <w:p w14:paraId="00000006" w14:textId="77777777" w:rsidR="005A0852" w:rsidRDefault="002E1D09">
      <w:pPr>
        <w:spacing w:before="240" w:after="240" w:line="360" w:lineRule="auto"/>
        <w:rPr>
          <w:sz w:val="24"/>
          <w:szCs w:val="24"/>
        </w:rPr>
      </w:pPr>
      <w:r>
        <w:rPr>
          <w:sz w:val="24"/>
          <w:szCs w:val="24"/>
        </w:rPr>
        <w:t xml:space="preserve">However, we may be making an </w:t>
      </w:r>
      <w:r>
        <w:rPr>
          <w:i/>
          <w:iCs/>
          <w:sz w:val="24"/>
          <w:szCs w:val="24"/>
        </w:rPr>
        <w:t xml:space="preserve">evaluative </w:t>
      </w:r>
      <w:r>
        <w:rPr>
          <w:sz w:val="24"/>
          <w:szCs w:val="24"/>
        </w:rPr>
        <w:t xml:space="preserve">claim about the artistic value of the work when we say that it is derivative. Sometimes this judgment is pejorative, and for good </w:t>
      </w:r>
      <w:r>
        <w:rPr>
          <w:sz w:val="24"/>
          <w:szCs w:val="24"/>
        </w:rPr>
        <w:lastRenderedPageBreak/>
        <w:t xml:space="preserve">reason. A derivative work may borrow from the original in uninteresting ways, but often the verdict that a work is derivative shades into the claim that it is somehow less than the original, a secondary thing, or an imitation, and that it cannot stand on its own. It is as if the mere fact of dependency is a mark of deficiency. </w:t>
      </w:r>
    </w:p>
    <w:p w14:paraId="00000007" w14:textId="77777777" w:rsidR="005A0852" w:rsidRDefault="002E1D09">
      <w:pPr>
        <w:spacing w:before="240" w:after="240" w:line="360" w:lineRule="auto"/>
        <w:rPr>
          <w:sz w:val="24"/>
          <w:szCs w:val="24"/>
        </w:rPr>
      </w:pPr>
      <w:r>
        <w:rPr>
          <w:sz w:val="24"/>
          <w:szCs w:val="24"/>
        </w:rPr>
        <w:t xml:space="preserve">Most derivative works, of course, </w:t>
      </w:r>
      <w:r>
        <w:rPr>
          <w:i/>
          <w:iCs/>
          <w:sz w:val="24"/>
          <w:szCs w:val="24"/>
        </w:rPr>
        <w:t xml:space="preserve">are </w:t>
      </w:r>
      <w:r>
        <w:rPr>
          <w:sz w:val="24"/>
          <w:szCs w:val="24"/>
        </w:rPr>
        <w:t xml:space="preserve">inferior to their originals, but this tells us less than it may seem at first. Afterall, the creation of a masterpiece is rare, and so it is unsurprising that few rewrites are themselves masterpieces. Still, </w:t>
      </w:r>
      <w:r>
        <w:rPr>
          <w:i/>
          <w:iCs/>
          <w:sz w:val="24"/>
          <w:szCs w:val="24"/>
        </w:rPr>
        <w:t>Demon Copperhead</w:t>
      </w:r>
      <w:r>
        <w:rPr>
          <w:sz w:val="24"/>
          <w:szCs w:val="24"/>
        </w:rPr>
        <w:t xml:space="preserve"> strikes me as a tour de </w:t>
      </w:r>
      <w:proofErr w:type="gramStart"/>
      <w:r>
        <w:rPr>
          <w:sz w:val="24"/>
          <w:szCs w:val="24"/>
        </w:rPr>
        <w:t>force in its own right, and</w:t>
      </w:r>
      <w:proofErr w:type="gramEnd"/>
      <w:r>
        <w:rPr>
          <w:sz w:val="24"/>
          <w:szCs w:val="24"/>
        </w:rPr>
        <w:t xml:space="preserve"> the counterfactual explored in </w:t>
      </w:r>
      <w:r>
        <w:rPr>
          <w:i/>
          <w:iCs/>
          <w:sz w:val="24"/>
          <w:szCs w:val="24"/>
        </w:rPr>
        <w:t>&amp; Juliet</w:t>
      </w:r>
      <w:r>
        <w:rPr>
          <w:sz w:val="24"/>
          <w:szCs w:val="24"/>
        </w:rPr>
        <w:t xml:space="preserve"> is at least sufficiently interesting, provocative, and disruptive that I want now to see the show. The point is not that dependency is inherently good or bad, but that it tells us very little</w:t>
      </w:r>
      <w:r>
        <w:rPr>
          <w:sz w:val="24"/>
          <w:szCs w:val="24"/>
        </w:rPr>
        <w:t>, by itself, or perhaps nothing at all, about artistic merit.</w:t>
      </w:r>
    </w:p>
    <w:p w14:paraId="00000008" w14:textId="77777777" w:rsidR="005A0852" w:rsidRDefault="002E1D09">
      <w:pPr>
        <w:spacing w:before="240" w:after="240" w:line="360" w:lineRule="auto"/>
        <w:rPr>
          <w:sz w:val="24"/>
          <w:szCs w:val="24"/>
        </w:rPr>
      </w:pPr>
      <w:r>
        <w:rPr>
          <w:sz w:val="24"/>
          <w:szCs w:val="24"/>
        </w:rPr>
        <w:t xml:space="preserve">We therefore need to be careful not to slide too quickly from the descriptive to the evaluative sense of “derivative.” What matters is not whether a work depends upon an earlier work, but the nature of that dependency and what, artistically, has been made of it. </w:t>
      </w:r>
      <w:proofErr w:type="gramStart"/>
      <w:r>
        <w:rPr>
          <w:sz w:val="24"/>
          <w:szCs w:val="24"/>
        </w:rPr>
        <w:t>A later</w:t>
      </w:r>
      <w:proofErr w:type="gramEnd"/>
      <w:r>
        <w:rPr>
          <w:sz w:val="24"/>
          <w:szCs w:val="24"/>
        </w:rPr>
        <w:t xml:space="preserve"> work may tediously repeat the earlier one, in which case it will likely be forgotten. But it may also disclose something inchoate in the original, highlight a neglected possibility, or make visible something that the earlier work could not, or did not, see. In that case, dependency is not a weakness. </w:t>
      </w:r>
    </w:p>
    <w:p w14:paraId="00000009" w14:textId="77777777" w:rsidR="005A0852" w:rsidRDefault="002E1D09">
      <w:pPr>
        <w:spacing w:before="240" w:after="240" w:line="360" w:lineRule="auto"/>
        <w:rPr>
          <w:sz w:val="24"/>
          <w:szCs w:val="24"/>
        </w:rPr>
      </w:pPr>
      <w:r>
        <w:rPr>
          <w:sz w:val="24"/>
          <w:szCs w:val="24"/>
        </w:rPr>
        <w:t xml:space="preserve">Sometimes we are suspicious of derivative texts because we fear that they </w:t>
      </w:r>
      <w:proofErr w:type="gramStart"/>
      <w:r>
        <w:rPr>
          <w:sz w:val="24"/>
          <w:szCs w:val="24"/>
        </w:rPr>
        <w:t>change</w:t>
      </w:r>
      <w:proofErr w:type="gramEnd"/>
      <w:r>
        <w:rPr>
          <w:sz w:val="24"/>
          <w:szCs w:val="24"/>
        </w:rPr>
        <w:t xml:space="preserve"> the meaning of the originals. We may think that it is simply wrong to rewrite a text in a way that conflicts either with the author’s intention or with the way the work has generally been understood. This is especially a concern when the text is regarded as a masterpiece and has played an important role in shaping culture. Shakespeare’s </w:t>
      </w:r>
      <w:r>
        <w:rPr>
          <w:i/>
          <w:iCs/>
          <w:sz w:val="24"/>
          <w:szCs w:val="24"/>
        </w:rPr>
        <w:t>Romeo and Juliet</w:t>
      </w:r>
      <w:r>
        <w:rPr>
          <w:sz w:val="24"/>
          <w:szCs w:val="24"/>
        </w:rPr>
        <w:t xml:space="preserve"> is a good example. Arguably, it is the most influential love story of all time </w:t>
      </w:r>
      <w:proofErr w:type="gramStart"/>
      <w:r>
        <w:rPr>
          <w:sz w:val="24"/>
          <w:szCs w:val="24"/>
        </w:rPr>
        <w:t>( though</w:t>
      </w:r>
      <w:proofErr w:type="gramEnd"/>
      <w:r>
        <w:rPr>
          <w:sz w:val="24"/>
          <w:szCs w:val="24"/>
        </w:rPr>
        <w:t xml:space="preserve"> I still prefer García Márquez’s </w:t>
      </w:r>
      <w:r>
        <w:rPr>
          <w:i/>
          <w:iCs/>
          <w:sz w:val="24"/>
          <w:szCs w:val="24"/>
        </w:rPr>
        <w:t>Love in the Time of Cholera</w:t>
      </w:r>
      <w:r>
        <w:rPr>
          <w:sz w:val="24"/>
          <w:szCs w:val="24"/>
        </w:rPr>
        <w:t>),</w:t>
      </w:r>
      <w:r>
        <w:rPr>
          <w:sz w:val="24"/>
          <w:szCs w:val="24"/>
        </w:rPr>
        <w:t xml:space="preserve"> and it’s become the lens through which we tend to interpret romantic tragedy. Readers may therefore be wary of the very idea of someone tampering with </w:t>
      </w:r>
      <w:proofErr w:type="gramStart"/>
      <w:r>
        <w:rPr>
          <w:sz w:val="24"/>
          <w:szCs w:val="24"/>
        </w:rPr>
        <w:t>such a</w:t>
      </w:r>
      <w:proofErr w:type="gramEnd"/>
      <w:r>
        <w:rPr>
          <w:sz w:val="24"/>
          <w:szCs w:val="24"/>
        </w:rPr>
        <w:t xml:space="preserve"> work by rewriting it, as in </w:t>
      </w:r>
      <w:r>
        <w:rPr>
          <w:i/>
          <w:iCs/>
          <w:sz w:val="24"/>
          <w:szCs w:val="24"/>
        </w:rPr>
        <w:t>&amp; Juliet</w:t>
      </w:r>
      <w:r>
        <w:rPr>
          <w:sz w:val="24"/>
          <w:szCs w:val="24"/>
        </w:rPr>
        <w:t>, worrying that the act of rewriting not only diminishes the original but has changed its meaning.</w:t>
      </w:r>
    </w:p>
    <w:p w14:paraId="0000000A" w14:textId="77777777" w:rsidR="005A0852" w:rsidRDefault="002E1D09">
      <w:pPr>
        <w:spacing w:before="240" w:after="240" w:line="360" w:lineRule="auto"/>
        <w:rPr>
          <w:sz w:val="24"/>
          <w:szCs w:val="24"/>
        </w:rPr>
      </w:pPr>
      <w:r>
        <w:rPr>
          <w:sz w:val="24"/>
          <w:szCs w:val="24"/>
        </w:rPr>
        <w:lastRenderedPageBreak/>
        <w:t>Behind the temptation to use “derivative” in this pejorative sense, however, lies a common, but mistaken, view of the relationship among author, text, and reader. Meaning is treated as though it were a fixed deposit hidden inside the text, waiting to be extracted, or as though it were identical with the author’s intentions. But neither view is quite right. If we were to visualize this relationship, meaning would not be hidden behind the text, as though the reader’s task were simply to recover what the autho</w:t>
      </w:r>
      <w:r>
        <w:rPr>
          <w:sz w:val="24"/>
          <w:szCs w:val="24"/>
        </w:rPr>
        <w:t>r intended. Nor would meaning be something the reader freely invents. Proper interpretation must be anchored in the text itself, but meaning emerges in the conceptual or interpretive space in front of the text, between the text and the reader. One consequence is that the meaning of a text escapes the horizon of authorial intention. To put it simply, texts mean more than their authors intend. Authors, then, do not own the meanings of their texts. It is this fact about texts—this surplus of meaning, if you wi</w:t>
      </w:r>
      <w:r>
        <w:rPr>
          <w:sz w:val="24"/>
          <w:szCs w:val="24"/>
        </w:rPr>
        <w:t>ll—that potentially rescues artistic merit from that of mere imitation.</w:t>
      </w:r>
    </w:p>
    <w:p w14:paraId="0000000B" w14:textId="77777777" w:rsidR="005A0852" w:rsidRDefault="002E1D09">
      <w:pPr>
        <w:spacing w:before="240" w:after="240" w:line="360" w:lineRule="auto"/>
        <w:rPr>
          <w:sz w:val="24"/>
          <w:szCs w:val="24"/>
        </w:rPr>
      </w:pPr>
      <w:r>
        <w:rPr>
          <w:sz w:val="24"/>
          <w:szCs w:val="24"/>
        </w:rPr>
        <w:t xml:space="preserve">This fact about texts can lead initially to surprising experiences writers sometimes have when they return to their own work: they notice something new or have a fresh insight, neither of which had been intended when creating the text. When I first had this experience, I assumed that I had simply forgotten what I originally meant. But then I noticed that something similar happened even with texts as I was writing them. </w:t>
      </w:r>
    </w:p>
    <w:p w14:paraId="0000000C" w14:textId="77777777" w:rsidR="005A0852" w:rsidRDefault="002E1D09">
      <w:pPr>
        <w:spacing w:before="240" w:after="240" w:line="360" w:lineRule="auto"/>
        <w:rPr>
          <w:sz w:val="24"/>
          <w:szCs w:val="24"/>
        </w:rPr>
      </w:pPr>
      <w:r>
        <w:rPr>
          <w:sz w:val="24"/>
          <w:szCs w:val="24"/>
        </w:rPr>
        <w:t>Writers often speak of their muses. For the Greeks, the muses, daughters of Zeus, were divine spirits of creativity, but perhaps one source of insight and creativity is something less mysterious, though no less interesting: the text itself. Picasso said of his painting that “I do not seek, I find.”</w:t>
      </w:r>
      <w:r>
        <w:rPr>
          <w:sz w:val="24"/>
          <w:szCs w:val="24"/>
          <w:vertAlign w:val="superscript"/>
        </w:rPr>
        <w:footnoteReference w:id="1"/>
      </w:r>
      <w:r>
        <w:rPr>
          <w:sz w:val="24"/>
          <w:szCs w:val="24"/>
        </w:rPr>
        <w:t xml:space="preserve"> Something like this is also true of authors and their texts. When the philosopher John Dewey found himself stuck in his manuscript, he often laid it aside, and began again, repeatedly rewriting until the text led somewhere.</w:t>
      </w:r>
      <w:r>
        <w:rPr>
          <w:sz w:val="24"/>
          <w:szCs w:val="24"/>
          <w:vertAlign w:val="superscript"/>
        </w:rPr>
        <w:footnoteReference w:id="2"/>
      </w:r>
      <w:r>
        <w:rPr>
          <w:sz w:val="24"/>
          <w:szCs w:val="24"/>
        </w:rPr>
        <w:t xml:space="preserve"> While texts depend upon their authors for their creation, sometimes the text leads. Texts, then, are </w:t>
      </w:r>
      <w:r>
        <w:rPr>
          <w:sz w:val="24"/>
          <w:szCs w:val="24"/>
        </w:rPr>
        <w:lastRenderedPageBreak/>
        <w:t xml:space="preserve">unruly things. They take on a life of their own. They may resist the intentions of their authors and the sensibilities and preferences of their readers. </w:t>
      </w:r>
    </w:p>
    <w:p w14:paraId="0000000D" w14:textId="77777777" w:rsidR="005A0852" w:rsidRDefault="002E1D09">
      <w:pPr>
        <w:spacing w:before="240" w:after="240" w:line="360" w:lineRule="auto"/>
        <w:rPr>
          <w:sz w:val="24"/>
          <w:szCs w:val="24"/>
        </w:rPr>
      </w:pPr>
      <w:r>
        <w:rPr>
          <w:sz w:val="24"/>
          <w:szCs w:val="24"/>
        </w:rPr>
        <w:t xml:space="preserve">This is important for how we think about rewritten masterpieces. Of course, they are derivative in the sense that they depend on earlier </w:t>
      </w:r>
      <w:proofErr w:type="gramStart"/>
      <w:r>
        <w:rPr>
          <w:sz w:val="24"/>
          <w:szCs w:val="24"/>
        </w:rPr>
        <w:t>works</w:t>
      </w:r>
      <w:proofErr w:type="gramEnd"/>
      <w:r>
        <w:rPr>
          <w:sz w:val="24"/>
          <w:szCs w:val="24"/>
        </w:rPr>
        <w:t xml:space="preserve">. They may borrow plots, characters, situations, conflicts, and themes, but this does not necessarily imply that when it comes to interpretive meaning they are stealing something that is not rightfully theirs. Of course, authors and critics may object that the rewritten work is at odds with the original, that it changes its meaning, and it may very well do so, but that is beside the point. Masterpieces become great works not because their meanings are fixed once and for all, but because of the surplus </w:t>
      </w:r>
      <w:r>
        <w:rPr>
          <w:sz w:val="24"/>
          <w:szCs w:val="24"/>
        </w:rPr>
        <w:t xml:space="preserve">of meaning that is inherent in them. They invite return, contestation, and resistance through the imaginative engagement of their audience. It is exactly this inherent “surplus of meaning” that makes possible not only new readings, but sometimes, even new works. </w:t>
      </w:r>
    </w:p>
    <w:p w14:paraId="0000000E" w14:textId="77777777" w:rsidR="005A0852" w:rsidRDefault="002E1D09">
      <w:pPr>
        <w:spacing w:line="360" w:lineRule="auto"/>
        <w:rPr>
          <w:sz w:val="24"/>
          <w:szCs w:val="24"/>
        </w:rPr>
      </w:pPr>
      <w:r>
        <w:rPr>
          <w:sz w:val="24"/>
          <w:szCs w:val="24"/>
        </w:rPr>
        <w:t xml:space="preserve">Of course, whether rewritten works are themselves masterpieces and identifying exactly what constitutes their artistic merit </w:t>
      </w:r>
      <w:proofErr w:type="gramStart"/>
      <w:r>
        <w:rPr>
          <w:sz w:val="24"/>
          <w:szCs w:val="24"/>
        </w:rPr>
        <w:t>remain</w:t>
      </w:r>
      <w:proofErr w:type="gramEnd"/>
      <w:r>
        <w:rPr>
          <w:sz w:val="24"/>
          <w:szCs w:val="24"/>
        </w:rPr>
        <w:t xml:space="preserve"> important, but these are additional questions, distinct from that of dependency. Good writing is rare enough; the making of masterpieces </w:t>
      </w:r>
      <w:proofErr w:type="gramStart"/>
      <w:r>
        <w:rPr>
          <w:sz w:val="24"/>
          <w:szCs w:val="24"/>
        </w:rPr>
        <w:t>rarer</w:t>
      </w:r>
      <w:proofErr w:type="gramEnd"/>
      <w:r>
        <w:rPr>
          <w:sz w:val="24"/>
          <w:szCs w:val="24"/>
        </w:rPr>
        <w:t xml:space="preserve"> still. But whether such works endure or disappear as pale imitations will not depend on whether they were indebted to earlier texts or whether they have shifted or changed their meanings. Rather it will depend on whether their authors have imaginatively entered the world of those texts and whether they have succeeded in disclosing or rendering more powerfully </w:t>
      </w:r>
      <w:r>
        <w:rPr>
          <w:sz w:val="24"/>
          <w:szCs w:val="24"/>
        </w:rPr>
        <w:t xml:space="preserve">what had hitherto been latent there: unexplored meanings, unspoken tensions, and new possibilities that expand our ways of seeing and understanding. That is not mere updating. It is more than reinterpretation. At its best, it is re-creation: not only of </w:t>
      </w:r>
      <w:proofErr w:type="gramStart"/>
      <w:r>
        <w:rPr>
          <w:sz w:val="24"/>
          <w:szCs w:val="24"/>
        </w:rPr>
        <w:t>an earlier</w:t>
      </w:r>
      <w:proofErr w:type="gramEnd"/>
      <w:r>
        <w:rPr>
          <w:sz w:val="24"/>
          <w:szCs w:val="24"/>
        </w:rPr>
        <w:t xml:space="preserve"> work, but of the possibilities of meaning it opens before us. And at its very best, it changes not only how we understand the world, but how we understand ourselves. </w:t>
      </w:r>
    </w:p>
    <w:p w14:paraId="0000000F" w14:textId="77777777" w:rsidR="005A0852" w:rsidRDefault="005A0852">
      <w:pPr>
        <w:spacing w:line="360" w:lineRule="auto"/>
        <w:rPr>
          <w:sz w:val="24"/>
          <w:szCs w:val="24"/>
        </w:rPr>
      </w:pPr>
    </w:p>
    <w:p w14:paraId="00000010" w14:textId="77777777" w:rsidR="005A0852" w:rsidRDefault="002E1D09">
      <w:pPr>
        <w:spacing w:line="360" w:lineRule="auto"/>
      </w:pPr>
      <w:r>
        <w:rPr>
          <w:sz w:val="24"/>
          <w:szCs w:val="24"/>
        </w:rPr>
        <w:t>Michael D. Redmond</w:t>
      </w:r>
    </w:p>
    <w:p w14:paraId="00000011" w14:textId="77777777" w:rsidR="005A0852" w:rsidRDefault="002E1D09">
      <w:pPr>
        <w:spacing w:line="360" w:lineRule="auto"/>
        <w:rPr>
          <w:sz w:val="24"/>
          <w:szCs w:val="24"/>
        </w:rPr>
      </w:pPr>
      <w:r>
        <w:rPr>
          <w:sz w:val="24"/>
          <w:szCs w:val="24"/>
        </w:rPr>
        <w:t>May 5, 2026</w:t>
      </w:r>
    </w:p>
    <w:p w14:paraId="00000012" w14:textId="77777777" w:rsidR="005A0852" w:rsidRDefault="002E1D09">
      <w:pPr>
        <w:spacing w:line="360" w:lineRule="auto"/>
      </w:pPr>
      <w:r>
        <w:br w:type="page"/>
      </w:r>
    </w:p>
    <w:p w14:paraId="00000013" w14:textId="77777777" w:rsidR="005A0852" w:rsidRDefault="002E1D09">
      <w:pPr>
        <w:pStyle w:val="Heading2"/>
        <w:keepNext w:val="0"/>
        <w:keepLines w:val="0"/>
        <w:spacing w:after="80" w:line="360" w:lineRule="auto"/>
        <w:jc w:val="center"/>
        <w:rPr>
          <w:b/>
          <w:bCs/>
          <w:sz w:val="34"/>
          <w:szCs w:val="34"/>
        </w:rPr>
      </w:pPr>
      <w:bookmarkStart w:id="0" w:name="_71dy203zbewm" w:colFirst="0" w:colLast="0"/>
      <w:bookmarkEnd w:id="0"/>
      <w:r>
        <w:rPr>
          <w:b/>
          <w:bCs/>
          <w:sz w:val="34"/>
          <w:szCs w:val="34"/>
        </w:rPr>
        <w:lastRenderedPageBreak/>
        <w:t>Sources</w:t>
      </w:r>
    </w:p>
    <w:p w14:paraId="00000014" w14:textId="77777777" w:rsidR="005A0852" w:rsidRDefault="002E1D09">
      <w:pPr>
        <w:spacing w:before="240" w:after="240" w:line="360" w:lineRule="auto"/>
      </w:pPr>
      <w:r>
        <w:t xml:space="preserve">Barr, Alfred H., Jr. </w:t>
      </w:r>
      <w:r>
        <w:rPr>
          <w:i/>
          <w:iCs/>
        </w:rPr>
        <w:t>Picasso: Forty Years of His Art</w:t>
      </w:r>
      <w:r>
        <w:t>. New York: Museum of Modern Art, 1939.</w:t>
      </w:r>
    </w:p>
    <w:p w14:paraId="00000015" w14:textId="77777777" w:rsidR="005A0852" w:rsidRDefault="002E1D09">
      <w:pPr>
        <w:spacing w:before="240" w:after="240" w:line="360" w:lineRule="auto"/>
      </w:pPr>
      <w:r>
        <w:t xml:space="preserve">Dykhuizen, George. </w:t>
      </w:r>
      <w:r>
        <w:rPr>
          <w:i/>
          <w:iCs/>
        </w:rPr>
        <w:t>The Life and Mind of John Dewey</w:t>
      </w:r>
      <w:r>
        <w:t>. Edited by Jo Ann Boydston. Carbondale: Southern Illinois University Press, 1973.</w:t>
      </w:r>
    </w:p>
    <w:p w14:paraId="00000016" w14:textId="77777777" w:rsidR="005A0852" w:rsidRDefault="002E1D09">
      <w:pPr>
        <w:spacing w:before="240" w:after="240" w:line="360" w:lineRule="auto"/>
      </w:pPr>
      <w:r>
        <w:t xml:space="preserve">Picasso, Pablo. “Picasso Speaks.” </w:t>
      </w:r>
      <w:r>
        <w:rPr>
          <w:i/>
          <w:iCs/>
        </w:rPr>
        <w:t>The Arts</w:t>
      </w:r>
      <w:r>
        <w:t xml:space="preserve"> 3 (May 1923): 315–26.</w:t>
      </w:r>
    </w:p>
    <w:p w14:paraId="00000017" w14:textId="77777777" w:rsidR="005A0852" w:rsidRDefault="002E1D09">
      <w:pPr>
        <w:spacing w:before="240" w:after="240" w:line="360" w:lineRule="auto"/>
      </w:pPr>
      <w:r>
        <w:t xml:space="preserve">Ricoeur, Paul. </w:t>
      </w:r>
      <w:r>
        <w:rPr>
          <w:i/>
          <w:iCs/>
        </w:rPr>
        <w:t>Interpretation Theory: Discourse and the Surplus of Meaning</w:t>
      </w:r>
      <w:r>
        <w:t>. Fort Worth: Texas Christian University Press, 1976.</w:t>
      </w:r>
    </w:p>
    <w:sectPr w:rsidR="005A0852">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CF856" w14:textId="77777777" w:rsidR="002E1D09" w:rsidRDefault="002E1D09">
      <w:pPr>
        <w:spacing w:line="240" w:lineRule="auto"/>
      </w:pPr>
      <w:r>
        <w:separator/>
      </w:r>
    </w:p>
  </w:endnote>
  <w:endnote w:type="continuationSeparator" w:id="0">
    <w:p w14:paraId="4020035A" w14:textId="77777777" w:rsidR="002E1D09" w:rsidRDefault="002E1D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A53702-45F9-4DAC-BBB9-7385ABD9B795}"/>
  </w:font>
  <w:font w:name="Cambria">
    <w:panose1 w:val="02040503050406030204"/>
    <w:charset w:val="00"/>
    <w:family w:val="roman"/>
    <w:pitch w:val="variable"/>
    <w:sig w:usb0="E00006FF" w:usb1="420024FF" w:usb2="02000000" w:usb3="00000000" w:csb0="0000019F" w:csb1="00000000"/>
    <w:embedRegular r:id="rId2" w:fontKey="{A565B8ED-0253-459D-8D67-89549BA73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394E50BA" w:rsidR="005A0852" w:rsidRDefault="002E1D09">
    <w:pPr>
      <w:jc w:val="right"/>
    </w:pPr>
    <w:r>
      <w:fldChar w:fldCharType="begin"/>
    </w:r>
    <w:r>
      <w:instrText>PAGE</w:instrText>
    </w:r>
    <w:r>
      <w:fldChar w:fldCharType="separate"/>
    </w:r>
    <w:r w:rsidR="004C71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D4911" w14:textId="77777777" w:rsidR="002E1D09" w:rsidRDefault="002E1D09">
      <w:pPr>
        <w:spacing w:line="240" w:lineRule="auto"/>
      </w:pPr>
      <w:r>
        <w:separator/>
      </w:r>
    </w:p>
  </w:footnote>
  <w:footnote w:type="continuationSeparator" w:id="0">
    <w:p w14:paraId="452A30B8" w14:textId="77777777" w:rsidR="002E1D09" w:rsidRDefault="002E1D09">
      <w:pPr>
        <w:spacing w:line="240" w:lineRule="auto"/>
      </w:pPr>
      <w:r>
        <w:continuationSeparator/>
      </w:r>
    </w:p>
  </w:footnote>
  <w:footnote w:id="1">
    <w:p w14:paraId="0000001A" w14:textId="77777777" w:rsidR="005A0852" w:rsidRDefault="002E1D09">
      <w:pPr>
        <w:spacing w:line="240" w:lineRule="auto"/>
        <w:rPr>
          <w:sz w:val="20"/>
          <w:szCs w:val="20"/>
        </w:rPr>
      </w:pPr>
      <w:r>
        <w:rPr>
          <w:vertAlign w:val="superscript"/>
        </w:rPr>
        <w:footnoteRef/>
      </w:r>
      <w:r>
        <w:rPr>
          <w:sz w:val="20"/>
          <w:szCs w:val="20"/>
        </w:rPr>
        <w:t xml:space="preserve"> Pablo Picasso, “Picasso Speaks,” </w:t>
      </w:r>
      <w:r>
        <w:rPr>
          <w:i/>
          <w:iCs/>
          <w:sz w:val="20"/>
          <w:szCs w:val="20"/>
        </w:rPr>
        <w:t>The Arts</w:t>
      </w:r>
      <w:r>
        <w:rPr>
          <w:sz w:val="20"/>
          <w:szCs w:val="20"/>
        </w:rPr>
        <w:t xml:space="preserve"> 3 (May 1923): 315–26, quoted in Alfred H. Barr, Jr., </w:t>
      </w:r>
      <w:r>
        <w:rPr>
          <w:i/>
          <w:iCs/>
          <w:sz w:val="20"/>
          <w:szCs w:val="20"/>
        </w:rPr>
        <w:t>Picasso: Forty Years of His Art</w:t>
      </w:r>
      <w:r>
        <w:rPr>
          <w:sz w:val="20"/>
          <w:szCs w:val="20"/>
        </w:rPr>
        <w:t xml:space="preserve"> (New York: Museum of Modern Art, 1939), 270.</w:t>
      </w:r>
    </w:p>
  </w:footnote>
  <w:footnote w:id="2">
    <w:p w14:paraId="00000019" w14:textId="77777777" w:rsidR="005A0852" w:rsidRDefault="002E1D09">
      <w:pPr>
        <w:spacing w:line="240" w:lineRule="auto"/>
        <w:rPr>
          <w:sz w:val="20"/>
          <w:szCs w:val="20"/>
        </w:rPr>
      </w:pPr>
      <w:r>
        <w:rPr>
          <w:vertAlign w:val="superscript"/>
        </w:rPr>
        <w:footnoteRef/>
      </w:r>
      <w:r>
        <w:rPr>
          <w:sz w:val="20"/>
          <w:szCs w:val="20"/>
        </w:rPr>
        <w:t xml:space="preserve"> Dykhuizen, George. </w:t>
      </w:r>
      <w:r>
        <w:rPr>
          <w:i/>
          <w:iCs/>
          <w:sz w:val="20"/>
          <w:szCs w:val="20"/>
        </w:rPr>
        <w:t>The Life and Mind of John Dewey</w:t>
      </w:r>
      <w:r>
        <w:rPr>
          <w:sz w:val="20"/>
          <w:szCs w:val="20"/>
        </w:rPr>
        <w:t>. Edited by Jo Ann Boydston. Carbondale: Southern Illinois University Press, 1973. See especially Chapter 10.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852"/>
    <w:rsid w:val="00015E60"/>
    <w:rsid w:val="002E1D09"/>
    <w:rsid w:val="004C713B"/>
    <w:rsid w:val="005A0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28F39-8A98-4342-AE5E-7011DC1D0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1397</Words>
  <Characters>7964</Characters>
  <Application>Microsoft Office Word</Application>
  <DocSecurity>0</DocSecurity>
  <Lines>66</Lines>
  <Paragraphs>18</Paragraphs>
  <ScaleCrop>false</ScaleCrop>
  <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Redmond</cp:lastModifiedBy>
  <cp:revision>2</cp:revision>
  <dcterms:created xsi:type="dcterms:W3CDTF">2026-05-05T17:10:00Z</dcterms:created>
  <dcterms:modified xsi:type="dcterms:W3CDTF">2026-05-05T17:10:00Z</dcterms:modified>
</cp:coreProperties>
</file>